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2138110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如何参观美术馆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遇见当代艺术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樊云飞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fan_yf0122@163.com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00" w:firstLineChars="400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下午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00-17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如何参观美术馆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《现代艺术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eastAsia="zh-Hans"/>
              </w:rPr>
              <w:t>150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年》《艺术史导论》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310"/>
        <w:gridCol w:w="1667"/>
        <w:gridCol w:w="2502"/>
      </w:tblGrid>
      <w:tr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1-4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的概念</w:t>
            </w:r>
          </w:p>
          <w:p>
            <w:pPr>
              <w:pStyle w:val="10"/>
              <w:numPr>
                <w:ilvl w:val="0"/>
                <w:numId w:val="1"/>
              </w:numPr>
              <w:ind w:right="-50"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的起源</w:t>
            </w:r>
          </w:p>
          <w:p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发展及现状</w:t>
            </w:r>
          </w:p>
          <w:p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记忆基础的当代艺术概念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5-8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走进当代艺术（引导学生梳理当代艺术发展的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>脉络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）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-50" w:right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能学会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当代艺术的概念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-50" w:rightChars="0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理解当代艺术和美术馆的关系</w:t>
            </w:r>
          </w:p>
          <w:p>
            <w:pPr>
              <w:jc w:val="left"/>
              <w:rPr>
                <w:rFonts w:hint="default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分别不同时期的当代艺术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-50" w:rightChars="0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看懂布展与空间的基础概念</w:t>
            </w:r>
          </w:p>
          <w:p>
            <w:pPr>
              <w:jc w:val="both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/>
                <w:sz w:val="16"/>
                <w:szCs w:val="16"/>
                <w:lang w:val="en-US" w:eastAsia="zh-Hans"/>
              </w:rPr>
            </w:pPr>
            <w:r>
              <w:rPr>
                <w:rFonts w:hint="eastAsia" w:ascii="宋体"/>
                <w:sz w:val="16"/>
                <w:szCs w:val="16"/>
                <w:lang w:val="en-US" w:eastAsia="zh-Hans"/>
              </w:rPr>
              <w:t>艺术家案例分析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Hans"/>
              </w:rPr>
              <w:t>学生可以根据自己喜欢的艺术家进行案例分析，</w:t>
            </w: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Hans" w:bidi="ar-SA"/>
              </w:rPr>
              <w:t>引导学生完成艺术评论尝试。</w:t>
            </w:r>
          </w:p>
        </w:tc>
      </w:tr>
      <w:tr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9-12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ind w:left="200" w:hanging="200" w:hangingChars="100"/>
              <w:jc w:val="left"/>
              <w:rPr>
                <w:rFonts w:hint="default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当代艺术的起源</w:t>
            </w:r>
          </w:p>
          <w:p>
            <w:pPr>
              <w:ind w:left="200" w:right="-50" w:hanging="200" w:hangingChars="100"/>
              <w:rPr>
                <w:rFonts w:hint="default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认知当代艺术品</w:t>
            </w:r>
          </w:p>
          <w:p>
            <w:pPr>
              <w:widowControl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3、能够掌握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当代艺术创作方法</w:t>
            </w:r>
          </w:p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培养学生对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</w:t>
            </w:r>
            <w:r>
              <w:rPr>
                <w:rFonts w:hint="eastAsia"/>
                <w:color w:val="000000"/>
                <w:sz w:val="20"/>
                <w:szCs w:val="20"/>
              </w:rPr>
              <w:t>艺术的了解，弘扬我国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当代艺术发展</w:t>
            </w:r>
            <w:r>
              <w:rPr>
                <w:rFonts w:hint="eastAsia"/>
                <w:color w:val="000000"/>
                <w:sz w:val="20"/>
                <w:szCs w:val="20"/>
              </w:rPr>
              <w:t>，激发学习兴趣，提高审美情趣</w:t>
            </w:r>
          </w:p>
          <w:p>
            <w:pPr>
              <w:jc w:val="left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艺术创作</w:t>
            </w:r>
            <w:r>
              <w:rPr>
                <w:rFonts w:hint="eastAsia"/>
                <w:color w:val="000000"/>
                <w:sz w:val="20"/>
                <w:szCs w:val="20"/>
              </w:rPr>
              <w:t>的掌握。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13-16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ind w:left="200" w:hanging="200" w:hangingChars="100"/>
              <w:jc w:val="left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美术馆的核心</w:t>
            </w:r>
          </w:p>
          <w:p>
            <w:pPr>
              <w:numPr>
                <w:ilvl w:val="0"/>
                <w:numId w:val="4"/>
              </w:numPr>
              <w:ind w:left="200" w:leftChars="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了解美术馆为我们提供什么样的体验</w:t>
            </w:r>
          </w:p>
          <w:p>
            <w:pPr>
              <w:numPr>
                <w:ilvl w:val="0"/>
                <w:numId w:val="4"/>
              </w:numPr>
              <w:ind w:left="200" w:leftChars="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美术馆的多种表达形式</w:t>
            </w:r>
          </w:p>
          <w:p>
            <w:pPr>
              <w:widowControl/>
              <w:jc w:val="both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看到更多优秀美术馆的精彩设计</w:t>
            </w:r>
          </w:p>
          <w:p>
            <w:pPr>
              <w:widowControl/>
              <w:numPr>
                <w:ilvl w:val="0"/>
                <w:numId w:val="4"/>
              </w:numPr>
              <w:ind w:left="200" w:leftChars="0" w:hanging="200" w:hangingChars="10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培养学生在</w:t>
            </w:r>
            <w:r>
              <w:rPr>
                <w:color w:val="000000"/>
                <w:sz w:val="20"/>
                <w:szCs w:val="20"/>
              </w:rPr>
              <w:t>基本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的当代艺术认知之上的国际视野</w:t>
            </w:r>
            <w:r>
              <w:rPr>
                <w:rFonts w:hint="eastAsia"/>
                <w:color w:val="000000"/>
                <w:sz w:val="20"/>
                <w:szCs w:val="20"/>
              </w:rPr>
              <w:t>，更</w:t>
            </w:r>
            <w:r>
              <w:rPr>
                <w:color w:val="000000"/>
                <w:sz w:val="20"/>
                <w:szCs w:val="20"/>
              </w:rPr>
              <w:t>深入了解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世界各地美术馆</w:t>
            </w:r>
            <w:r>
              <w:rPr>
                <w:color w:val="000000"/>
                <w:sz w:val="20"/>
                <w:szCs w:val="20"/>
              </w:rPr>
              <w:t>艺术形态。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Hans"/>
              </w:rPr>
              <w:t>一场展览观后感分享，学生走出校园观看一场展览，分享一场观后体验，</w:t>
            </w: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Hans" w:bidi="ar-SA"/>
              </w:rPr>
              <w:t>引导学生完成展览分享汇报。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25" w:tblpY="171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508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80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3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801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082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Hans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出勤及课堂表现</w:t>
            </w:r>
          </w:p>
        </w:tc>
        <w:tc>
          <w:tcPr>
            <w:tcW w:w="183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801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Hans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x2</w:t>
            </w:r>
          </w:p>
        </w:tc>
        <w:tc>
          <w:tcPr>
            <w:tcW w:w="5082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艺术家案例分析</w:t>
            </w:r>
          </w:p>
        </w:tc>
        <w:tc>
          <w:tcPr>
            <w:tcW w:w="183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Hans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801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x3</w:t>
            </w:r>
          </w:p>
        </w:tc>
        <w:tc>
          <w:tcPr>
            <w:tcW w:w="5082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一场展览观后感分享</w:t>
            </w:r>
          </w:p>
        </w:tc>
        <w:tc>
          <w:tcPr>
            <w:tcW w:w="183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樊云飞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2115F"/>
    <w:multiLevelType w:val="singleLevel"/>
    <w:tmpl w:val="EFF211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9FC2FF"/>
    <w:multiLevelType w:val="singleLevel"/>
    <w:tmpl w:val="F79FC2F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FE944C"/>
    <w:multiLevelType w:val="singleLevel"/>
    <w:tmpl w:val="FBFE944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ABD1D2"/>
    <w:rsid w:val="979F7CB6"/>
    <w:rsid w:val="AD1FA579"/>
    <w:rsid w:val="AFD7E113"/>
    <w:rsid w:val="B34FDF8D"/>
    <w:rsid w:val="F2CBA74E"/>
    <w:rsid w:val="FF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三胖借我那把枪吧</cp:lastModifiedBy>
  <cp:lastPrinted>2015-03-19T19:45:00Z</cp:lastPrinted>
  <dcterms:modified xsi:type="dcterms:W3CDTF">2024-10-14T15:09:27Z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B6A6E8EA9BBC65328355F0643A885C30</vt:lpwstr>
  </property>
</Properties>
</file>