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EFDD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本科课程教学大纲（理论课）</w:t>
      </w:r>
    </w:p>
    <w:p w14:paraId="6E7A5F0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BD2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B2CE64E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6642189">
            <w:pPr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（中文）基础教育改革与发展专题</w:t>
            </w:r>
          </w:p>
        </w:tc>
      </w:tr>
      <w:tr w14:paraId="3BA3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071343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65F96BF">
            <w:pPr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Lecture on Basic Education Reform and Development</w:t>
            </w:r>
          </w:p>
        </w:tc>
      </w:tr>
      <w:tr w14:paraId="6B80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DFCA63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0CAD126">
            <w:pPr>
              <w:widowControl w:val="0"/>
              <w:spacing w:line="360" w:lineRule="auto"/>
              <w:jc w:val="center"/>
              <w:rPr>
                <w:rFonts w:hint="default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2130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126" w:type="dxa"/>
            <w:gridSpan w:val="2"/>
            <w:vAlign w:val="center"/>
          </w:tcPr>
          <w:p w14:paraId="0916C2E8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课程学分</w:t>
            </w:r>
            <w:bookmarkStart w:id="6" w:name="_GoBack"/>
            <w:bookmarkEnd w:id="6"/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8258640">
            <w:pPr>
              <w:widowControl w:val="0"/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08E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7BF4B8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9707DDE">
            <w:pPr>
              <w:widowControl w:val="0"/>
              <w:spacing w:line="360" w:lineRule="auto"/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143F38F5">
            <w:pPr>
              <w:widowControl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C7417DD">
            <w:pPr>
              <w:widowControl w:val="0"/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13" w:type="dxa"/>
            <w:gridSpan w:val="2"/>
            <w:vAlign w:val="center"/>
          </w:tcPr>
          <w:p w14:paraId="7D7DE968">
            <w:pPr>
              <w:widowControl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262C6BE">
            <w:pPr>
              <w:widowControl w:val="0"/>
              <w:spacing w:line="36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4F4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429B31B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4D9FABA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6ECEBC7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60037AC">
            <w:pPr>
              <w:widowControl w:val="0"/>
              <w:spacing w:line="36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  <w:p w14:paraId="36C179B6">
            <w:pPr>
              <w:widowControl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</w:tr>
      <w:tr w14:paraId="66B3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3645090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0E503D1">
            <w:pPr>
              <w:widowControl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091DBCE3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AEAC910">
            <w:pPr>
              <w:widowControl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ADB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5EE61C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30D93C0">
            <w:pPr>
              <w:widowControl w:val="0"/>
              <w:spacing w:line="36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自拟讲义</w:t>
            </w:r>
          </w:p>
        </w:tc>
        <w:tc>
          <w:tcPr>
            <w:tcW w:w="1413" w:type="dxa"/>
            <w:gridSpan w:val="2"/>
            <w:vAlign w:val="center"/>
          </w:tcPr>
          <w:p w14:paraId="3CD46C18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7522C40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B3CCFFC">
            <w:pPr>
              <w:widowControl w:val="0"/>
              <w:spacing w:line="360" w:lineRule="auto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DC5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582D90"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B593C13">
            <w:pPr>
              <w:pStyle w:val="15"/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14:paraId="15F9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4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FC73A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CB60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本课程是教师教育课程体系的核心组成部分，是师范专业学生的重要专业基础选修课。课程立足基础教育质量与民族发展、社会进步的紧密关联，以基础教育课程改革为核心切入点，帮助学生系统了解国内外基础教育改革与发展的基本现状，把握当前基础教育课程改革的特点与趋势，形成对我国基础教育课程改革的全面深刻认知。</w:t>
            </w:r>
          </w:p>
          <w:p w14:paraId="6459D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课程通过跨学科视角，深入探讨基础教育领域改革发展的核心问题，分析教育政策、教学方法、课程设计、教育资源分配等方面的最新趋势与挑战，培养学生运用相关理论观察、分析、解决基础教育实践具体问题的能力，使其掌握课程与教学设计、实施、评价的基本方法，为今后胜任中小学教师工作奠定坚实的专业基础。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课程内容将涵盖以下几个关键领域：</w:t>
            </w:r>
          </w:p>
          <w:p w14:paraId="429E16DC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教育政策分析：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研究不同国家和地区基础教育政策的演变，以及这些政策如何影响教育实践和学生发展。</w:t>
            </w:r>
          </w:p>
          <w:p w14:paraId="71276DB7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教学方法革新：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探索创新的教学方法和技术，如项目式学习、翻转课堂等，以及它们如何促进学生的主动学习和批判性思维。</w:t>
            </w:r>
          </w:p>
          <w:p w14:paraId="28680404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课程设计与实施：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分析课程设计的原则和实践，探讨如何根据不同学习者的需求设计灵活且富有吸引力的课程。</w:t>
            </w:r>
          </w:p>
          <w:p w14:paraId="526F47B2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教育资源与技术：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评估教育资源的分配情况，以及技术在教育中的应用，包括在线学习平台、虚拟现实等。</w:t>
            </w:r>
          </w:p>
          <w:p w14:paraId="365ABE25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教育公平与包容性：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讨论如何通过教育改革促进社会公平，确保所有学生都能获得高质量的教育机会。</w:t>
            </w:r>
          </w:p>
          <w:p w14:paraId="6656B39C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国际视角与比较研究：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通过比较不同国家的教育体系，学习它们在基础教育改革中的成功经验和面临的挑战。</w:t>
            </w:r>
          </w:p>
          <w:p w14:paraId="039BC70F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基础教育课程改革与发展的历史演进：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是一个与国家政治、经济、文化、科技发展同频共振的渐进过程，不同历史阶段的改革呈现出鲜明的时代特征与核心导向。依据“时代背景、核心政策、改革重点、育人导向”四大核心维度，可将我国基础教育课程改革与发展的历史划分为四个核心阶段，各阶段相互衔接、逐步深化，共同构成了我国基础教育课程改革的完整历史脉络。</w:t>
            </w:r>
          </w:p>
          <w:p w14:paraId="26E0545D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基础教育课程的内涵、价值与建设策略：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基础教育课程的内涵是一个多层次、多维度的概念，不同的教育理论、不同的时代背景，对课程内涵的理解存在一定差异。基础教育课程的内涵可从本质定义、核心特征、基本类型三个维度进行系统解析，明确其核心要义与本质属性。</w:t>
            </w:r>
          </w:p>
          <w:p w14:paraId="494F7F37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基础教育课程目标的发展与学校实践：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把握基础教育课程目标的发展规律与学校实践路径，明确课程目标的核心内涵与构成要素，厘清课程目标与相关概念的关系，为后续的学习与实践奠定坚实基础。</w:t>
            </w:r>
          </w:p>
          <w:p w14:paraId="0D64306A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基础教育课程建设的时代演进：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基础教育课程建设与教育改革、时代需求、教育理念紧密相关，分为四个时期，逐步实现从“统一规范”向“多元自主”、从“知识本位”向“素养本位”、从“应试导向”向“全面育人”的转变。</w:t>
            </w:r>
          </w:p>
          <w:p w14:paraId="36BBED91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基础教育课程教学改革深化路径：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是一个复杂的系统工程，其核心要素涵盖改革的各个环节与各个方面，主要包括教学理念、教学内容、教学方式、教学评价、教学管理、教研支撑六个核心要素，六者有机融合、相互作用，共同推动课程教学改革的深化与落地。</w:t>
            </w:r>
          </w:p>
          <w:p w14:paraId="6F64B732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小学教师课程领导力的培养：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是指小学教师在小学课程实施过程中，围绕立德树人根本任务与学生核心素养培育目标，运用自身的专业知识与能力，对课程设计、课程实施、课程评价、课程创新等环节进行规划、组织、引导、协调与优化，引领学生、同事共同推进课程改革、提升课程质量的综合能力。</w:t>
            </w:r>
          </w:p>
          <w:p w14:paraId="689E9F1E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小学课程建设的组织保障：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是指为确保小学课程建设工作有序、高效开展，实现课程建设目标、提升课程建设质量，涵盖组织架构、资源配置、制度建设、文化支撑、人员培养等多个方面的综合性保障体系。其核心是通过科学的组织管理、充足的资源供给、完善的制度规范、良好的文化氛围，为小学课程建设提供全方位、多层次的支撑，破解课程建设中的难题，推动课程建设高质量发展。</w:t>
            </w:r>
          </w:p>
          <w:p w14:paraId="584D78F6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基础教育课程资源建设：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是指一切能够支撑和服务于基础教育课程目标实现、课程实施与课程改革深化的各种条件与素材的总和，既包括物质形态的资源，也包括精神形态的资源；既包括校内资源，也包括校外资源；既包括显性资源，也包括隐性资源。</w:t>
            </w:r>
          </w:p>
          <w:p w14:paraId="37EBA239">
            <w:pPr>
              <w:pStyle w:val="15"/>
              <w:widowControl w:val="0"/>
              <w:spacing w:line="360" w:lineRule="auto"/>
              <w:ind w:firstLine="482" w:firstLineChars="20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案例研究与实地考察：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通过分析具体案例和实地考察，让学生更直观地理解教育改革的实际操作和效果。</w:t>
            </w:r>
          </w:p>
        </w:tc>
      </w:tr>
      <w:tr w14:paraId="00EB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6D03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376BB52">
            <w:pPr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本课程适合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小学教育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生第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学期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选修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</w:p>
          <w:p w14:paraId="2BC0A2C5">
            <w:pPr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35D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FB1DA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884345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29210</wp:posOffset>
                  </wp:positionV>
                  <wp:extent cx="591820" cy="241935"/>
                  <wp:effectExtent l="0" t="0" r="8255" b="5715"/>
                  <wp:wrapNone/>
                  <wp:docPr id="2" name="图片 2" descr="卫飞明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卫飞明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58F21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E5AFE1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2026年2月</w:t>
            </w:r>
          </w:p>
        </w:tc>
      </w:tr>
      <w:tr w14:paraId="246E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572C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311F56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5ED203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8F5E29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B41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9915F2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5AC1A90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2ABC2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C93CB9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26030FC4">
      <w:pPr>
        <w:spacing w:line="100" w:lineRule="exact"/>
        <w:rPr>
          <w:rFonts w:ascii="Arial" w:hAnsi="Arial" w:eastAsia="黑体"/>
        </w:rPr>
      </w:pPr>
    </w:p>
    <w:p w14:paraId="6F980CA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F0FBA17">
      <w:pPr>
        <w:pStyle w:val="18"/>
        <w:spacing w:before="81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p w14:paraId="63E8C6BF">
      <w:pPr>
        <w:pStyle w:val="18"/>
        <w:spacing w:before="81" w:after="163"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本课程设置知识、技能、素养（含课程思政）三类目标，层层递进培养学生的专业能力与职业素养，具体如下：</w:t>
      </w:r>
    </w:p>
    <w:tbl>
      <w:tblPr>
        <w:tblStyle w:val="8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683"/>
        <w:gridCol w:w="6099"/>
      </w:tblGrid>
      <w:tr w14:paraId="06626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3" w:hRule="atLeast"/>
          <w:jc w:val="center"/>
        </w:trPr>
        <w:tc>
          <w:tcPr>
            <w:tcW w:w="1691" w:type="dxa"/>
            <w:vAlign w:val="center"/>
          </w:tcPr>
          <w:p w14:paraId="0510252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E3D513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100" w:type="dxa"/>
            <w:vAlign w:val="center"/>
          </w:tcPr>
          <w:p w14:paraId="016C37F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内容</w:t>
            </w:r>
          </w:p>
        </w:tc>
      </w:tr>
      <w:tr w14:paraId="3732B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1" w:hRule="atLeast"/>
          <w:jc w:val="center"/>
        </w:trPr>
        <w:tc>
          <w:tcPr>
            <w:tcW w:w="1691" w:type="dxa"/>
            <w:vMerge w:val="restart"/>
            <w:vAlign w:val="center"/>
          </w:tcPr>
          <w:p w14:paraId="792143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知识目标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3E9E5B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0" w:type="dxa"/>
            <w:vAlign w:val="center"/>
          </w:tcPr>
          <w:p w14:paraId="0717A3D5">
            <w:pPr>
              <w:pStyle w:val="15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理解基础教育改革与发展的内在动力和趋势</w:t>
            </w:r>
          </w:p>
        </w:tc>
      </w:tr>
      <w:tr w14:paraId="021EB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4" w:hRule="atLeast"/>
          <w:jc w:val="center"/>
        </w:trPr>
        <w:tc>
          <w:tcPr>
            <w:tcW w:w="1691" w:type="dxa"/>
            <w:vMerge w:val="continue"/>
            <w:vAlign w:val="center"/>
          </w:tcPr>
          <w:p w14:paraId="3D2777B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0B9A3DF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0" w:type="dxa"/>
            <w:vAlign w:val="center"/>
          </w:tcPr>
          <w:p w14:paraId="3C229787">
            <w:pPr>
              <w:pStyle w:val="15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理解基础教育改革和发展的关键理论</w:t>
            </w:r>
          </w:p>
        </w:tc>
      </w:tr>
      <w:tr w14:paraId="100D7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69" w:hRule="atLeast"/>
          <w:jc w:val="center"/>
        </w:trPr>
        <w:tc>
          <w:tcPr>
            <w:tcW w:w="1691" w:type="dxa"/>
            <w:vAlign w:val="center"/>
          </w:tcPr>
          <w:p w14:paraId="347D4C0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技能目标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BDBE8A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0" w:type="dxa"/>
            <w:vAlign w:val="center"/>
          </w:tcPr>
          <w:p w14:paraId="5D68C61F">
            <w:pPr>
              <w:pStyle w:val="15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能够使用已有知识分析基础教育改革与发展的问题</w:t>
            </w:r>
          </w:p>
        </w:tc>
      </w:tr>
      <w:tr w14:paraId="3D75B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691" w:type="dxa"/>
            <w:vAlign w:val="center"/>
          </w:tcPr>
          <w:p w14:paraId="236B0E0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4"/>
                <w:szCs w:val="24"/>
              </w:rPr>
              <w:t>素养目标</w:t>
            </w:r>
          </w:p>
          <w:p w14:paraId="555316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FBB2D6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0" w:type="dxa"/>
            <w:vAlign w:val="center"/>
          </w:tcPr>
          <w:p w14:paraId="44B87794">
            <w:pPr>
              <w:pStyle w:val="15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理解教育全球性和地方性的问题，涵养教师职业素</w:t>
            </w:r>
          </w:p>
        </w:tc>
      </w:tr>
    </w:tbl>
    <w:p w14:paraId="18F3192F">
      <w:pPr>
        <w:pStyle w:val="18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p w14:paraId="15A678DA">
      <w:pPr>
        <w:pStyle w:val="18"/>
        <w:numPr>
          <w:ilvl w:val="0"/>
          <w:numId w:val="0"/>
        </w:numPr>
        <w:spacing w:before="163" w:beforeLines="50" w:after="163" w:line="360" w:lineRule="auto"/>
        <w:ind w:firstLine="480" w:firstLineChars="200"/>
        <w:rPr>
          <w:rFonts w:hint="eastAsia"/>
          <w:b w:val="0"/>
          <w:bCs/>
          <w:sz w:val="24"/>
          <w:szCs w:val="24"/>
        </w:rPr>
      </w:pPr>
      <w:r>
        <w:rPr>
          <w:rFonts w:ascii="宋体" w:hAnsi="宋体" w:eastAsia="宋体" w:cs="宋体"/>
          <w:b w:val="0"/>
          <w:bCs/>
          <w:sz w:val="24"/>
          <w:szCs w:val="24"/>
        </w:rPr>
        <w:t>本课程精准支撑小学教育专业 3 项核心毕业要求，其中对</w:t>
      </w:r>
      <w:r>
        <w:rPr>
          <w:rStyle w:val="11"/>
          <w:rFonts w:ascii="宋体" w:hAnsi="宋体" w:eastAsia="宋体" w:cs="宋体"/>
          <w:b/>
          <w:bCs w:val="0"/>
          <w:color w:val="000000"/>
          <w:sz w:val="24"/>
          <w:szCs w:val="24"/>
        </w:rPr>
        <w:t>LO3（知识整合）</w:t>
      </w:r>
      <w:r>
        <w:rPr>
          <w:rStyle w:val="11"/>
          <w:rFonts w:ascii="宋体" w:hAnsi="宋体" w:eastAsia="宋体" w:cs="宋体"/>
          <w:b w:val="0"/>
          <w:bCs/>
          <w:color w:val="000000"/>
          <w:sz w:val="24"/>
          <w:szCs w:val="24"/>
        </w:rPr>
        <w:t>、</w:t>
      </w:r>
      <w:r>
        <w:rPr>
          <w:rStyle w:val="11"/>
          <w:rFonts w:ascii="宋体" w:hAnsi="宋体" w:eastAsia="宋体" w:cs="宋体"/>
          <w:b/>
          <w:bCs w:val="0"/>
          <w:color w:val="000000"/>
          <w:sz w:val="24"/>
          <w:szCs w:val="24"/>
        </w:rPr>
        <w:t>LO8（自主学习）</w:t>
      </w:r>
      <w:r>
        <w:rPr>
          <w:rFonts w:ascii="宋体" w:hAnsi="宋体" w:eastAsia="宋体" w:cs="宋体"/>
          <w:b w:val="0"/>
          <w:bCs/>
          <w:sz w:val="24"/>
          <w:szCs w:val="24"/>
        </w:rPr>
        <w:t xml:space="preserve"> 支撑度为高（H），</w:t>
      </w:r>
      <w:r>
        <w:rPr>
          <w:rFonts w:ascii="宋体" w:hAnsi="宋体" w:eastAsia="宋体" w:cs="宋体"/>
          <w:b/>
          <w:bCs w:val="0"/>
          <w:sz w:val="24"/>
          <w:szCs w:val="24"/>
        </w:rPr>
        <w:t>对</w:t>
      </w:r>
      <w:r>
        <w:rPr>
          <w:rStyle w:val="11"/>
          <w:rFonts w:ascii="宋体" w:hAnsi="宋体" w:eastAsia="宋体" w:cs="宋体"/>
          <w:b/>
          <w:bCs w:val="0"/>
          <w:color w:val="000000"/>
          <w:sz w:val="24"/>
          <w:szCs w:val="24"/>
        </w:rPr>
        <w:t>LO1（师德规范）</w:t>
      </w:r>
      <w:r>
        <w:rPr>
          <w:rFonts w:ascii="宋体" w:hAnsi="宋体" w:eastAsia="宋体" w:cs="宋体"/>
          <w:b w:val="0"/>
          <w:bCs/>
          <w:sz w:val="24"/>
          <w:szCs w:val="24"/>
        </w:rPr>
        <w:t xml:space="preserve"> 支撑度为中（M），具体毕业要求内涵：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34C45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EF365FE">
            <w:pPr>
              <w:pStyle w:val="15"/>
              <w:widowControl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LO1：师德规范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掌握中国特色社会主义基本理论，践行社会主义核心价值观，具有坚定的政治立场与依法执教意识，坚持立德树人。</w:t>
            </w:r>
          </w:p>
          <w:p w14:paraId="2B146460">
            <w:pPr>
              <w:pStyle w:val="15"/>
              <w:widowControl w:val="0"/>
              <w:spacing w:line="360" w:lineRule="auto"/>
              <w:ind w:firstLine="480" w:firstLineChars="2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②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师德修养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指标要求：遵纪守法，爱岗敬业，依法执教，诚信尽责，自觉遵守教师职业道德规范，掌握立德树人途径与方法，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在教育教学实践中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能实施全面发展的素质教育。</w:t>
            </w:r>
          </w:p>
        </w:tc>
      </w:tr>
      <w:tr w14:paraId="1004D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B9DBB6">
            <w:pPr>
              <w:pStyle w:val="15"/>
              <w:widowControl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LO3：</w:t>
            </w:r>
            <w:r>
              <w:rPr>
                <w:b/>
                <w:bCs/>
                <w:sz w:val="24"/>
                <w:szCs w:val="24"/>
              </w:rPr>
              <w:t>知识整合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具有较好的人文与科学素养，了解小学各学科基本知识与原理</w:t>
            </w:r>
            <w:r>
              <w:rPr>
                <w:rFonts w:hint="eastAsia"/>
                <w:bCs/>
                <w:sz w:val="24"/>
                <w:szCs w:val="24"/>
              </w:rPr>
              <w:t>和基本技能</w:t>
            </w:r>
            <w:r>
              <w:rPr>
                <w:rFonts w:ascii="宋体" w:hAnsi="宋体" w:eastAsia="宋体" w:cs="宋体"/>
                <w:sz w:val="24"/>
                <w:szCs w:val="24"/>
              </w:rPr>
              <w:t>，理解学科知识体系思想和方法，具备综合运用学科知识的能力。</w:t>
            </w:r>
          </w:p>
          <w:p w14:paraId="727EE8E3">
            <w:pPr>
              <w:pStyle w:val="15"/>
              <w:widowControl w:val="0"/>
              <w:spacing w:line="360" w:lineRule="auto"/>
              <w:ind w:firstLine="480" w:firstLineChars="200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fldChar w:fldCharType="end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专业知识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指标要求：掌握所教学科核心知识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Cs/>
                <w:sz w:val="24"/>
                <w:szCs w:val="24"/>
              </w:rPr>
              <w:t>基本原理和基本技能，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，理解学科核心素养，具备跨学科知识结构，能整合形成学科教学知识，习得基于核心素养的学习指导方法。</w:t>
            </w:r>
          </w:p>
        </w:tc>
      </w:tr>
      <w:tr w14:paraId="5A41E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C7B4796">
            <w:pPr>
              <w:pStyle w:val="15"/>
              <w:widowControl w:val="0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LO8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>
              <w:rPr>
                <w:b/>
                <w:bCs/>
                <w:sz w:val="24"/>
                <w:szCs w:val="24"/>
              </w:rPr>
              <w:t>自主学习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01DEA471">
            <w:pPr>
              <w:pStyle w:val="15"/>
              <w:widowControl w:val="0"/>
              <w:spacing w:line="360" w:lineRule="auto"/>
              <w:ind w:firstLine="480" w:firstLineChars="20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 xml:space="preserve">= 1 \* GB3</w:instrText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专业发展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规划指标要求：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熟悉专业发展核心内容与路径，掌握国内外小学教育改革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>动态，了解教师专业发展规律，能结合就业目标制订自身学习和专业发展规划。</w:t>
            </w:r>
          </w:p>
        </w:tc>
      </w:tr>
    </w:tbl>
    <w:p w14:paraId="7855E30F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9A8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906842A">
            <w:pPr>
              <w:pStyle w:val="14"/>
              <w:rPr>
                <w:sz w:val="24"/>
                <w:szCs w:val="24"/>
              </w:rPr>
            </w:pPr>
            <w:r>
              <w:rPr>
                <w:rFonts w:hint="eastAsia" w:ascii="黑体" w:hAnsi="黑体"/>
                <w:sz w:val="24"/>
                <w:szCs w:val="24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1C8170E">
            <w:pPr>
              <w:pStyle w:val="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87CF8A5">
            <w:pPr>
              <w:pStyle w:val="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0688AC9E">
            <w:pPr>
              <w:pStyle w:val="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8812B4">
            <w:pPr>
              <w:pStyle w:val="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对指标点的贡献度</w:t>
            </w:r>
          </w:p>
        </w:tc>
      </w:tr>
      <w:tr w14:paraId="392B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9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598AD6B">
            <w:pPr>
              <w:pStyle w:val="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LO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05A2448">
            <w:pPr>
              <w:pStyle w:val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bCs/>
                <w:sz w:val="24"/>
                <w:szCs w:val="24"/>
              </w:rPr>
              <w:instrText xml:space="preserve">= 2 \* GB3</w:instrText>
            </w:r>
            <w:r>
              <w:rPr>
                <w:bCs/>
                <w:sz w:val="24"/>
                <w:szCs w:val="24"/>
              </w:rPr>
              <w:instrText xml:space="preserve">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rFonts w:hint="eastAsia"/>
                <w:bCs/>
                <w:sz w:val="24"/>
                <w:szCs w:val="24"/>
              </w:rPr>
              <w:t>②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6540D3C">
            <w:pPr>
              <w:pStyle w:val="1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</w:t>
            </w:r>
          </w:p>
        </w:tc>
        <w:tc>
          <w:tcPr>
            <w:tcW w:w="4651" w:type="dxa"/>
            <w:vAlign w:val="center"/>
          </w:tcPr>
          <w:p w14:paraId="368F80EC">
            <w:pPr>
              <w:pStyle w:val="15"/>
              <w:jc w:val="both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理解教育全球性和地方性的问题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5105E85">
            <w:pPr>
              <w:pStyle w:val="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100</w:t>
            </w:r>
          </w:p>
        </w:tc>
      </w:tr>
      <w:tr w14:paraId="37DD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E1B149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LO3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059B8A43">
            <w:pPr>
              <w:pStyle w:val="15"/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bCs/>
                <w:sz w:val="24"/>
                <w:szCs w:val="24"/>
              </w:rPr>
              <w:instrText xml:space="preserve">= 2 \* GB3</w:instrText>
            </w:r>
            <w:r>
              <w:rPr>
                <w:bCs/>
                <w:sz w:val="24"/>
                <w:szCs w:val="24"/>
              </w:rPr>
              <w:instrText xml:space="preserve">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rFonts w:hint="eastAsia"/>
                <w:bCs/>
                <w:sz w:val="24"/>
                <w:szCs w:val="24"/>
              </w:rPr>
              <w:t>②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6003CB0">
            <w:pPr>
              <w:pStyle w:val="1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</w:t>
            </w:r>
          </w:p>
        </w:tc>
        <w:tc>
          <w:tcPr>
            <w:tcW w:w="4651" w:type="dxa"/>
            <w:vAlign w:val="center"/>
          </w:tcPr>
          <w:p w14:paraId="7D74A37E">
            <w:pPr>
              <w:pStyle w:val="15"/>
              <w:jc w:val="both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理解基础教育改革与发展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及基础教育课程改革</w:t>
            </w:r>
            <w:r>
              <w:rPr>
                <w:rFonts w:hint="eastAsia"/>
                <w:sz w:val="24"/>
                <w:szCs w:val="24"/>
              </w:rPr>
              <w:t>的内在动力和趋势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1F4BF53">
            <w:pPr>
              <w:pStyle w:val="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40</w:t>
            </w:r>
          </w:p>
        </w:tc>
      </w:tr>
      <w:tr w14:paraId="120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D372A5">
            <w:pPr>
              <w:pStyle w:val="15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7AF08CF7">
            <w:pPr>
              <w:pStyle w:val="15"/>
              <w:rPr>
                <w:bCs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D8A190">
            <w:pPr>
              <w:pStyle w:val="1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056AB629">
            <w:pPr>
              <w:pStyle w:val="15"/>
              <w:jc w:val="both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理解基础教育改革和发展的关键理论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E607C6F">
            <w:pPr>
              <w:pStyle w:val="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</w:p>
        </w:tc>
      </w:tr>
      <w:tr w14:paraId="19E2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B6975BB">
            <w:pPr>
              <w:pStyle w:val="15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4A3147F1">
            <w:pPr>
              <w:pStyle w:val="15"/>
              <w:rPr>
                <w:bCs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7BDA66">
            <w:pPr>
              <w:pStyle w:val="1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51" w:type="dxa"/>
            <w:vAlign w:val="center"/>
          </w:tcPr>
          <w:p w14:paraId="007240BD">
            <w:pPr>
              <w:pStyle w:val="15"/>
              <w:jc w:val="both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能够使用已有知识分析基础教育改革与发展的问题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0842AF3">
            <w:pPr>
              <w:pStyle w:val="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</w:p>
        </w:tc>
      </w:tr>
      <w:tr w14:paraId="45E1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5507B1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C5A2EE">
            <w:pPr>
              <w:pStyle w:val="15"/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bCs/>
                <w:sz w:val="24"/>
                <w:szCs w:val="24"/>
              </w:rPr>
              <w:instrText xml:space="preserve">= 1 \* GB3</w:instrText>
            </w:r>
            <w:r>
              <w:rPr>
                <w:bCs/>
                <w:sz w:val="24"/>
                <w:szCs w:val="24"/>
              </w:rPr>
              <w:instrText xml:space="preserve">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rFonts w:hint="eastAsia"/>
                <w:bCs/>
                <w:sz w:val="24"/>
                <w:szCs w:val="24"/>
              </w:rPr>
              <w:t>①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AA212A">
            <w:pPr>
              <w:pStyle w:val="1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H</w:t>
            </w:r>
          </w:p>
        </w:tc>
        <w:tc>
          <w:tcPr>
            <w:tcW w:w="465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7A1450">
            <w:pPr>
              <w:pStyle w:val="15"/>
              <w:jc w:val="both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1理解基础教育改革与发展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及基础教育课程改革</w:t>
            </w:r>
            <w:r>
              <w:rPr>
                <w:rFonts w:hint="eastAsia"/>
                <w:sz w:val="24"/>
                <w:szCs w:val="24"/>
              </w:rPr>
              <w:t>的内在动力和趋势</w:t>
            </w:r>
          </w:p>
        </w:tc>
        <w:tc>
          <w:tcPr>
            <w:tcW w:w="1316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18B4455">
            <w:pPr>
              <w:pStyle w:val="15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100</w:t>
            </w:r>
          </w:p>
        </w:tc>
      </w:tr>
    </w:tbl>
    <w:p w14:paraId="1B5D5FF6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B37B219">
      <w:pPr>
        <w:pStyle w:val="18"/>
        <w:numPr>
          <w:ilvl w:val="0"/>
          <w:numId w:val="2"/>
        </w:numPr>
        <w:spacing w:before="81" w:after="163"/>
      </w:pPr>
      <w:r>
        <w:rPr>
          <w:rFonts w:hint="eastAsia"/>
        </w:rPr>
        <w:t>各教学单元预期学习成果与教学内容</w:t>
      </w:r>
    </w:p>
    <w:p w14:paraId="48BE7B42">
      <w:pPr>
        <w:pStyle w:val="18"/>
        <w:numPr>
          <w:ilvl w:val="0"/>
          <w:numId w:val="0"/>
        </w:numPr>
        <w:spacing w:before="81" w:after="163" w:line="360" w:lineRule="auto"/>
        <w:ind w:leftChars="0" w:firstLine="480" w:firstLineChars="200"/>
      </w:pPr>
      <w:r>
        <w:rPr>
          <w:rFonts w:ascii="宋体" w:hAnsi="宋体" w:eastAsia="宋体" w:cs="宋体"/>
          <w:b w:val="0"/>
          <w:bCs/>
          <w:sz w:val="24"/>
          <w:szCs w:val="24"/>
        </w:rPr>
        <w:t>本课程共设 15 个教学单元，分为</w:t>
      </w:r>
      <w:r>
        <w:rPr>
          <w:rStyle w:val="11"/>
          <w:rFonts w:ascii="宋体" w:hAnsi="宋体" w:eastAsia="宋体" w:cs="宋体"/>
          <w:b w:val="0"/>
          <w:bCs/>
          <w:color w:val="000000"/>
          <w:sz w:val="24"/>
          <w:szCs w:val="24"/>
        </w:rPr>
        <w:t>国际视野分析、本土发展研究、实践能力培养</w:t>
      </w:r>
      <w:r>
        <w:rPr>
          <w:rFonts w:ascii="宋体" w:hAnsi="宋体" w:eastAsia="宋体" w:cs="宋体"/>
          <w:b w:val="0"/>
          <w:bCs/>
          <w:sz w:val="24"/>
          <w:szCs w:val="24"/>
        </w:rPr>
        <w:t>三大板块，各单元核心内容与学习要求如下：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2486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FC05340">
            <w:pPr>
              <w:widowControl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一、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教育政策分析</w:t>
            </w:r>
          </w:p>
          <w:p w14:paraId="7ECA665F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学习不同国家基础教育政策的历史背景和发展轨迹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2478B609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探讨政策如何影响学校管理、教师培训和学生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5670A359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分析政策制定过程中的利益相关者，包括政府、教育机构、家长和学生。</w:t>
            </w:r>
          </w:p>
          <w:p w14:paraId="224FF860">
            <w:pPr>
              <w:widowControl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二、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教学方法革新</w:t>
            </w:r>
          </w:p>
          <w:p w14:paraId="34FB8AE2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介绍和实践基于探究、合作和反思的教学方法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088B7B47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学习如何利用技术工具，如智能教室、在线平台，来支持教学方法的创新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550A91F3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讨论教学方法对学生学习动机和参与度的影响。</w:t>
            </w:r>
          </w:p>
          <w:p w14:paraId="7A6BF5A3">
            <w:pPr>
              <w:widowControl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三、课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程设计与实施</w:t>
            </w:r>
          </w:p>
          <w:p w14:paraId="32CA6165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学习如何根据学习者的特点和需求设计课程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36624286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探索跨学科课程设计，以及如何整合不同学科的知识和技能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393BDC1B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讨论课程实施过程中的挑战和解决方案。</w:t>
            </w:r>
          </w:p>
          <w:p w14:paraId="565B658A">
            <w:pPr>
              <w:widowControl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四、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教育资源与技术</w:t>
            </w:r>
          </w:p>
          <w:p w14:paraId="48C7A2B4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分析教育资源的分配公平性和效率问题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0CE2E47F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学习如何利用教育技术提高教学效果，包括个性化学习、自适应学习等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0F876BC3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探讨技术在促进教育创新和提高教育质量中的作用。</w:t>
            </w:r>
          </w:p>
          <w:p w14:paraId="1924ED20">
            <w:pPr>
              <w:widowControl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五、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教育公平与包容性</w:t>
            </w:r>
          </w:p>
          <w:p w14:paraId="6E547324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探讨教育不平等的根源和表现形式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533C329F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分析包容性教育政策和实践，如特殊教育需求、性别平等和文化多样性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3F26A7BE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学习如何通过教育改革促进社会包容和减少不平等。</w:t>
            </w:r>
          </w:p>
          <w:p w14:paraId="737FFF49">
            <w:pPr>
              <w:widowControl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六、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国际视角与比较研究</w:t>
            </w:r>
          </w:p>
          <w:p w14:paraId="454F8660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通过比较不同国家的教育体系，学习基础教育改革的全球趋势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20FFC88F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分析不同文化背景下的教育实践和理念</w:t>
            </w:r>
          </w:p>
          <w:p w14:paraId="0EB4139E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讨论国际教育合作和交流在促进教育改革中的作用。</w:t>
            </w:r>
          </w:p>
          <w:p w14:paraId="3048193A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七、基础教育课程改革与发展的历史演进</w:t>
            </w:r>
          </w:p>
          <w:p w14:paraId="55214D93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系统掌握我国基础教育课程改革与发展的历史脉络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1EC1457A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探讨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不同历史阶段课程改革的核心政策与改革重点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3688C3DD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分析历史上课程改革的经验教训对当前课程改革的启示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097C128E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八、基础教育课程的内涵、价值与建设策略</w:t>
            </w:r>
          </w:p>
          <w:p w14:paraId="1D708B31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系统掌握基础教育课程的核心内涵、本质特征与基本类型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2CCB0196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明确课程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定义、核心特征、基本类型三个维度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核心要义与本质属性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 w14:paraId="42894FD0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分析教材、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教学、教育目的之间的内在联系，构建完整的课程知识体系。</w:t>
            </w:r>
          </w:p>
          <w:p w14:paraId="0788916E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九、基础教育课程目标的发展与学校实践</w:t>
            </w:r>
          </w:p>
          <w:p w14:paraId="0A6B620E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系统掌握基础教育课程目标的核心内涵、构成要素与本质特征；</w:t>
            </w:r>
          </w:p>
          <w:p w14:paraId="011CE466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明确课程目标与教育目的、培养目标、教学目标之间的内在联系；</w:t>
            </w:r>
          </w:p>
          <w:p w14:paraId="3F5C6956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分析不同发展阶段课程目标的核心内容、主要特征与历史意义。</w:t>
            </w:r>
          </w:p>
          <w:p w14:paraId="680FD10D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十、基础教育课程建设的时代演进</w:t>
            </w:r>
          </w:p>
          <w:p w14:paraId="253F22FB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  <w:t>掌握基础教育课程建设的核心内涵、构成要素；</w:t>
            </w:r>
          </w:p>
          <w:p w14:paraId="26C6674F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  <w:t>明确其与课程目标、实施、评价的内在联系，构建完整知识体系；</w:t>
            </w:r>
          </w:p>
          <w:p w14:paraId="390F1B04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  <w:t>了解各类学校课程建设案例，能分析经验与问题并提出优化建议。</w:t>
            </w:r>
          </w:p>
          <w:p w14:paraId="4BF7E34A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十一、基础教育课程教学改革深化路径</w:t>
            </w:r>
          </w:p>
          <w:p w14:paraId="7E38A499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系统掌握基础教育课程教学改革的核心内涵、本质特征与核心要素；</w:t>
            </w:r>
          </w:p>
          <w:p w14:paraId="0D2BFFA1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明确课程教学改革与核心素养培育、课程体系建设之间的内在联系；</w:t>
            </w:r>
          </w:p>
          <w:p w14:paraId="0115C5F4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了解教学理念、教学方式、评价体系、教研支撑等方面的改革重点。</w:t>
            </w:r>
          </w:p>
          <w:p w14:paraId="2EE03128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十二、小学教师课程领导力的培养</w:t>
            </w:r>
          </w:p>
          <w:p w14:paraId="67CA98F2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系统掌握小学教师课程领导力的核心内涵、本质特征与构成要素；</w:t>
            </w:r>
          </w:p>
          <w:p w14:paraId="5A1BF42D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明确课程领导力与小学课程改革、学生核心素养培育之间的内在联系；</w:t>
            </w:r>
          </w:p>
          <w:p w14:paraId="3ECFF40D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了解小学教师课程领导力培养的核心原则、主要路径与具体方法。</w:t>
            </w:r>
          </w:p>
          <w:p w14:paraId="32EEB536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十三、小学课程建设的组织保障</w:t>
            </w:r>
          </w:p>
          <w:p w14:paraId="5D3ADCD3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系统掌握小学课程建设组织保障的核心内涵、本质特征与构成要素；</w:t>
            </w:r>
          </w:p>
          <w:p w14:paraId="7DD50757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明确组织保障与小学课程建设、学生核心素养培育之间的内在联系；</w:t>
            </w:r>
          </w:p>
          <w:p w14:paraId="3574334F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了解当前我国小学课程建设组织保障的现状、存在问题与时代需求。</w:t>
            </w:r>
          </w:p>
          <w:p w14:paraId="1DEC1288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left="22" w:leftChars="0"/>
              <w:jc w:val="both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十四、基础教育课程资源建设</w:t>
            </w:r>
          </w:p>
          <w:p w14:paraId="7D11F0BD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系统掌握基础教育课程资源的核心内涵、本质特征与分类标准；</w:t>
            </w:r>
          </w:p>
          <w:p w14:paraId="144EBE9F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明确课程资源与课程改革、学生核心素养培育之间的内在联系；</w:t>
            </w:r>
          </w:p>
          <w:p w14:paraId="6582095B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了解基础教育课程资源建设的核心原则、主要路径与具体方法。</w:t>
            </w:r>
          </w:p>
          <w:p w14:paraId="55A523E7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十五、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案例研究与实地考察</w:t>
            </w:r>
          </w:p>
          <w:p w14:paraId="1CCA95F3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通过具体案例，学习教育改革的策略和实施过程。</w:t>
            </w:r>
          </w:p>
          <w:p w14:paraId="1EFDAC4C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组织学生进行实地考察，如访问创新学校、教育技术公司等。</w:t>
            </w:r>
          </w:p>
          <w:p w14:paraId="71CE4C47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360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讨论案例研究和实地考察的发现，以及它们对教育改革的启示。</w:t>
            </w:r>
          </w:p>
          <w:p w14:paraId="775F47DE">
            <w:pPr>
              <w:widowControl w:val="0"/>
              <w:snapToGrid w:val="0"/>
              <w:spacing w:line="288" w:lineRule="auto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bookmarkEnd w:id="0"/>
      <w:bookmarkEnd w:id="1"/>
    </w:tbl>
    <w:p w14:paraId="6A0C82FD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886"/>
        <w:gridCol w:w="1345"/>
        <w:gridCol w:w="1345"/>
        <w:gridCol w:w="1345"/>
        <w:gridCol w:w="1345"/>
      </w:tblGrid>
      <w:tr w14:paraId="6CA5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886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vAlign w:val="center"/>
          </w:tcPr>
          <w:p w14:paraId="6A53CF67">
            <w:pPr>
              <w:pStyle w:val="14"/>
              <w:ind w:firstLine="48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课程目标</w:t>
            </w:r>
          </w:p>
          <w:p w14:paraId="1622B230">
            <w:pPr>
              <w:pStyle w:val="14"/>
              <w:ind w:right="210"/>
              <w:rPr>
                <w:sz w:val="24"/>
                <w:szCs w:val="24"/>
              </w:rPr>
            </w:pPr>
          </w:p>
          <w:p w14:paraId="4EDB09C0">
            <w:pPr>
              <w:pStyle w:val="14"/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教学单元</w:t>
            </w:r>
          </w:p>
        </w:tc>
        <w:tc>
          <w:tcPr>
            <w:tcW w:w="1345" w:type="dxa"/>
            <w:tcBorders>
              <w:top w:val="single" w:color="auto" w:sz="12" w:space="0"/>
            </w:tcBorders>
            <w:vAlign w:val="center"/>
          </w:tcPr>
          <w:p w14:paraId="74C759E3">
            <w:pPr>
              <w:pStyle w:val="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color="auto" w:sz="12" w:space="0"/>
            </w:tcBorders>
            <w:vAlign w:val="center"/>
          </w:tcPr>
          <w:p w14:paraId="3023A96B">
            <w:pPr>
              <w:pStyle w:val="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color="auto" w:sz="12" w:space="0"/>
            </w:tcBorders>
            <w:vAlign w:val="center"/>
          </w:tcPr>
          <w:p w14:paraId="4E161335">
            <w:pPr>
              <w:pStyle w:val="1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4AB891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14:paraId="64A9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05ABE19D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第一单元</w:t>
            </w:r>
          </w:p>
        </w:tc>
        <w:tc>
          <w:tcPr>
            <w:tcW w:w="1345" w:type="dxa"/>
            <w:vAlign w:val="center"/>
          </w:tcPr>
          <w:p w14:paraId="0EEDDC87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vAlign w:val="center"/>
          </w:tcPr>
          <w:p w14:paraId="2E785CF5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vAlign w:val="center"/>
          </w:tcPr>
          <w:p w14:paraId="4EE7A7A3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194A9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</w:tr>
      <w:tr w14:paraId="25B3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62D45A25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第二单元</w:t>
            </w:r>
          </w:p>
        </w:tc>
        <w:tc>
          <w:tcPr>
            <w:tcW w:w="1345" w:type="dxa"/>
            <w:vAlign w:val="center"/>
          </w:tcPr>
          <w:p w14:paraId="3B985C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vAlign w:val="center"/>
          </w:tcPr>
          <w:p w14:paraId="04CBC253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vAlign w:val="center"/>
          </w:tcPr>
          <w:p w14:paraId="4565064C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618359E2">
            <w:pPr>
              <w:jc w:val="center"/>
              <w:rPr>
                <w:sz w:val="24"/>
                <w:szCs w:val="24"/>
              </w:rPr>
            </w:pPr>
          </w:p>
        </w:tc>
      </w:tr>
      <w:tr w14:paraId="6F58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7E2A86E8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第三单元</w:t>
            </w:r>
          </w:p>
        </w:tc>
        <w:tc>
          <w:tcPr>
            <w:tcW w:w="1345" w:type="dxa"/>
            <w:vAlign w:val="center"/>
          </w:tcPr>
          <w:p w14:paraId="5B7E05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vAlign w:val="center"/>
          </w:tcPr>
          <w:p w14:paraId="0CC656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vAlign w:val="center"/>
          </w:tcPr>
          <w:p w14:paraId="3012A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5DB2E771">
            <w:pPr>
              <w:jc w:val="center"/>
              <w:rPr>
                <w:sz w:val="24"/>
                <w:szCs w:val="24"/>
              </w:rPr>
            </w:pPr>
          </w:p>
        </w:tc>
      </w:tr>
      <w:tr w14:paraId="1195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146434D8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第四单元</w:t>
            </w:r>
          </w:p>
        </w:tc>
        <w:tc>
          <w:tcPr>
            <w:tcW w:w="1345" w:type="dxa"/>
            <w:vAlign w:val="center"/>
          </w:tcPr>
          <w:p w14:paraId="12FBA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CFE7A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B79B6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DD3E1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31A3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64960FBA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第五单元</w:t>
            </w:r>
          </w:p>
        </w:tc>
        <w:tc>
          <w:tcPr>
            <w:tcW w:w="1345" w:type="dxa"/>
            <w:vAlign w:val="center"/>
          </w:tcPr>
          <w:p w14:paraId="4E669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vAlign w:val="center"/>
          </w:tcPr>
          <w:p w14:paraId="1C4922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vAlign w:val="center"/>
          </w:tcPr>
          <w:p w14:paraId="4D54D8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5559B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</w:tr>
      <w:tr w14:paraId="5F4E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624CA661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第六单元</w:t>
            </w:r>
          </w:p>
        </w:tc>
        <w:tc>
          <w:tcPr>
            <w:tcW w:w="1345" w:type="dxa"/>
            <w:vAlign w:val="center"/>
          </w:tcPr>
          <w:p w14:paraId="3D527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vAlign w:val="center"/>
          </w:tcPr>
          <w:p w14:paraId="38276A58">
            <w:pPr>
              <w:jc w:val="center"/>
              <w:rPr>
                <w:rFonts w:hint="eastAsia" w:ascii="Heiti TC Light" w:hAnsi="Heiti TC Light" w:eastAsia="Heiti TC Light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11793A5">
            <w:pPr>
              <w:jc w:val="center"/>
              <w:rPr>
                <w:rFonts w:hint="eastAsia" w:ascii="Heiti TC Light" w:hAnsi="Heiti TC Light" w:eastAsia="Heiti TC Light"/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198CDE81">
            <w:pPr>
              <w:jc w:val="center"/>
              <w:rPr>
                <w:rFonts w:hint="eastAsia" w:ascii="Heiti TC Light" w:hAnsi="Heiti TC Light" w:eastAsia="Heiti TC Light"/>
                <w:sz w:val="24"/>
                <w:szCs w:val="24"/>
              </w:rPr>
            </w:pPr>
          </w:p>
        </w:tc>
      </w:tr>
      <w:tr w14:paraId="1FDB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484A564F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第七单元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EBF1ED1">
            <w:pPr>
              <w:pStyle w:val="15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17BD65D">
            <w:pPr>
              <w:pStyle w:val="15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0D14F9B">
            <w:pPr>
              <w:pStyle w:val="15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5A546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</w:tr>
      <w:tr w14:paraId="0E56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57938139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0DE83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C6B4716">
            <w:pPr>
              <w:pStyle w:val="15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BB3DDE7">
            <w:pPr>
              <w:pStyle w:val="15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9F663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4193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9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347AA25C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C5A2F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960B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E015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528EF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467D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4DDC4D3A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23A43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E7C72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42989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4DC71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</w:tr>
      <w:tr w14:paraId="2EC3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6E9C983D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十一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EE97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7B08D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E3272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5D83D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</w:tr>
      <w:tr w14:paraId="1C10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3D38DC9F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2BF5C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4E77503">
            <w:pPr>
              <w:jc w:val="center"/>
              <w:rPr>
                <w:rFonts w:hint="eastAsia" w:ascii="Heiti TC Light" w:hAnsi="Heiti TC Light" w:eastAsia="Heiti TC Light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55354C0">
            <w:pPr>
              <w:jc w:val="center"/>
              <w:rPr>
                <w:rFonts w:hint="eastAsia" w:ascii="Heiti TC Light" w:hAnsi="Heiti TC Light" w:eastAsia="Heiti TC Light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D6CBD2B">
            <w:pPr>
              <w:jc w:val="center"/>
              <w:rPr>
                <w:rFonts w:hint="eastAsia" w:ascii="Heiti TC Light" w:hAnsi="Heiti TC Light" w:eastAsia="Heiti TC Light" w:cs="宋体"/>
                <w:sz w:val="24"/>
                <w:szCs w:val="24"/>
                <w:lang w:val="en-US" w:eastAsia="zh-CN" w:bidi="ar-SA"/>
              </w:rPr>
            </w:pPr>
          </w:p>
        </w:tc>
      </w:tr>
      <w:tr w14:paraId="537D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16C98C78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9381A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5CC22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628AE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180F5D9A">
            <w:pPr>
              <w:jc w:val="center"/>
              <w:rPr>
                <w:rFonts w:hint="eastAsia" w:ascii="Heiti TC Light" w:hAnsi="Heiti TC Light" w:eastAsia="Heiti TC Light"/>
                <w:sz w:val="24"/>
                <w:szCs w:val="24"/>
              </w:rPr>
            </w:pPr>
          </w:p>
        </w:tc>
      </w:tr>
      <w:tr w14:paraId="4EF7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</w:tcBorders>
            <w:vAlign w:val="center"/>
          </w:tcPr>
          <w:p w14:paraId="71A9834B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十四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11049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1611D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2640A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51B2747E">
            <w:pPr>
              <w:jc w:val="center"/>
              <w:rPr>
                <w:rFonts w:hint="eastAsia" w:ascii="Heiti TC Light" w:hAnsi="Heiti TC Light" w:eastAsia="Heiti TC Light"/>
                <w:sz w:val="24"/>
                <w:szCs w:val="24"/>
              </w:rPr>
            </w:pPr>
          </w:p>
        </w:tc>
      </w:tr>
      <w:tr w14:paraId="48C3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288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CBC92CF">
            <w:pPr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十五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1345" w:type="dxa"/>
            <w:tcBorders>
              <w:bottom w:val="single" w:color="auto" w:sz="12" w:space="0"/>
            </w:tcBorders>
            <w:vAlign w:val="center"/>
          </w:tcPr>
          <w:p w14:paraId="023341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tcBorders>
              <w:bottom w:val="single" w:color="auto" w:sz="12" w:space="0"/>
            </w:tcBorders>
            <w:vAlign w:val="center"/>
          </w:tcPr>
          <w:p w14:paraId="5824CD56">
            <w:pPr>
              <w:jc w:val="center"/>
              <w:rPr>
                <w:rFonts w:hint="eastAsia" w:ascii="Heiti TC Light" w:hAnsi="Heiti TC Light" w:eastAsia="Heiti TC Light"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color="auto" w:sz="12" w:space="0"/>
            </w:tcBorders>
            <w:vAlign w:val="center"/>
          </w:tcPr>
          <w:p w14:paraId="403B5115">
            <w:pPr>
              <w:jc w:val="center"/>
              <w:rPr>
                <w:rFonts w:hint="eastAsia" w:ascii="Heiti TC Light" w:hAnsi="Heiti TC Light" w:eastAsia="Heiti TC Light"/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  <w:tc>
          <w:tcPr>
            <w:tcW w:w="134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CD36A30">
            <w:pPr>
              <w:jc w:val="center"/>
              <w:rPr>
                <w:rFonts w:hint="eastAsia" w:ascii="Heiti TC Light" w:hAnsi="Heiti TC Light" w:eastAsia="Heiti TC Light"/>
                <w:sz w:val="24"/>
                <w:szCs w:val="24"/>
              </w:rPr>
            </w:pPr>
            <w:r>
              <w:rPr>
                <w:rFonts w:hint="eastAsia" w:ascii="Heiti TC Light" w:hAnsi="Heiti TC Light" w:eastAsia="Heiti TC Light"/>
                <w:sz w:val="24"/>
                <w:szCs w:val="24"/>
              </w:rPr>
              <w:t>√</w:t>
            </w:r>
          </w:p>
        </w:tc>
      </w:tr>
    </w:tbl>
    <w:p w14:paraId="0C8CC3F5">
      <w:pPr>
        <w:pStyle w:val="18"/>
        <w:numPr>
          <w:ilvl w:val="0"/>
          <w:numId w:val="2"/>
        </w:numPr>
        <w:spacing w:before="326" w:beforeLines="100" w:after="163"/>
        <w:ind w:left="740" w:leftChars="0" w:hanging="740" w:firstLineChars="0"/>
        <w:rPr>
          <w:rFonts w:hint="eastAsia"/>
        </w:rPr>
      </w:pPr>
      <w:r>
        <w:rPr>
          <w:rFonts w:hint="eastAsia"/>
        </w:rPr>
        <w:t>课程教学方法与学时分配</w:t>
      </w:r>
    </w:p>
    <w:p w14:paraId="3C417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2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教与学方式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：所有单元均采用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讲授 + 练习 + 讨论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的模式，兼顾理论知识传授与学生互动思考，注重培养学生的主动学习能力与问题分析能力；</w:t>
      </w:r>
    </w:p>
    <w:p w14:paraId="41215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2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过程性考核方式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：所有单元均以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课后作业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作为过程性考核载体，强化学习效果落地；</w:t>
      </w:r>
    </w:p>
    <w:p w14:paraId="2A305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2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学时分配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：总学时 32 理论学时，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其中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实践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学时，学时分配经整合规范后无冗余，具体分配（整合重复罗列单元后）：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253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49855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30E6DF88">
            <w:pPr>
              <w:pStyle w:val="14"/>
              <w:widowControl w:val="0"/>
              <w:rPr>
                <w:sz w:val="24"/>
                <w:szCs w:val="24"/>
              </w:rPr>
            </w:pPr>
            <w:r>
              <w:rPr>
                <w:rFonts w:hint="eastAsia" w:ascii="黑体" w:hAnsi="黑体"/>
                <w:sz w:val="24"/>
                <w:szCs w:val="24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4614CB5C">
            <w:pPr>
              <w:pStyle w:val="14"/>
              <w:widowControl w:val="0"/>
              <w:rPr>
                <w:rFonts w:ascii="黑体" w:hAnsi="黑体"/>
                <w:sz w:val="24"/>
                <w:szCs w:val="24"/>
              </w:rPr>
            </w:pPr>
            <w:r>
              <w:rPr>
                <w:rFonts w:hint="eastAsia" w:ascii="黑体" w:hAnsi="黑体"/>
                <w:sz w:val="24"/>
                <w:szCs w:val="24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4B249F">
            <w:pPr>
              <w:pStyle w:val="14"/>
              <w:widowControl w:val="0"/>
              <w:rPr>
                <w:rFonts w:ascii="黑体" w:hAnsi="黑体"/>
                <w:sz w:val="24"/>
                <w:szCs w:val="24"/>
              </w:rPr>
            </w:pPr>
            <w:r>
              <w:rPr>
                <w:rFonts w:hint="eastAsia" w:ascii="黑体" w:hAnsi="黑体"/>
                <w:sz w:val="24"/>
                <w:szCs w:val="24"/>
              </w:rPr>
              <w:t>学时</w:t>
            </w:r>
            <w:r>
              <w:rPr>
                <w:rFonts w:hint="eastAsia" w:ascii="黑体" w:hAnsi="黑体"/>
                <w:bCs w:val="0"/>
                <w:sz w:val="24"/>
                <w:szCs w:val="24"/>
              </w:rPr>
              <w:t>分配</w:t>
            </w:r>
          </w:p>
        </w:tc>
      </w:tr>
      <w:tr w14:paraId="021E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3869080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2755" w:type="dxa"/>
            <w:vMerge w:val="continue"/>
          </w:tcPr>
          <w:p w14:paraId="47BCA39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</w:tcPr>
          <w:p w14:paraId="559F38A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2108604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理论</w:t>
            </w:r>
          </w:p>
        </w:tc>
        <w:tc>
          <w:tcPr>
            <w:tcW w:w="669" w:type="dxa"/>
            <w:vAlign w:val="center"/>
          </w:tcPr>
          <w:p w14:paraId="571AAE7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B9A3DA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小计</w:t>
            </w:r>
          </w:p>
        </w:tc>
      </w:tr>
      <w:tr w14:paraId="508E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C32DFC5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第一单元</w:t>
            </w:r>
          </w:p>
        </w:tc>
        <w:tc>
          <w:tcPr>
            <w:tcW w:w="2755" w:type="dxa"/>
            <w:vAlign w:val="center"/>
          </w:tcPr>
          <w:p w14:paraId="558CBEDB">
            <w:pPr>
              <w:widowControl w:val="0"/>
              <w:snapToGrid w:val="0"/>
              <w:spacing w:line="288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200FAC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03C1C5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14:paraId="1316DD9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FECE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5161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F8A83E0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第二单元</w:t>
            </w:r>
          </w:p>
        </w:tc>
        <w:tc>
          <w:tcPr>
            <w:tcW w:w="2755" w:type="dxa"/>
            <w:vAlign w:val="center"/>
          </w:tcPr>
          <w:p w14:paraId="3E2FCDA4">
            <w:pPr>
              <w:widowControl w:val="0"/>
              <w:snapToGrid w:val="0"/>
              <w:spacing w:line="288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5BEBE6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53D826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14:paraId="5B1CE5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FC818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1740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436D57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第三单元</w:t>
            </w:r>
          </w:p>
        </w:tc>
        <w:tc>
          <w:tcPr>
            <w:tcW w:w="2755" w:type="dxa"/>
            <w:vAlign w:val="center"/>
          </w:tcPr>
          <w:p w14:paraId="2EF3C9EE">
            <w:pPr>
              <w:widowControl w:val="0"/>
              <w:snapToGrid w:val="0"/>
              <w:spacing w:line="288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1593B6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7CAEEC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14:paraId="075497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FD393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6145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40CCFBE">
            <w:pPr>
              <w:widowControl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第四单元</w:t>
            </w:r>
          </w:p>
        </w:tc>
        <w:tc>
          <w:tcPr>
            <w:tcW w:w="2755" w:type="dxa"/>
            <w:vAlign w:val="center"/>
          </w:tcPr>
          <w:p w14:paraId="0AE7416F">
            <w:pPr>
              <w:widowControl w:val="0"/>
              <w:snapToGrid w:val="0"/>
              <w:spacing w:line="288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70A1D0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1DA3AF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14:paraId="514412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E7574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34C4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98F9C49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第五单元</w:t>
            </w:r>
          </w:p>
        </w:tc>
        <w:tc>
          <w:tcPr>
            <w:tcW w:w="2755" w:type="dxa"/>
            <w:vAlign w:val="center"/>
          </w:tcPr>
          <w:p w14:paraId="2CBDCC99">
            <w:pPr>
              <w:widowControl w:val="0"/>
              <w:snapToGrid w:val="0"/>
              <w:spacing w:line="288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4299546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1A04A7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14:paraId="750F5F5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CD38B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3CCE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1FEBA00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第六单元</w:t>
            </w:r>
          </w:p>
        </w:tc>
        <w:tc>
          <w:tcPr>
            <w:tcW w:w="2755" w:type="dxa"/>
            <w:vAlign w:val="center"/>
          </w:tcPr>
          <w:p w14:paraId="2853D14B">
            <w:pPr>
              <w:widowControl w:val="0"/>
              <w:snapToGrid w:val="0"/>
              <w:spacing w:line="288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24101A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3F5BAC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14:paraId="22BFD48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A017C9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4A22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3D73929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第七单元</w:t>
            </w:r>
          </w:p>
        </w:tc>
        <w:tc>
          <w:tcPr>
            <w:tcW w:w="2755" w:type="dxa"/>
            <w:vAlign w:val="center"/>
          </w:tcPr>
          <w:p w14:paraId="634C6715">
            <w:pPr>
              <w:widowControl w:val="0"/>
              <w:snapToGrid w:val="0"/>
              <w:spacing w:line="288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54DC5E1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vAlign w:val="center"/>
          </w:tcPr>
          <w:p w14:paraId="10D6B53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F6FA39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ADC971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60C5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70A19A">
            <w:pPr>
              <w:widowControl w:val="0"/>
              <w:snapToGrid w:val="0"/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B48CEC3">
            <w:pPr>
              <w:widowControl w:val="0"/>
              <w:snapToGrid w:val="0"/>
              <w:spacing w:line="288" w:lineRule="auto"/>
              <w:jc w:val="center"/>
              <w:rPr>
                <w:rFonts w:hint="eastAsia" w:ascii="黑体" w:hAnsi="宋体" w:eastAsia="黑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D6609E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A98CA0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AB877F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0A1417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52B4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1A4FD7">
            <w:pPr>
              <w:widowControl w:val="0"/>
              <w:snapToGrid w:val="0"/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0E14AE5">
            <w:pPr>
              <w:widowControl w:val="0"/>
              <w:snapToGrid w:val="0"/>
              <w:spacing w:line="288" w:lineRule="auto"/>
              <w:jc w:val="center"/>
              <w:rPr>
                <w:rFonts w:hint="eastAsia" w:ascii="黑体" w:hAnsi="宋体" w:eastAsia="黑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6C4C5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DCCD79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DC442B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2817A1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15D1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8C6A6F">
            <w:pPr>
              <w:widowControl w:val="0"/>
              <w:snapToGrid w:val="0"/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B6C35E6">
            <w:pPr>
              <w:widowControl w:val="0"/>
              <w:snapToGrid w:val="0"/>
              <w:spacing w:line="288" w:lineRule="auto"/>
              <w:jc w:val="center"/>
              <w:rPr>
                <w:rFonts w:hint="eastAsia" w:ascii="黑体" w:hAnsi="宋体" w:eastAsia="黑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C7F26B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A359D1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2B50A4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4E616D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6B8B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EE6BB9">
            <w:pPr>
              <w:widowControl/>
              <w:snapToGrid w:val="0"/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十一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4BEF6CC">
            <w:pPr>
              <w:widowControl w:val="0"/>
              <w:snapToGrid w:val="0"/>
              <w:spacing w:line="288" w:lineRule="auto"/>
              <w:jc w:val="center"/>
              <w:rPr>
                <w:rFonts w:hint="eastAsia" w:ascii="黑体" w:hAnsi="宋体" w:eastAsia="黑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DDC72B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0CD57E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C68866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DB4734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7800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5EF149">
            <w:pPr>
              <w:widowControl w:val="0"/>
              <w:snapToGrid w:val="0"/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A8C323E">
            <w:pPr>
              <w:widowControl w:val="0"/>
              <w:snapToGrid w:val="0"/>
              <w:spacing w:line="288" w:lineRule="auto"/>
              <w:jc w:val="center"/>
              <w:rPr>
                <w:rFonts w:hint="eastAsia" w:ascii="黑体" w:hAnsi="宋体" w:eastAsia="黑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3CFC71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CC688F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13C1A0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CAD81E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1B6C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2C25E7">
            <w:pPr>
              <w:widowControl w:val="0"/>
              <w:snapToGrid w:val="0"/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7749DD1">
            <w:pPr>
              <w:widowControl w:val="0"/>
              <w:snapToGrid w:val="0"/>
              <w:spacing w:line="288" w:lineRule="auto"/>
              <w:jc w:val="center"/>
              <w:rPr>
                <w:rFonts w:hint="eastAsia" w:ascii="黑体" w:hAnsi="宋体" w:eastAsia="黑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CEC2DE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551BB9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75DC6A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DDC630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235D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2FB70D">
            <w:pPr>
              <w:widowControl w:val="0"/>
              <w:snapToGrid w:val="0"/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十四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5E040D4">
            <w:pPr>
              <w:widowControl w:val="0"/>
              <w:snapToGrid w:val="0"/>
              <w:spacing w:line="288" w:lineRule="auto"/>
              <w:jc w:val="center"/>
              <w:rPr>
                <w:rFonts w:hint="eastAsia" w:ascii="黑体" w:hAnsi="宋体" w:eastAsia="黑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讲授、练习、讨论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B60D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68F8A9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21B9CB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A5764E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22A6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EFF270">
            <w:pPr>
              <w:widowControl w:val="0"/>
              <w:snapToGrid w:val="0"/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十五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单元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34D0642">
            <w:pPr>
              <w:widowControl w:val="0"/>
              <w:snapToGrid w:val="0"/>
              <w:spacing w:line="288" w:lineRule="auto"/>
              <w:jc w:val="center"/>
              <w:rPr>
                <w:rFonts w:hint="eastAsia" w:ascii="黑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讨论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考察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6EC17D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课后作业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CEF1EE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211BAD2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9A9193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14:paraId="5BC3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66C720B">
            <w:pPr>
              <w:pStyle w:val="14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401BC9E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045EF5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E8EBAA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32</w:t>
            </w:r>
          </w:p>
        </w:tc>
      </w:tr>
    </w:tbl>
    <w:p w14:paraId="64C6507F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C957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8B10D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（一）思政融入核心指标点</w:t>
            </w:r>
          </w:p>
          <w:p w14:paraId="5F289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紧扣LO1 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师德修养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指标点，</w:t>
            </w:r>
            <w:r>
              <w:rPr>
                <w:rFonts w:hint="eastAsia"/>
                <w:sz w:val="24"/>
                <w:szCs w:val="24"/>
              </w:rPr>
              <w:t>拥护中国共产党的领导，坚定理想信念，自觉涵养和积极弘扬社会主义核心价值观，增强政治认同、厚植家国情怀、遵守法律法规、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以 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“感恩、回报、爱心、责任”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八字校训为核心，围绕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诚信尽责、爱岗敬业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两大核心要求开展课程思政设计，强化学生的教师职业素养与家国情怀。</w:t>
            </w:r>
          </w:p>
          <w:p w14:paraId="66B1E0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（二）具体实施路径</w:t>
            </w:r>
          </w:p>
          <w:p w14:paraId="1BD38BA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1.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在各单元授课过程中，结合基础教育改革案例，帮助学生理解教育教学在人类发展、社会进步中的核心作用，厚植教育报国的家国情怀；</w:t>
            </w:r>
          </w:p>
          <w:p w14:paraId="611EBB8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2.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立足小学教育专业特点，在分析基础教育发展问题的过程中，同步培养学生的专业技能与知识，引导学生树立 “立德树人” 的教育核心理念；</w:t>
            </w:r>
          </w:p>
          <w:p w14:paraId="190225E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3.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结合教师职业道德规范与教育相关法律法规，引导学生自觉涵养诚信尽责的职业品格，培养爱岗敬业的职业精神，为今后成为合格小学教师奠定道德基础。</w:t>
            </w:r>
          </w:p>
        </w:tc>
      </w:tr>
    </w:tbl>
    <w:p w14:paraId="789F69CD">
      <w:pPr>
        <w:pStyle w:val="17"/>
        <w:numPr>
          <w:ilvl w:val="0"/>
          <w:numId w:val="5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4" w:name="OLE_LINK4"/>
      <w:bookmarkStart w:id="5" w:name="OLE_LINK3"/>
    </w:p>
    <w:p w14:paraId="0C984EB3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本课程采用</w:t>
      </w:r>
      <w:r>
        <w:rPr>
          <w:rStyle w:val="11"/>
          <w:rFonts w:ascii="宋体" w:hAnsi="宋体" w:eastAsia="宋体" w:cs="宋体"/>
          <w:b/>
          <w:bCs/>
          <w:color w:val="000000"/>
          <w:sz w:val="24"/>
          <w:szCs w:val="24"/>
        </w:rPr>
        <w:t>过程性考核与终结性考核相结合</w:t>
      </w:r>
      <w:r>
        <w:rPr>
          <w:rFonts w:ascii="宋体" w:hAnsi="宋体" w:eastAsia="宋体" w:cs="宋体"/>
          <w:sz w:val="24"/>
          <w:szCs w:val="24"/>
        </w:rPr>
        <w:t>的方式，总评成绩由期末作业、平时作业、平时表现三部分构成，所有考核项均全面覆盖四大课程目标，各有考核权重侧重，全方位评价学生的知识掌握、技能运用与素养形成情况，具体考核细则如下：</w:t>
      </w:r>
    </w:p>
    <w:bookmarkEnd w:id="4"/>
    <w:bookmarkEnd w:id="5"/>
    <w:tbl>
      <w:tblPr>
        <w:tblStyle w:val="9"/>
        <w:tblW w:w="47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021"/>
        <w:gridCol w:w="1699"/>
        <w:gridCol w:w="683"/>
        <w:gridCol w:w="683"/>
        <w:gridCol w:w="683"/>
        <w:gridCol w:w="689"/>
        <w:gridCol w:w="854"/>
      </w:tblGrid>
      <w:tr w14:paraId="43BD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B9337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总评构成</w:t>
            </w:r>
          </w:p>
        </w:tc>
        <w:tc>
          <w:tcPr>
            <w:tcW w:w="637" w:type="pct"/>
            <w:vMerge w:val="restart"/>
            <w:tcBorders>
              <w:top w:val="single" w:color="auto" w:sz="12" w:space="0"/>
            </w:tcBorders>
            <w:vAlign w:val="center"/>
          </w:tcPr>
          <w:p w14:paraId="2A4009FE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  <w:sz w:val="24"/>
                <w:szCs w:val="24"/>
              </w:rPr>
            </w:pPr>
            <w:r>
              <w:rPr>
                <w:rFonts w:hint="eastAsia" w:ascii="黑体" w:hAnsi="黑体"/>
                <w:bCs/>
                <w:sz w:val="24"/>
                <w:szCs w:val="24"/>
              </w:rPr>
              <w:t>占比</w:t>
            </w:r>
          </w:p>
        </w:tc>
        <w:tc>
          <w:tcPr>
            <w:tcW w:w="1060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B73B504">
            <w:pPr>
              <w:pStyle w:val="17"/>
              <w:widowControl w:val="0"/>
              <w:jc w:val="center"/>
              <w:rPr>
                <w:rFonts w:ascii="黑体" w:hAnsi="黑体"/>
                <w:bCs/>
                <w:sz w:val="24"/>
                <w:szCs w:val="24"/>
              </w:rPr>
            </w:pPr>
            <w:r>
              <w:rPr>
                <w:rFonts w:hint="eastAsia" w:ascii="黑体" w:hAnsi="黑体"/>
                <w:bCs/>
                <w:sz w:val="24"/>
                <w:szCs w:val="24"/>
              </w:rPr>
              <w:t>考核方式</w:t>
            </w:r>
          </w:p>
        </w:tc>
        <w:tc>
          <w:tcPr>
            <w:tcW w:w="1708" w:type="pct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DACD428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4"/>
                <w:szCs w:val="24"/>
              </w:rPr>
            </w:pPr>
            <w:r>
              <w:rPr>
                <w:rFonts w:hint="eastAsia" w:ascii="黑体" w:hAnsi="黑体"/>
                <w:bCs/>
                <w:sz w:val="24"/>
                <w:szCs w:val="24"/>
              </w:rPr>
              <w:t>课程目标</w:t>
            </w:r>
          </w:p>
        </w:tc>
        <w:tc>
          <w:tcPr>
            <w:tcW w:w="532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FB7A9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4"/>
                <w:szCs w:val="24"/>
              </w:rPr>
            </w:pPr>
            <w:r>
              <w:rPr>
                <w:rFonts w:hint="eastAsia" w:ascii="黑体" w:hAnsi="黑体"/>
                <w:bCs/>
                <w:sz w:val="24"/>
                <w:szCs w:val="24"/>
              </w:rPr>
              <w:t>合计</w:t>
            </w:r>
          </w:p>
        </w:tc>
      </w:tr>
      <w:tr w14:paraId="22A0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pct"/>
            <w:vMerge w:val="continue"/>
            <w:tcBorders>
              <w:left w:val="single" w:color="auto" w:sz="12" w:space="0"/>
            </w:tcBorders>
            <w:vAlign w:val="center"/>
          </w:tcPr>
          <w:p w14:paraId="3F876B7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637" w:type="pct"/>
            <w:vMerge w:val="continue"/>
            <w:vAlign w:val="center"/>
          </w:tcPr>
          <w:p w14:paraId="71505039">
            <w:pPr>
              <w:pStyle w:val="17"/>
              <w:widowControl w:val="0"/>
              <w:jc w:val="center"/>
              <w:rPr>
                <w:rFonts w:ascii="黑体" w:hAnsi="黑体"/>
                <w:bCs/>
                <w:sz w:val="24"/>
                <w:szCs w:val="24"/>
              </w:rPr>
            </w:pPr>
          </w:p>
        </w:tc>
        <w:tc>
          <w:tcPr>
            <w:tcW w:w="1060" w:type="pct"/>
            <w:vMerge w:val="continue"/>
            <w:tcBorders>
              <w:right w:val="double" w:color="auto" w:sz="4" w:space="0"/>
            </w:tcBorders>
            <w:vAlign w:val="center"/>
          </w:tcPr>
          <w:p w14:paraId="6B6AE8F8">
            <w:pPr>
              <w:pStyle w:val="17"/>
              <w:widowControl w:val="0"/>
              <w:jc w:val="center"/>
              <w:rPr>
                <w:rFonts w:ascii="黑体" w:hAnsi="黑体"/>
                <w:bCs/>
                <w:sz w:val="24"/>
                <w:szCs w:val="24"/>
              </w:rPr>
            </w:pPr>
          </w:p>
        </w:tc>
        <w:tc>
          <w:tcPr>
            <w:tcW w:w="426" w:type="pct"/>
            <w:tcBorders>
              <w:left w:val="double" w:color="auto" w:sz="4" w:space="0"/>
            </w:tcBorders>
            <w:vAlign w:val="center"/>
          </w:tcPr>
          <w:p w14:paraId="5A6D758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4"/>
                <w:szCs w:val="24"/>
              </w:rPr>
            </w:pPr>
            <w:r>
              <w:rPr>
                <w:rFonts w:hint="eastAsia" w:ascii="黑体" w:hAnsi="黑体"/>
                <w:bCs/>
                <w:sz w:val="24"/>
                <w:szCs w:val="24"/>
              </w:rPr>
              <w:t>1</w:t>
            </w:r>
          </w:p>
        </w:tc>
        <w:tc>
          <w:tcPr>
            <w:tcW w:w="426" w:type="pct"/>
            <w:vAlign w:val="center"/>
          </w:tcPr>
          <w:p w14:paraId="53A6327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4"/>
                <w:szCs w:val="24"/>
              </w:rPr>
            </w:pPr>
            <w:r>
              <w:rPr>
                <w:rFonts w:hint="eastAsia" w:ascii="黑体" w:hAnsi="黑体"/>
                <w:bCs/>
                <w:sz w:val="24"/>
                <w:szCs w:val="24"/>
              </w:rPr>
              <w:t>2</w:t>
            </w:r>
          </w:p>
        </w:tc>
        <w:tc>
          <w:tcPr>
            <w:tcW w:w="426" w:type="pct"/>
            <w:vAlign w:val="center"/>
          </w:tcPr>
          <w:p w14:paraId="004827A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4"/>
                <w:szCs w:val="24"/>
              </w:rPr>
            </w:pPr>
            <w:r>
              <w:rPr>
                <w:rFonts w:hint="eastAsia" w:ascii="黑体" w:hAnsi="黑体"/>
                <w:bCs/>
                <w:sz w:val="24"/>
                <w:szCs w:val="24"/>
              </w:rPr>
              <w:t>3</w:t>
            </w:r>
          </w:p>
        </w:tc>
        <w:tc>
          <w:tcPr>
            <w:tcW w:w="428" w:type="pct"/>
            <w:vAlign w:val="center"/>
          </w:tcPr>
          <w:p w14:paraId="3119F392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4"/>
                <w:szCs w:val="24"/>
              </w:rPr>
            </w:pPr>
            <w:r>
              <w:rPr>
                <w:rFonts w:hint="eastAsia" w:ascii="黑体" w:hAnsi="黑体"/>
                <w:bCs/>
                <w:sz w:val="24"/>
                <w:szCs w:val="24"/>
              </w:rPr>
              <w:t>4</w:t>
            </w:r>
          </w:p>
        </w:tc>
        <w:tc>
          <w:tcPr>
            <w:tcW w:w="532" w:type="pct"/>
            <w:tcBorders>
              <w:right w:val="single" w:color="auto" w:sz="12" w:space="0"/>
            </w:tcBorders>
            <w:vAlign w:val="center"/>
          </w:tcPr>
          <w:p w14:paraId="196EA730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4"/>
                <w:szCs w:val="24"/>
              </w:rPr>
            </w:pPr>
          </w:p>
        </w:tc>
      </w:tr>
      <w:tr w14:paraId="5EAB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pct"/>
            <w:tcBorders>
              <w:left w:val="single" w:color="auto" w:sz="12" w:space="0"/>
            </w:tcBorders>
            <w:vAlign w:val="center"/>
          </w:tcPr>
          <w:p w14:paraId="6346B0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X1</w:t>
            </w:r>
          </w:p>
        </w:tc>
        <w:tc>
          <w:tcPr>
            <w:tcW w:w="637" w:type="pct"/>
            <w:vAlign w:val="center"/>
          </w:tcPr>
          <w:p w14:paraId="29BCF602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060" w:type="pct"/>
            <w:tcBorders>
              <w:right w:val="double" w:color="auto" w:sz="4" w:space="0"/>
            </w:tcBorders>
            <w:vAlign w:val="center"/>
          </w:tcPr>
          <w:p w14:paraId="047E370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期末作业</w:t>
            </w:r>
          </w:p>
        </w:tc>
        <w:tc>
          <w:tcPr>
            <w:tcW w:w="426" w:type="pct"/>
            <w:tcBorders>
              <w:left w:val="double" w:color="auto" w:sz="4" w:space="0"/>
            </w:tcBorders>
            <w:vAlign w:val="center"/>
          </w:tcPr>
          <w:p w14:paraId="430BECAB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pct"/>
            <w:vAlign w:val="center"/>
          </w:tcPr>
          <w:p w14:paraId="41986184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pct"/>
            <w:vAlign w:val="center"/>
          </w:tcPr>
          <w:p w14:paraId="60B04DBB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8" w:type="pct"/>
            <w:vAlign w:val="center"/>
          </w:tcPr>
          <w:p w14:paraId="564B81C9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2" w:type="pct"/>
            <w:tcBorders>
              <w:right w:val="single" w:color="auto" w:sz="12" w:space="0"/>
            </w:tcBorders>
            <w:vAlign w:val="center"/>
          </w:tcPr>
          <w:p w14:paraId="4305319B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</w:tr>
      <w:tr w14:paraId="21E0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pc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7E01A4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X2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vAlign w:val="center"/>
          </w:tcPr>
          <w:p w14:paraId="44DF2E36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060" w:type="pct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80F1FA6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课后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作业</w:t>
            </w:r>
          </w:p>
        </w:tc>
        <w:tc>
          <w:tcPr>
            <w:tcW w:w="426" w:type="pct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03A093D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bottom w:val="single" w:color="auto" w:sz="4" w:space="0"/>
            </w:tcBorders>
            <w:vAlign w:val="center"/>
          </w:tcPr>
          <w:p w14:paraId="65F5BDC0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6" w:type="pct"/>
            <w:tcBorders>
              <w:bottom w:val="single" w:color="auto" w:sz="4" w:space="0"/>
            </w:tcBorders>
            <w:vAlign w:val="center"/>
          </w:tcPr>
          <w:p w14:paraId="03D24B48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bottom w:val="single" w:color="auto" w:sz="4" w:space="0"/>
            </w:tcBorders>
            <w:vAlign w:val="center"/>
          </w:tcPr>
          <w:p w14:paraId="780B1A36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2" w:type="pct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24EEF70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</w:tr>
      <w:tr w14:paraId="1A62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A87F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X3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D864E7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2CB91AF1">
            <w:pPr>
              <w:widowControl w:val="0"/>
              <w:snapToGrid w:val="0"/>
              <w:spacing w:before="163" w:beforeLines="50" w:after="163" w:afterLines="50"/>
              <w:jc w:val="both"/>
              <w:rPr>
                <w:rFonts w:hint="default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表现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参与、发言、互动等）</w:t>
            </w:r>
          </w:p>
        </w:tc>
        <w:tc>
          <w:tcPr>
            <w:tcW w:w="426" w:type="pct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A96606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9EDA86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B46C04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03CD69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EE7BF3">
            <w:pPr>
              <w:pStyle w:val="15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</w:tr>
    </w:tbl>
    <w:p w14:paraId="585207B7">
      <w:pPr>
        <w:pStyle w:val="18"/>
        <w:spacing w:before="326" w:beforeLines="100" w:after="163"/>
        <w:jc w:val="center"/>
        <w:rPr>
          <w:rFonts w:ascii="黑体" w:hAnsi="宋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0AF724-F7D8-41E2-9EC1-F6DA28A602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BB75A3-0359-41E1-96A8-515510BCD8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TC Light">
    <w:altName w:val="Noto Serif SC SemiBold"/>
    <w:panose1 w:val="02000000000000000000"/>
    <w:charset w:val="80"/>
    <w:family w:val="auto"/>
    <w:pitch w:val="default"/>
    <w:sig w:usb0="00000000" w:usb1="00000000" w:usb2="00000010" w:usb3="00000000" w:csb0="003E0001" w:csb1="00000000"/>
    <w:embedRegular r:id="rId3" w:fontKey="{7DC4B0F0-0F6A-47C3-9A82-DA378F6898ED}"/>
  </w:font>
  <w:font w:name="Noto Serif SC SemiBold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8ACD3F5-227C-4809-969F-0074AFDCD2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8D82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F719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F719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8DAD0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2A60C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>
                            <w:rPr>
                              <w:rFonts w:hint="eastAsia" w:ascii="Times New Roman" w:hAnsi="Times New Roman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</w:rPr>
                            <w:t>（A</w:t>
                          </w:r>
                          <w:r>
                            <w:rPr>
                              <w:rFonts w:hint="eastAsia" w:ascii="Times New Roman" w:hAnsi="Times New Roman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F2A60C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</w:t>
                    </w:r>
                    <w:r>
                      <w:rPr>
                        <w:rFonts w:hint="eastAsia" w:ascii="Times New Roman" w:hAnsi="Times New Roman"/>
                        <w:lang w:val="en-US" w:eastAsia="zh-CN"/>
                      </w:rPr>
                      <w:t>11</w:t>
                    </w:r>
                    <w:r>
                      <w:rPr>
                        <w:rFonts w:ascii="Times New Roman" w:hAnsi="Times New Roman"/>
                      </w:rPr>
                      <w:t>（A</w:t>
                    </w:r>
                    <w:r>
                      <w:rPr>
                        <w:rFonts w:hint="eastAsia" w:ascii="Times New Roman" w:hAnsi="Times New Roman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C6E8D"/>
    <w:multiLevelType w:val="multilevel"/>
    <w:tmpl w:val="A77C6E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5D8986F"/>
    <w:multiLevelType w:val="singleLevel"/>
    <w:tmpl w:val="B5D898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70B99E9"/>
    <w:multiLevelType w:val="singleLevel"/>
    <w:tmpl w:val="B70B99E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AAE54E0"/>
    <w:multiLevelType w:val="multilevel"/>
    <w:tmpl w:val="3AAE54E0"/>
    <w:lvl w:ilvl="0" w:tentative="0">
      <w:start w:val="1"/>
      <w:numFmt w:val="bullet"/>
      <w:lvlText w:val="•"/>
      <w:lvlJc w:val="left"/>
      <w:pPr>
        <w:ind w:left="462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02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42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2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22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62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02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42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2" w:hanging="440"/>
      </w:pPr>
      <w:rPr>
        <w:rFonts w:hint="default" w:ascii="Wingdings" w:hAnsi="Wingdings"/>
      </w:rPr>
    </w:lvl>
  </w:abstractNum>
  <w:abstractNum w:abstractNumId="4">
    <w:nsid w:val="47B229A7"/>
    <w:multiLevelType w:val="multilevel"/>
    <w:tmpl w:val="47B229A7"/>
    <w:lvl w:ilvl="0" w:tentative="0">
      <w:start w:val="1"/>
      <w:numFmt w:val="japaneseCounting"/>
      <w:lvlText w:val="（%1）"/>
      <w:lvlJc w:val="left"/>
      <w:pPr>
        <w:ind w:left="740" w:hanging="7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17A2"/>
    <w:rsid w:val="000A4E73"/>
    <w:rsid w:val="000B1BD2"/>
    <w:rsid w:val="000C0F0D"/>
    <w:rsid w:val="000C13BC"/>
    <w:rsid w:val="000D28E5"/>
    <w:rsid w:val="000D34D7"/>
    <w:rsid w:val="000E72DB"/>
    <w:rsid w:val="000F7C03"/>
    <w:rsid w:val="00100633"/>
    <w:rsid w:val="001072BC"/>
    <w:rsid w:val="001121D7"/>
    <w:rsid w:val="00114BD6"/>
    <w:rsid w:val="00130F6D"/>
    <w:rsid w:val="00133554"/>
    <w:rsid w:val="00144082"/>
    <w:rsid w:val="0016381F"/>
    <w:rsid w:val="00163A48"/>
    <w:rsid w:val="00164E36"/>
    <w:rsid w:val="001678A2"/>
    <w:rsid w:val="00182854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53FA"/>
    <w:rsid w:val="001F7554"/>
    <w:rsid w:val="002074A0"/>
    <w:rsid w:val="00213448"/>
    <w:rsid w:val="00216A41"/>
    <w:rsid w:val="00217861"/>
    <w:rsid w:val="002204E4"/>
    <w:rsid w:val="002211BF"/>
    <w:rsid w:val="00233F15"/>
    <w:rsid w:val="00240C1B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1AB"/>
    <w:rsid w:val="002877FA"/>
    <w:rsid w:val="00290962"/>
    <w:rsid w:val="0029110B"/>
    <w:rsid w:val="00291F5C"/>
    <w:rsid w:val="002A4649"/>
    <w:rsid w:val="002A7227"/>
    <w:rsid w:val="002B0773"/>
    <w:rsid w:val="002B0C48"/>
    <w:rsid w:val="002B13CA"/>
    <w:rsid w:val="002B3650"/>
    <w:rsid w:val="002B7322"/>
    <w:rsid w:val="002B752C"/>
    <w:rsid w:val="002C2710"/>
    <w:rsid w:val="002C58B6"/>
    <w:rsid w:val="002C7649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5534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48D5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0ACE"/>
    <w:rsid w:val="00481F98"/>
    <w:rsid w:val="004852BF"/>
    <w:rsid w:val="00487A46"/>
    <w:rsid w:val="00493504"/>
    <w:rsid w:val="00494579"/>
    <w:rsid w:val="0049653D"/>
    <w:rsid w:val="00497334"/>
    <w:rsid w:val="004A4645"/>
    <w:rsid w:val="004A6F3A"/>
    <w:rsid w:val="004B408D"/>
    <w:rsid w:val="004B6F68"/>
    <w:rsid w:val="004B73F7"/>
    <w:rsid w:val="004D1BD9"/>
    <w:rsid w:val="004D4FB3"/>
    <w:rsid w:val="004D6B57"/>
    <w:rsid w:val="004D75A6"/>
    <w:rsid w:val="004E3456"/>
    <w:rsid w:val="004E475F"/>
    <w:rsid w:val="004F3DF0"/>
    <w:rsid w:val="005040EC"/>
    <w:rsid w:val="005074E1"/>
    <w:rsid w:val="005126F1"/>
    <w:rsid w:val="00513F2F"/>
    <w:rsid w:val="0051612A"/>
    <w:rsid w:val="00517176"/>
    <w:rsid w:val="0052192E"/>
    <w:rsid w:val="005241A5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C21"/>
    <w:rsid w:val="0056545B"/>
    <w:rsid w:val="0057496F"/>
    <w:rsid w:val="005770A6"/>
    <w:rsid w:val="0059045B"/>
    <w:rsid w:val="00597EC2"/>
    <w:rsid w:val="005A13AB"/>
    <w:rsid w:val="005A3591"/>
    <w:rsid w:val="005B1150"/>
    <w:rsid w:val="005B1FFC"/>
    <w:rsid w:val="005B2B6D"/>
    <w:rsid w:val="005B4B4E"/>
    <w:rsid w:val="005B6F27"/>
    <w:rsid w:val="005B772A"/>
    <w:rsid w:val="005C3A76"/>
    <w:rsid w:val="005C4329"/>
    <w:rsid w:val="005D0A2D"/>
    <w:rsid w:val="005D26EE"/>
    <w:rsid w:val="005D5AD3"/>
    <w:rsid w:val="005D5B6F"/>
    <w:rsid w:val="005E38A5"/>
    <w:rsid w:val="005F5185"/>
    <w:rsid w:val="0061049E"/>
    <w:rsid w:val="0062115C"/>
    <w:rsid w:val="0062265B"/>
    <w:rsid w:val="00624B5C"/>
    <w:rsid w:val="00624FE1"/>
    <w:rsid w:val="0062577D"/>
    <w:rsid w:val="00626498"/>
    <w:rsid w:val="0063249D"/>
    <w:rsid w:val="006331EE"/>
    <w:rsid w:val="006355E6"/>
    <w:rsid w:val="00637E00"/>
    <w:rsid w:val="0064038A"/>
    <w:rsid w:val="00646D66"/>
    <w:rsid w:val="0065167D"/>
    <w:rsid w:val="00652D13"/>
    <w:rsid w:val="0065750A"/>
    <w:rsid w:val="0066595A"/>
    <w:rsid w:val="00666206"/>
    <w:rsid w:val="00672788"/>
    <w:rsid w:val="006734E4"/>
    <w:rsid w:val="00676183"/>
    <w:rsid w:val="00680DA3"/>
    <w:rsid w:val="00682F96"/>
    <w:rsid w:val="0068377F"/>
    <w:rsid w:val="00687432"/>
    <w:rsid w:val="00691B24"/>
    <w:rsid w:val="00692A2E"/>
    <w:rsid w:val="00695B93"/>
    <w:rsid w:val="00697C16"/>
    <w:rsid w:val="006A5A89"/>
    <w:rsid w:val="006B3BB9"/>
    <w:rsid w:val="006B3F5B"/>
    <w:rsid w:val="006B48AC"/>
    <w:rsid w:val="006B5977"/>
    <w:rsid w:val="006C47E8"/>
    <w:rsid w:val="006D1B59"/>
    <w:rsid w:val="006D2F9C"/>
    <w:rsid w:val="006D4351"/>
    <w:rsid w:val="006D5424"/>
    <w:rsid w:val="006E5CA9"/>
    <w:rsid w:val="006E5E98"/>
    <w:rsid w:val="006E6A36"/>
    <w:rsid w:val="006E7A37"/>
    <w:rsid w:val="006F3151"/>
    <w:rsid w:val="007011CA"/>
    <w:rsid w:val="00702156"/>
    <w:rsid w:val="007056DE"/>
    <w:rsid w:val="00706121"/>
    <w:rsid w:val="00710B6B"/>
    <w:rsid w:val="00712A2C"/>
    <w:rsid w:val="00712E84"/>
    <w:rsid w:val="00714914"/>
    <w:rsid w:val="0072029C"/>
    <w:rsid w:val="007208D6"/>
    <w:rsid w:val="00726786"/>
    <w:rsid w:val="00732152"/>
    <w:rsid w:val="00732AF2"/>
    <w:rsid w:val="007428DF"/>
    <w:rsid w:val="00742BD1"/>
    <w:rsid w:val="00742E7A"/>
    <w:rsid w:val="0074424F"/>
    <w:rsid w:val="00745454"/>
    <w:rsid w:val="0075041B"/>
    <w:rsid w:val="0075092F"/>
    <w:rsid w:val="00763E73"/>
    <w:rsid w:val="00764FD9"/>
    <w:rsid w:val="007740B2"/>
    <w:rsid w:val="00774C1F"/>
    <w:rsid w:val="0078194F"/>
    <w:rsid w:val="00784543"/>
    <w:rsid w:val="0079243C"/>
    <w:rsid w:val="007934A4"/>
    <w:rsid w:val="007A0AC9"/>
    <w:rsid w:val="007A0BAA"/>
    <w:rsid w:val="007A1853"/>
    <w:rsid w:val="007A1B70"/>
    <w:rsid w:val="007A57F6"/>
    <w:rsid w:val="007B4FFB"/>
    <w:rsid w:val="007C0BCE"/>
    <w:rsid w:val="007C1D1B"/>
    <w:rsid w:val="007C3566"/>
    <w:rsid w:val="007C3893"/>
    <w:rsid w:val="007C41A9"/>
    <w:rsid w:val="007C6CD3"/>
    <w:rsid w:val="007C794A"/>
    <w:rsid w:val="007D5326"/>
    <w:rsid w:val="007D5A33"/>
    <w:rsid w:val="007E4F3A"/>
    <w:rsid w:val="007E620F"/>
    <w:rsid w:val="007E663C"/>
    <w:rsid w:val="007E7795"/>
    <w:rsid w:val="007F5AC1"/>
    <w:rsid w:val="0080066B"/>
    <w:rsid w:val="00803578"/>
    <w:rsid w:val="00815B8D"/>
    <w:rsid w:val="00815B8E"/>
    <w:rsid w:val="00816D99"/>
    <w:rsid w:val="00817819"/>
    <w:rsid w:val="0082324C"/>
    <w:rsid w:val="00823D71"/>
    <w:rsid w:val="008245AF"/>
    <w:rsid w:val="008256B9"/>
    <w:rsid w:val="0083705D"/>
    <w:rsid w:val="0084242F"/>
    <w:rsid w:val="00845795"/>
    <w:rsid w:val="00847437"/>
    <w:rsid w:val="008550FD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E8E"/>
    <w:rsid w:val="008D3D5F"/>
    <w:rsid w:val="008D4E81"/>
    <w:rsid w:val="008D505F"/>
    <w:rsid w:val="008E00AE"/>
    <w:rsid w:val="008E0F55"/>
    <w:rsid w:val="008E486C"/>
    <w:rsid w:val="008F253F"/>
    <w:rsid w:val="008F2C8E"/>
    <w:rsid w:val="008F7F31"/>
    <w:rsid w:val="00900019"/>
    <w:rsid w:val="009023B1"/>
    <w:rsid w:val="009147D6"/>
    <w:rsid w:val="00914D98"/>
    <w:rsid w:val="00925F8C"/>
    <w:rsid w:val="00927324"/>
    <w:rsid w:val="00932549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422"/>
    <w:rsid w:val="00994793"/>
    <w:rsid w:val="00996AE3"/>
    <w:rsid w:val="009A0450"/>
    <w:rsid w:val="009A10A3"/>
    <w:rsid w:val="009A1E27"/>
    <w:rsid w:val="009A307B"/>
    <w:rsid w:val="009B04E7"/>
    <w:rsid w:val="009B14E8"/>
    <w:rsid w:val="009B4D21"/>
    <w:rsid w:val="009B5A73"/>
    <w:rsid w:val="009B6516"/>
    <w:rsid w:val="009C54C9"/>
    <w:rsid w:val="009C589C"/>
    <w:rsid w:val="009D192B"/>
    <w:rsid w:val="009D2582"/>
    <w:rsid w:val="009D26CE"/>
    <w:rsid w:val="009D33E1"/>
    <w:rsid w:val="009D3B45"/>
    <w:rsid w:val="009D5BC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D82"/>
    <w:rsid w:val="00A40645"/>
    <w:rsid w:val="00A6016C"/>
    <w:rsid w:val="00A63084"/>
    <w:rsid w:val="00A769B1"/>
    <w:rsid w:val="00A77DA3"/>
    <w:rsid w:val="00A837D5"/>
    <w:rsid w:val="00A83E04"/>
    <w:rsid w:val="00A86C20"/>
    <w:rsid w:val="00A86E88"/>
    <w:rsid w:val="00A91091"/>
    <w:rsid w:val="00A93EE3"/>
    <w:rsid w:val="00A94BA9"/>
    <w:rsid w:val="00AA2C9F"/>
    <w:rsid w:val="00AA4970"/>
    <w:rsid w:val="00AA536D"/>
    <w:rsid w:val="00AA55C4"/>
    <w:rsid w:val="00AB22C0"/>
    <w:rsid w:val="00AB28FC"/>
    <w:rsid w:val="00AB49E4"/>
    <w:rsid w:val="00AC1479"/>
    <w:rsid w:val="00AC2AAC"/>
    <w:rsid w:val="00AC40F1"/>
    <w:rsid w:val="00AC4C45"/>
    <w:rsid w:val="00AD1085"/>
    <w:rsid w:val="00AD2B65"/>
    <w:rsid w:val="00AD5B40"/>
    <w:rsid w:val="00AF287E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297"/>
    <w:rsid w:val="00B55465"/>
    <w:rsid w:val="00B56541"/>
    <w:rsid w:val="00B605ED"/>
    <w:rsid w:val="00B71F97"/>
    <w:rsid w:val="00B72538"/>
    <w:rsid w:val="00B736A7"/>
    <w:rsid w:val="00B7651F"/>
    <w:rsid w:val="00B87A05"/>
    <w:rsid w:val="00B919FA"/>
    <w:rsid w:val="00B94A16"/>
    <w:rsid w:val="00BA6044"/>
    <w:rsid w:val="00BB0DDD"/>
    <w:rsid w:val="00BB1A93"/>
    <w:rsid w:val="00BB6F06"/>
    <w:rsid w:val="00BC14BF"/>
    <w:rsid w:val="00BC2625"/>
    <w:rsid w:val="00BC3200"/>
    <w:rsid w:val="00BC338A"/>
    <w:rsid w:val="00BD7AB0"/>
    <w:rsid w:val="00BE220C"/>
    <w:rsid w:val="00BF3C20"/>
    <w:rsid w:val="00C011BC"/>
    <w:rsid w:val="00C03DBA"/>
    <w:rsid w:val="00C04438"/>
    <w:rsid w:val="00C051A3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05C"/>
    <w:rsid w:val="00C47360"/>
    <w:rsid w:val="00C516B1"/>
    <w:rsid w:val="00C5350C"/>
    <w:rsid w:val="00C54446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2713"/>
    <w:rsid w:val="00D04A3A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93A"/>
    <w:rsid w:val="00D80FD3"/>
    <w:rsid w:val="00D8285B"/>
    <w:rsid w:val="00D862EB"/>
    <w:rsid w:val="00D86619"/>
    <w:rsid w:val="00D93E7C"/>
    <w:rsid w:val="00D97DF4"/>
    <w:rsid w:val="00DB2BE6"/>
    <w:rsid w:val="00DB6E05"/>
    <w:rsid w:val="00DB76B3"/>
    <w:rsid w:val="00DD1052"/>
    <w:rsid w:val="00DD2429"/>
    <w:rsid w:val="00DD3C7B"/>
    <w:rsid w:val="00DE2B21"/>
    <w:rsid w:val="00DE48DE"/>
    <w:rsid w:val="00DF25F2"/>
    <w:rsid w:val="00DF4166"/>
    <w:rsid w:val="00E000F4"/>
    <w:rsid w:val="00E01231"/>
    <w:rsid w:val="00E03F57"/>
    <w:rsid w:val="00E04279"/>
    <w:rsid w:val="00E065F0"/>
    <w:rsid w:val="00E11393"/>
    <w:rsid w:val="00E125D9"/>
    <w:rsid w:val="00E16D30"/>
    <w:rsid w:val="00E22CD2"/>
    <w:rsid w:val="00E31E69"/>
    <w:rsid w:val="00E33169"/>
    <w:rsid w:val="00E34A7B"/>
    <w:rsid w:val="00E40973"/>
    <w:rsid w:val="00E5105D"/>
    <w:rsid w:val="00E545FF"/>
    <w:rsid w:val="00E57E82"/>
    <w:rsid w:val="00E6080E"/>
    <w:rsid w:val="00E64168"/>
    <w:rsid w:val="00E655B3"/>
    <w:rsid w:val="00E7081D"/>
    <w:rsid w:val="00E70904"/>
    <w:rsid w:val="00E71319"/>
    <w:rsid w:val="00E71F1D"/>
    <w:rsid w:val="00E75171"/>
    <w:rsid w:val="00E804B0"/>
    <w:rsid w:val="00E86772"/>
    <w:rsid w:val="00E90B8B"/>
    <w:rsid w:val="00E93ADD"/>
    <w:rsid w:val="00E952D8"/>
    <w:rsid w:val="00EB00E4"/>
    <w:rsid w:val="00EB1E46"/>
    <w:rsid w:val="00EB28DA"/>
    <w:rsid w:val="00EB3812"/>
    <w:rsid w:val="00EB44EB"/>
    <w:rsid w:val="00EB66B8"/>
    <w:rsid w:val="00EB791E"/>
    <w:rsid w:val="00EC70A9"/>
    <w:rsid w:val="00ED0193"/>
    <w:rsid w:val="00ED1A6F"/>
    <w:rsid w:val="00ED4C3A"/>
    <w:rsid w:val="00ED5466"/>
    <w:rsid w:val="00ED7ABE"/>
    <w:rsid w:val="00EE1C85"/>
    <w:rsid w:val="00EF21D9"/>
    <w:rsid w:val="00EF2A94"/>
    <w:rsid w:val="00EF32FB"/>
    <w:rsid w:val="00EF44B1"/>
    <w:rsid w:val="00EF4865"/>
    <w:rsid w:val="00EF5954"/>
    <w:rsid w:val="00F017A4"/>
    <w:rsid w:val="00F06908"/>
    <w:rsid w:val="00F100D2"/>
    <w:rsid w:val="00F106AA"/>
    <w:rsid w:val="00F12942"/>
    <w:rsid w:val="00F13C41"/>
    <w:rsid w:val="00F14886"/>
    <w:rsid w:val="00F16421"/>
    <w:rsid w:val="00F201EE"/>
    <w:rsid w:val="00F2512F"/>
    <w:rsid w:val="00F35AA0"/>
    <w:rsid w:val="00F43C49"/>
    <w:rsid w:val="00F45C12"/>
    <w:rsid w:val="00F544A2"/>
    <w:rsid w:val="00F672F9"/>
    <w:rsid w:val="00F73D03"/>
    <w:rsid w:val="00F76CB9"/>
    <w:rsid w:val="00F77A73"/>
    <w:rsid w:val="00F80E46"/>
    <w:rsid w:val="00F814BD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6FE6"/>
    <w:rsid w:val="00FF01A4"/>
    <w:rsid w:val="00FF2856"/>
    <w:rsid w:val="00FF47F6"/>
    <w:rsid w:val="016E63C2"/>
    <w:rsid w:val="024B0C39"/>
    <w:rsid w:val="0A8128A6"/>
    <w:rsid w:val="0B50723E"/>
    <w:rsid w:val="0BF32A1B"/>
    <w:rsid w:val="0CED3E6B"/>
    <w:rsid w:val="0D9F57CE"/>
    <w:rsid w:val="10BD2C22"/>
    <w:rsid w:val="18ED60D3"/>
    <w:rsid w:val="1CAC6365"/>
    <w:rsid w:val="22987C80"/>
    <w:rsid w:val="24192CCC"/>
    <w:rsid w:val="26F4679D"/>
    <w:rsid w:val="28491E22"/>
    <w:rsid w:val="35344454"/>
    <w:rsid w:val="39A66CD4"/>
    <w:rsid w:val="3CD52CE1"/>
    <w:rsid w:val="410F2E6A"/>
    <w:rsid w:val="4430136C"/>
    <w:rsid w:val="4AB0382B"/>
    <w:rsid w:val="522874AE"/>
    <w:rsid w:val="569868B5"/>
    <w:rsid w:val="5AD563E4"/>
    <w:rsid w:val="611F6817"/>
    <w:rsid w:val="66CA1754"/>
    <w:rsid w:val="6BEE02A6"/>
    <w:rsid w:val="6F1E65D4"/>
    <w:rsid w:val="6F266C86"/>
    <w:rsid w:val="6F5042C2"/>
    <w:rsid w:val="74316312"/>
    <w:rsid w:val="780F13C8"/>
    <w:rsid w:val="7C385448"/>
    <w:rsid w:val="7CB3663D"/>
    <w:rsid w:val="7D301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5304</Words>
  <Characters>5416</Characters>
  <Lines>22</Lines>
  <Paragraphs>6</Paragraphs>
  <TotalTime>51</TotalTime>
  <ScaleCrop>false</ScaleCrop>
  <LinksUpToDate>false</LinksUpToDate>
  <CharactersWithSpaces>5454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2023-12-26T00:05:00Z</dcterms:created>
  <dc:creator>juvg</dc:creator>
  <cp:lastModifiedBy>诺儿</cp:lastModifiedBy>
  <cp:lastPrinted>2026-03-06T04:23:40Z</cp:lastPrinted>
  <dcterms:modified xsi:type="dcterms:W3CDTF">2026-03-06T04:25:41Z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eyJoZGlkIjoiMzEwNTM5NzYwMDRjMzkwZTVkZjY2ODkwMGIxNGU0OTUiLCJ1c2VySWQiOiI1NTIxNDUxNDYifQ==</vt:lpwstr>
  </property>
</Properties>
</file>