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/>
        </w:rPr>
        <w:t>上海建桥学院课程教学进度计划表</w:t>
      </w:r>
    </w:p>
    <w:p>
      <w:pPr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hint="eastAsia" w:eastAsia="宋体" w:cs="Calibri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肖彤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t>xlzhen321@163.com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宝石</w:t>
            </w:r>
            <w:r>
              <w:rPr>
                <w:rFonts w:hint="eastAsia"/>
              </w:rPr>
              <w:t>B21-2,3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80" w:firstLineChars="200"/>
              <w:rPr>
                <w:rFonts w:eastAsia="宋体"/>
              </w:rPr>
            </w:pPr>
            <w:r>
              <w:rPr>
                <w:rFonts w:hint="eastAsia" w:eastAsia="宋体"/>
              </w:rPr>
              <w:t>二教304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  <w:lang w:val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</w:rPr>
              <w:t>周五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34节，     地点：珠宝学院2楼答疑室</w:t>
            </w:r>
            <w:r>
              <w:rPr>
                <w:kern w:val="0"/>
                <w:sz w:val="18"/>
                <w:szCs w:val="18"/>
              </w:rPr>
              <w:t>，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  <w:lang w:val="zh-TW"/>
              </w:rPr>
              <w:t>电话：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13801853533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>盛骤等 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>参考教材【概率论与数理统计习题全解指南 浙江大学 盛骤等主编】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第一章第一节随机试验样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第三节频率和概率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第六节事件的独立性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第二章 第一节随机变量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第四章第一节数学期望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第二节方差</w:t>
            </w:r>
          </w:p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第五章第一节大数定律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/>
        </w:rPr>
        <w:t>三、评价方式以及在总评成绩中的比例</w:t>
      </w:r>
    </w:p>
    <w:tbl>
      <w:tblPr>
        <w:tblStyle w:val="7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4985"/>
        <w:gridCol w:w="20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总评构成（X）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x期中测验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肖彤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ascii="仿宋" w:hAnsi="仿宋" w:eastAsia="仿宋" w:cs="仿宋"/>
          <w:position w:val="-40"/>
          <w:sz w:val="28"/>
          <w:szCs w:val="28"/>
          <w:lang w:val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23/9/1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頁</w:t>
    </w:r>
  </w:p>
  <w:p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w:pict>
        <v:shape id="4098" o:spid="_x0000_s1025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joinstyle="miter"/>
          <v:imagedata o:title=""/>
          <o:lock v:ext="edit"/>
          <v:textbox inset="1.27mm,1.27mm,1.27mm,1.27mm">
            <w:txbxContent>
              <w:p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514577"/>
    <w:rsid w:val="00065C78"/>
    <w:rsid w:val="000A413B"/>
    <w:rsid w:val="00100042"/>
    <w:rsid w:val="002A1977"/>
    <w:rsid w:val="00432F49"/>
    <w:rsid w:val="00514577"/>
    <w:rsid w:val="00550407"/>
    <w:rsid w:val="00721413"/>
    <w:rsid w:val="007F61D4"/>
    <w:rsid w:val="00C575F3"/>
    <w:rsid w:val="00F52612"/>
    <w:rsid w:val="3EB36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51</TotalTime>
  <ScaleCrop>false</ScaleCrop>
  <LinksUpToDate>false</LinksUpToDate>
  <CharactersWithSpaces>874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归去来兮</cp:lastModifiedBy>
  <dcterms:modified xsi:type="dcterms:W3CDTF">2023-09-20T11:06:41Z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9fe611d72ae14c67956b0b19ddb51db9</vt:lpwstr>
  </property>
  <property fmtid="{D5CDD505-2E9C-101B-9397-08002B2CF9AE}" pid="3" name="KSOProductBuildVer">
    <vt:lpwstr>2052-12.1.0.15404</vt:lpwstr>
  </property>
</Properties>
</file>