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bookmarkStart w:id="0" w:name="_GoBack"/>
      <w:bookmarkEnd w:id="0"/>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pPr>
        <w:snapToGrid w:val="0"/>
        <w:spacing w:after="180" w:afterLines="50"/>
        <w:jc w:val="center"/>
        <w:rPr>
          <w:rFonts w:ascii="仿宋" w:hAnsi="仿宋" w:eastAsia="仿宋"/>
          <w:sz w:val="28"/>
          <w:szCs w:val="28"/>
        </w:rPr>
      </w:pPr>
    </w:p>
    <w:p>
      <w:pPr>
        <w:snapToGrid w:val="0"/>
        <w:spacing w:before="180" w:beforeLines="50" w:after="180" w:afterLines="50"/>
        <w:jc w:val="both"/>
        <w:rPr>
          <w:rFonts w:ascii="仿宋" w:hAnsi="仿宋" w:eastAsia="仿宋"/>
          <w:b/>
          <w:color w:val="000000"/>
          <w:sz w:val="28"/>
          <w:szCs w:val="28"/>
          <w:lang w:eastAsia="zh-CN"/>
        </w:rPr>
      </w:pPr>
      <w:r>
        <w:rPr>
          <w:rFonts w:ascii="仿宋" w:hAnsi="仿宋" w:eastAsia="仿宋"/>
          <w:b/>
          <w:color w:val="000000"/>
          <w:sz w:val="28"/>
          <w:szCs w:val="28"/>
          <w:lang w:eastAsia="zh-CN"/>
        </w:rPr>
        <w:t>一</w:t>
      </w:r>
      <w:r>
        <w:rPr>
          <w:rFonts w:hint="eastAsia" w:ascii="仿宋" w:hAnsi="仿宋" w:eastAsia="仿宋"/>
          <w:b/>
          <w:color w:val="000000"/>
          <w:sz w:val="28"/>
          <w:szCs w:val="28"/>
          <w:lang w:eastAsia="zh-CN"/>
        </w:rPr>
        <w:t>、</w:t>
      </w:r>
      <w:r>
        <w:rPr>
          <w:rFonts w:ascii="仿宋" w:hAnsi="仿宋" w:eastAsia="仿宋"/>
          <w:b/>
          <w:color w:val="000000"/>
          <w:sz w:val="28"/>
          <w:szCs w:val="28"/>
          <w:lang w:eastAsia="zh-CN"/>
        </w:rPr>
        <w:t>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课程代码</w:t>
            </w:r>
          </w:p>
        </w:tc>
        <w:tc>
          <w:tcPr>
            <w:tcW w:w="2268" w:type="dxa"/>
            <w:vAlign w:val="center"/>
          </w:tcPr>
          <w:p>
            <w:pPr>
              <w:tabs>
                <w:tab w:val="left" w:pos="532"/>
              </w:tabs>
              <w:spacing w:line="340" w:lineRule="exact"/>
              <w:jc w:val="center"/>
              <w:rPr>
                <w:rFonts w:ascii="宋体" w:hAnsi="宋体" w:eastAsia="宋体"/>
                <w:sz w:val="21"/>
                <w:szCs w:val="21"/>
                <w:lang w:eastAsia="zh-CN"/>
              </w:rPr>
            </w:pPr>
            <w:r>
              <w:rPr>
                <w:rFonts w:hint="eastAsia"/>
                <w:color w:val="000000"/>
                <w:sz w:val="20"/>
                <w:szCs w:val="20"/>
              </w:rPr>
              <w:t>21300</w:t>
            </w:r>
            <w:r>
              <w:rPr>
                <w:color w:val="000000"/>
                <w:sz w:val="20"/>
                <w:szCs w:val="20"/>
              </w:rPr>
              <w:t>27</w:t>
            </w:r>
          </w:p>
        </w:tc>
        <w:tc>
          <w:tcPr>
            <w:tcW w:w="1134" w:type="dxa"/>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kern w:val="0"/>
                <w:sz w:val="21"/>
                <w:szCs w:val="21"/>
              </w:rPr>
              <w:t>课程名称</w:t>
            </w:r>
          </w:p>
        </w:tc>
        <w:tc>
          <w:tcPr>
            <w:tcW w:w="3969"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家庭与社区教育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pPr>
              <w:tabs>
                <w:tab w:val="left" w:pos="532"/>
              </w:tabs>
              <w:spacing w:line="340" w:lineRule="exact"/>
              <w:jc w:val="center"/>
              <w:rPr>
                <w:rFonts w:ascii="宋体" w:hAnsi="宋体" w:eastAsia="宋体"/>
                <w:sz w:val="21"/>
                <w:szCs w:val="21"/>
                <w:lang w:eastAsia="zh-CN"/>
              </w:rPr>
            </w:pPr>
            <w:r>
              <w:rPr>
                <w:rFonts w:ascii="宋体" w:hAnsi="宋体" w:eastAsia="宋体"/>
                <w:sz w:val="21"/>
                <w:szCs w:val="21"/>
                <w:lang w:eastAsia="zh-CN"/>
              </w:rPr>
              <w:t>1</w:t>
            </w:r>
          </w:p>
        </w:tc>
        <w:tc>
          <w:tcPr>
            <w:tcW w:w="1134"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pPr>
              <w:tabs>
                <w:tab w:val="left" w:pos="532"/>
              </w:tabs>
              <w:spacing w:line="340" w:lineRule="exact"/>
              <w:jc w:val="center"/>
              <w:rPr>
                <w:rFonts w:ascii="宋体" w:hAnsi="宋体" w:eastAsia="宋体"/>
                <w:sz w:val="21"/>
                <w:szCs w:val="21"/>
                <w:lang w:eastAsia="zh-CN"/>
              </w:rPr>
            </w:pPr>
            <w:r>
              <w:rPr>
                <w:rFonts w:ascii="宋体" w:hAnsi="宋体" w:eastAsia="宋体"/>
                <w:sz w:val="21"/>
                <w:szCs w:val="21"/>
                <w:lang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杨洁</w:t>
            </w:r>
          </w:p>
        </w:tc>
        <w:tc>
          <w:tcPr>
            <w:tcW w:w="1134" w:type="dxa"/>
            <w:vAlign w:val="center"/>
          </w:tcPr>
          <w:p>
            <w:pPr>
              <w:tabs>
                <w:tab w:val="left" w:pos="532"/>
              </w:tabs>
              <w:spacing w:line="340" w:lineRule="exact"/>
              <w:jc w:val="center"/>
              <w:rPr>
                <w:rFonts w:ascii="黑体" w:hAnsi="黑体" w:eastAsia="黑体"/>
                <w:kern w:val="0"/>
                <w:sz w:val="21"/>
                <w:szCs w:val="21"/>
              </w:rPr>
            </w:pPr>
            <w:r>
              <w:rPr>
                <w:rFonts w:ascii="黑体" w:hAnsi="黑体" w:eastAsia="黑体"/>
                <w:kern w:val="0"/>
                <w:sz w:val="21"/>
                <w:szCs w:val="21"/>
              </w:rPr>
              <w:t>教师邮箱</w:t>
            </w:r>
          </w:p>
        </w:tc>
        <w:tc>
          <w:tcPr>
            <w:tcW w:w="3969" w:type="dxa"/>
            <w:vAlign w:val="center"/>
          </w:tcPr>
          <w:p>
            <w:pPr>
              <w:tabs>
                <w:tab w:val="left" w:pos="532"/>
              </w:tabs>
              <w:spacing w:line="340" w:lineRule="exact"/>
              <w:rPr>
                <w:rFonts w:ascii="宋体" w:hAnsi="宋体" w:eastAsia="宋体"/>
                <w:sz w:val="21"/>
                <w:szCs w:val="21"/>
                <w:lang w:eastAsia="zh-CN"/>
              </w:rPr>
            </w:pPr>
            <w:r>
              <w:rPr>
                <w:rFonts w:hint="eastAsia" w:ascii="宋体" w:hAnsi="宋体" w:eastAsia="宋体"/>
                <w:sz w:val="21"/>
                <w:szCs w:val="21"/>
                <w:lang w:eastAsia="zh-CN"/>
              </w:rPr>
              <w:t>15016@gench</w:t>
            </w:r>
            <w:r>
              <w:rPr>
                <w:rFonts w:ascii="宋体" w:hAnsi="宋体" w:eastAsia="宋体"/>
                <w:sz w:val="21"/>
                <w:szCs w:val="21"/>
                <w:lang w:eastAsia="zh-CN"/>
              </w:rPr>
              <w: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pPr>
              <w:tabs>
                <w:tab w:val="left" w:pos="532"/>
              </w:tabs>
              <w:spacing w:line="340" w:lineRule="exact"/>
              <w:rPr>
                <w:rFonts w:asciiTheme="majorEastAsia" w:hAnsiTheme="majorEastAsia" w:eastAsiaTheme="majorEastAsia"/>
                <w:color w:val="000000"/>
                <w:sz w:val="20"/>
                <w:szCs w:val="20"/>
                <w:lang w:eastAsia="zh-CN"/>
              </w:rPr>
            </w:pPr>
            <w:r>
              <w:rPr>
                <w:rFonts w:hint="eastAsia" w:asciiTheme="majorEastAsia" w:hAnsiTheme="majorEastAsia" w:eastAsiaTheme="majorEastAsia"/>
                <w:color w:val="000000"/>
                <w:sz w:val="20"/>
                <w:szCs w:val="20"/>
                <w:lang w:eastAsia="zh-CN"/>
              </w:rPr>
              <w:t>学前B19-1、2、3</w:t>
            </w:r>
          </w:p>
        </w:tc>
        <w:tc>
          <w:tcPr>
            <w:tcW w:w="1134"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pPr>
              <w:tabs>
                <w:tab w:val="left" w:pos="532"/>
              </w:tabs>
              <w:spacing w:line="340" w:lineRule="exact"/>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-118</w:t>
            </w:r>
            <w:r>
              <w:rPr>
                <w:rFonts w:hint="eastAsia" w:ascii="宋体" w:hAnsi="宋体" w:eastAsia="宋体"/>
                <w:sz w:val="21"/>
                <w:szCs w:val="21"/>
                <w:lang w:eastAsia="zh-CN"/>
              </w:rPr>
              <w:t>、1</w:t>
            </w:r>
            <w:r>
              <w:rPr>
                <w:rFonts w:ascii="宋体" w:hAnsi="宋体" w:eastAsia="宋体"/>
                <w:sz w:val="21"/>
                <w:szCs w:val="21"/>
                <w:lang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pPr>
              <w:tabs>
                <w:tab w:val="left" w:pos="532"/>
              </w:tabs>
              <w:spacing w:line="340" w:lineRule="exact"/>
              <w:rPr>
                <w:rFonts w:asciiTheme="minorEastAsia" w:hAnsiTheme="minorEastAsia" w:eastAsiaTheme="minorEastAsia"/>
                <w:kern w:val="0"/>
                <w:sz w:val="21"/>
                <w:szCs w:val="21"/>
                <w:lang w:eastAsia="zh-CN"/>
              </w:rPr>
            </w:pPr>
            <w:r>
              <w:rPr>
                <w:rFonts w:hint="eastAsia" w:asciiTheme="minorEastAsia" w:hAnsiTheme="minorEastAsia" w:eastAsiaTheme="minorEastAsia"/>
                <w:sz w:val="20"/>
                <w:szCs w:val="20"/>
              </w:rPr>
              <w:t>《幼儿园、家庭与社区教育》，沈卓卿，上海交通大学出版社，</w:t>
            </w:r>
            <w:r>
              <w:rPr>
                <w:rFonts w:asciiTheme="minorEastAsia" w:hAnsiTheme="minorEastAsia" w:eastAsiaTheme="minorEastAsia"/>
                <w:sz w:val="20"/>
                <w:szCs w:val="20"/>
              </w:rPr>
              <w:t>2019</w:t>
            </w:r>
            <w:r>
              <w:rPr>
                <w:rFonts w:hint="eastAsia" w:asciiTheme="minorEastAsia" w:hAnsiTheme="minorEastAsia" w:eastAsiaTheme="minor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pPr>
              <w:snapToGrid w:val="0"/>
              <w:spacing w:line="288" w:lineRule="auto"/>
              <w:jc w:val="both"/>
              <w:rPr>
                <w:rFonts w:ascii="Calibri" w:hAnsi="Calibri" w:eastAsia="宋体"/>
                <w:sz w:val="20"/>
                <w:szCs w:val="20"/>
                <w:lang w:eastAsia="zh-CN"/>
              </w:rPr>
            </w:pPr>
            <w:r>
              <w:rPr>
                <w:rFonts w:ascii="Calibri" w:hAnsi="Calibri" w:eastAsia="宋体"/>
                <w:sz w:val="20"/>
                <w:szCs w:val="20"/>
                <w:lang w:eastAsia="zh-CN"/>
              </w:rPr>
              <w:t>参考</w:t>
            </w:r>
            <w:r>
              <w:rPr>
                <w:rFonts w:hint="eastAsia" w:ascii="Calibri" w:hAnsi="Calibri" w:eastAsia="宋体"/>
                <w:sz w:val="20"/>
                <w:szCs w:val="20"/>
                <w:lang w:eastAsia="zh-CN"/>
              </w:rPr>
              <w:t>书目：【《学前儿童家庭与社区教育》，李燕，高等教育出版社，</w:t>
            </w:r>
            <w:r>
              <w:rPr>
                <w:rFonts w:ascii="Calibri" w:hAnsi="Calibri" w:eastAsia="宋体"/>
                <w:sz w:val="20"/>
                <w:szCs w:val="20"/>
                <w:lang w:eastAsia="zh-CN"/>
              </w:rPr>
              <w:t>2017</w:t>
            </w:r>
            <w:r>
              <w:rPr>
                <w:rFonts w:hint="eastAsia" w:ascii="Calibri" w:hAnsi="Calibri" w:eastAsia="宋体"/>
                <w:sz w:val="20"/>
                <w:szCs w:val="20"/>
                <w:lang w:eastAsia="zh-CN"/>
              </w:rPr>
              <w:t>年】</w:t>
            </w:r>
          </w:p>
          <w:p>
            <w:pPr>
              <w:snapToGrid w:val="0"/>
              <w:spacing w:line="288" w:lineRule="auto"/>
              <w:jc w:val="both"/>
              <w:rPr>
                <w:rFonts w:ascii="Calibri" w:hAnsi="Calibri" w:eastAsia="宋体"/>
                <w:sz w:val="20"/>
                <w:szCs w:val="20"/>
                <w:lang w:eastAsia="zh-CN"/>
              </w:rPr>
            </w:pPr>
            <w:r>
              <w:rPr>
                <w:rFonts w:hint="eastAsia" w:ascii="Calibri" w:hAnsi="Calibri" w:eastAsia="宋体"/>
                <w:sz w:val="20"/>
                <w:szCs w:val="20"/>
                <w:lang w:eastAsia="zh-CN"/>
              </w:rPr>
              <w:t>【《学前儿童家庭与社区教育》，李涛主编，华东师范大学出版社，</w:t>
            </w:r>
            <w:r>
              <w:rPr>
                <w:rFonts w:ascii="Calibri" w:hAnsi="Calibri" w:eastAsia="宋体"/>
                <w:sz w:val="20"/>
                <w:szCs w:val="20"/>
                <w:lang w:eastAsia="zh-CN"/>
              </w:rPr>
              <w:t>2017</w:t>
            </w:r>
            <w:r>
              <w:rPr>
                <w:rFonts w:hint="eastAsia" w:ascii="Calibri" w:hAnsi="Calibri" w:eastAsia="宋体"/>
                <w:sz w:val="20"/>
                <w:szCs w:val="20"/>
                <w:lang w:eastAsia="zh-CN"/>
              </w:rPr>
              <w:t>年】</w:t>
            </w:r>
          </w:p>
          <w:p>
            <w:pPr>
              <w:snapToGrid w:val="0"/>
              <w:spacing w:line="288" w:lineRule="auto"/>
              <w:jc w:val="both"/>
              <w:rPr>
                <w:rFonts w:ascii="Calibri" w:hAnsi="Calibri" w:eastAsia="宋体"/>
                <w:sz w:val="20"/>
                <w:szCs w:val="20"/>
                <w:lang w:eastAsia="zh-CN"/>
              </w:rPr>
            </w:pPr>
            <w:r>
              <w:rPr>
                <w:rFonts w:hint="eastAsia" w:ascii="Calibri" w:hAnsi="Calibri" w:eastAsia="宋体"/>
                <w:sz w:val="20"/>
                <w:szCs w:val="20"/>
                <w:lang w:eastAsia="zh-CN"/>
              </w:rPr>
              <w:t>【《学前儿童家庭与社区教育》，李贵希，王燕，北京师范大学出版社，</w:t>
            </w:r>
            <w:r>
              <w:rPr>
                <w:rFonts w:ascii="Calibri" w:hAnsi="Calibri" w:eastAsia="宋体"/>
                <w:sz w:val="20"/>
                <w:szCs w:val="20"/>
                <w:lang w:eastAsia="zh-CN"/>
              </w:rPr>
              <w:t>2015</w:t>
            </w:r>
            <w:r>
              <w:rPr>
                <w:rFonts w:hint="eastAsia" w:ascii="Calibri" w:hAnsi="Calibri" w:eastAsia="宋体"/>
                <w:sz w:val="20"/>
                <w:szCs w:val="20"/>
                <w:lang w:eastAsia="zh-CN"/>
              </w:rPr>
              <w:t>年】</w:t>
            </w:r>
          </w:p>
          <w:p>
            <w:pPr>
              <w:snapToGrid w:val="0"/>
              <w:spacing w:line="288" w:lineRule="auto"/>
              <w:rPr>
                <w:rFonts w:ascii="Calibri" w:hAnsi="Calibri" w:eastAsia="宋体"/>
                <w:sz w:val="20"/>
                <w:szCs w:val="20"/>
                <w:lang w:eastAsia="zh-CN"/>
              </w:rPr>
            </w:pPr>
            <w:r>
              <w:rPr>
                <w:rFonts w:hint="eastAsia" w:ascii="Calibri" w:hAnsi="Calibri" w:eastAsia="宋体"/>
                <w:sz w:val="20"/>
                <w:szCs w:val="20"/>
                <w:lang w:eastAsia="zh-CN"/>
              </w:rPr>
              <w:t>【《家庭教育学》（第二版），缪建东，高等教育出版社，</w:t>
            </w:r>
            <w:r>
              <w:rPr>
                <w:rFonts w:ascii="Calibri" w:hAnsi="Calibri" w:eastAsia="宋体"/>
                <w:sz w:val="20"/>
                <w:szCs w:val="20"/>
                <w:lang w:eastAsia="zh-CN"/>
              </w:rPr>
              <w:t>2015</w:t>
            </w:r>
            <w:r>
              <w:rPr>
                <w:rFonts w:hint="eastAsia" w:ascii="Calibri" w:hAnsi="Calibri" w:eastAsia="宋体"/>
                <w:sz w:val="20"/>
                <w:szCs w:val="20"/>
                <w:lang w:eastAsia="zh-CN"/>
              </w:rPr>
              <w:t>年】</w:t>
            </w:r>
          </w:p>
          <w:p>
            <w:pPr>
              <w:snapToGrid w:val="0"/>
              <w:spacing w:line="288" w:lineRule="auto"/>
              <w:rPr>
                <w:b/>
                <w:bCs/>
                <w:sz w:val="20"/>
                <w:szCs w:val="20"/>
              </w:rPr>
            </w:pPr>
            <w:r>
              <w:rPr>
                <w:rFonts w:hint="eastAsia" w:ascii="Calibri" w:hAnsi="Calibri" w:eastAsia="宋体"/>
                <w:b/>
                <w:bCs/>
                <w:sz w:val="20"/>
                <w:szCs w:val="20"/>
                <w:lang w:eastAsia="zh-CN"/>
              </w:rPr>
              <w:t>课程网站网址：</w:t>
            </w:r>
            <w:r>
              <w:rPr>
                <w:b/>
                <w:bCs/>
                <w:sz w:val="20"/>
                <w:szCs w:val="20"/>
              </w:rPr>
              <w:t xml:space="preserve"> </w:t>
            </w:r>
          </w:p>
          <w:p>
            <w:pPr>
              <w:snapToGrid w:val="0"/>
              <w:spacing w:line="288" w:lineRule="auto"/>
              <w:rPr>
                <w:sz w:val="20"/>
                <w:szCs w:val="20"/>
              </w:rPr>
            </w:pPr>
            <w:r>
              <w:fldChar w:fldCharType="begin"/>
            </w:r>
            <w:r>
              <w:instrText xml:space="preserve"> HYPERLINK "https://www.icourse163.org/learn/NJNU-1206013804?tid=1463295451" \l "/learn/announce" </w:instrText>
            </w:r>
            <w:r>
              <w:fldChar w:fldCharType="separate"/>
            </w:r>
            <w:r>
              <w:rPr>
                <w:rStyle w:val="9"/>
                <w:color w:val="auto"/>
                <w:sz w:val="20"/>
                <w:szCs w:val="20"/>
              </w:rPr>
              <w:t>https://www.icourse163.org/learn/NJNU-1206013804?tid=1463295451#/learn/announce</w:t>
            </w:r>
            <w:r>
              <w:rPr>
                <w:rStyle w:val="9"/>
                <w:color w:val="auto"/>
                <w:sz w:val="20"/>
                <w:szCs w:val="20"/>
              </w:rPr>
              <w:fldChar w:fldCharType="end"/>
            </w:r>
          </w:p>
        </w:tc>
      </w:tr>
    </w:tbl>
    <w:p>
      <w:pPr>
        <w:snapToGrid w:val="0"/>
        <w:spacing w:line="340" w:lineRule="exact"/>
        <w:rPr>
          <w:rFonts w:ascii="Calibri" w:hAnsi="Calibri" w:eastAsia="宋体"/>
          <w:b/>
          <w:color w:val="000000"/>
          <w:szCs w:val="20"/>
          <w:lang w:eastAsia="zh-CN"/>
        </w:rPr>
      </w:pPr>
    </w:p>
    <w:p>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709"/>
        <w:gridCol w:w="3827"/>
        <w:gridCol w:w="1276"/>
        <w:gridCol w:w="2977"/>
      </w:tblGrid>
      <w:tr>
        <w:trPr>
          <w:trHeight w:val="528"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29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CellMar>
            <w:top w:w="0" w:type="dxa"/>
            <w:left w:w="0" w:type="dxa"/>
            <w:bottom w:w="0" w:type="dxa"/>
            <w:right w:w="0" w:type="dxa"/>
          </w:tblCellMar>
        </w:tblPrEx>
        <w:trPr>
          <w:trHeight w:val="528"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1-2</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理论教学内容：</w:t>
            </w:r>
            <w:r>
              <w:rPr>
                <w:rFonts w:ascii="宋体" w:hAnsi="宋体" w:eastAsia="宋体" w:cs="Arial"/>
                <w:kern w:val="0"/>
                <w:sz w:val="18"/>
                <w:szCs w:val="18"/>
                <w:lang w:eastAsia="zh-CN"/>
              </w:rPr>
              <w:t xml:space="preserve"> </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1.</w:t>
            </w:r>
            <w:r>
              <w:rPr>
                <w:rFonts w:hint="eastAsia" w:ascii="宋体" w:hAnsi="宋体" w:eastAsia="宋体" w:cs="Arial"/>
                <w:kern w:val="0"/>
                <w:sz w:val="18"/>
                <w:szCs w:val="18"/>
                <w:lang w:eastAsia="zh-CN"/>
              </w:rPr>
              <w:t>知道学前儿童家庭教育影响因素的维度。</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2.</w:t>
            </w:r>
            <w:r>
              <w:rPr>
                <w:rFonts w:hint="eastAsia" w:ascii="宋体" w:hAnsi="宋体" w:eastAsia="宋体" w:cs="Arial"/>
                <w:kern w:val="0"/>
                <w:sz w:val="18"/>
                <w:szCs w:val="18"/>
                <w:lang w:eastAsia="zh-CN"/>
              </w:rPr>
              <w:t>分析学前儿童家庭教育的影响因素。</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实验教学内容：</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学前儿童家庭教育的常见问题收集</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讲授法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讨论法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翻转课堂</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小组汇报</w:t>
            </w:r>
          </w:p>
        </w:tc>
        <w:tc>
          <w:tcPr>
            <w:tcW w:w="29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收集并整理学前儿童家庭教育的常见问题。</w:t>
            </w:r>
          </w:p>
        </w:tc>
      </w:tr>
      <w:tr>
        <w:tblPrEx>
          <w:tblCellMar>
            <w:top w:w="0" w:type="dxa"/>
            <w:left w:w="0" w:type="dxa"/>
            <w:bottom w:w="0" w:type="dxa"/>
            <w:right w:w="0" w:type="dxa"/>
          </w:tblCellMar>
        </w:tblPrEx>
        <w:trPr>
          <w:trHeight w:val="528"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3</w:t>
            </w:r>
            <w:r>
              <w:rPr>
                <w:rFonts w:ascii="宋体" w:hAnsi="宋体" w:eastAsia="宋体" w:cs="Arial"/>
                <w:kern w:val="0"/>
                <w:sz w:val="18"/>
                <w:szCs w:val="18"/>
                <w:lang w:eastAsia="zh-CN"/>
              </w:rPr>
              <w:t>-4</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理论教学内容：</w:t>
            </w:r>
            <w:r>
              <w:rPr>
                <w:rFonts w:ascii="宋体" w:hAnsi="宋体" w:eastAsia="宋体" w:cs="Arial"/>
                <w:kern w:val="0"/>
                <w:sz w:val="18"/>
                <w:szCs w:val="18"/>
                <w:lang w:eastAsia="zh-CN"/>
              </w:rPr>
              <w:t xml:space="preserve"> </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1.</w:t>
            </w:r>
            <w:r>
              <w:rPr>
                <w:rFonts w:hint="eastAsia" w:ascii="宋体" w:hAnsi="宋体" w:eastAsia="宋体" w:cs="Arial"/>
                <w:kern w:val="0"/>
                <w:sz w:val="18"/>
                <w:szCs w:val="18"/>
                <w:lang w:eastAsia="zh-CN"/>
              </w:rPr>
              <w:t>理解学前儿童家庭教育的内容与原则。</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2.</w:t>
            </w:r>
            <w:r>
              <w:rPr>
                <w:rFonts w:hint="eastAsia" w:ascii="宋体" w:hAnsi="宋体" w:eastAsia="宋体" w:cs="Arial"/>
                <w:kern w:val="0"/>
                <w:sz w:val="18"/>
                <w:szCs w:val="18"/>
                <w:lang w:eastAsia="zh-CN"/>
              </w:rPr>
              <w:t>使用学前儿童家庭教育的内容与原则。</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实验教学内容：</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学前儿童家庭教育的现状调查</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讲授法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讨论法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翻转课堂</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作品展示</w:t>
            </w:r>
          </w:p>
        </w:tc>
        <w:tc>
          <w:tcPr>
            <w:tcW w:w="29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制定一份学前儿童家庭教育现状的调查计划。</w:t>
            </w:r>
          </w:p>
        </w:tc>
      </w:tr>
      <w:tr>
        <w:tblPrEx>
          <w:tblCellMar>
            <w:top w:w="0" w:type="dxa"/>
            <w:left w:w="0" w:type="dxa"/>
            <w:bottom w:w="0" w:type="dxa"/>
            <w:right w:w="0" w:type="dxa"/>
          </w:tblCellMar>
        </w:tblPrEx>
        <w:trPr>
          <w:trHeight w:val="528"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5-6</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理论教学内容：</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1.</w:t>
            </w:r>
            <w:r>
              <w:rPr>
                <w:rFonts w:hint="eastAsia" w:ascii="宋体" w:hAnsi="宋体" w:eastAsia="宋体" w:cs="Arial"/>
                <w:kern w:val="0"/>
                <w:sz w:val="18"/>
                <w:szCs w:val="18"/>
                <w:lang w:eastAsia="zh-CN"/>
              </w:rPr>
              <w:t>分析不同年龄阶段的学前儿童家庭教育的问题。</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2.</w:t>
            </w:r>
            <w:r>
              <w:rPr>
                <w:rFonts w:hint="eastAsia" w:ascii="宋体" w:hAnsi="宋体" w:eastAsia="宋体" w:cs="Arial"/>
                <w:kern w:val="0"/>
                <w:sz w:val="18"/>
                <w:szCs w:val="18"/>
                <w:lang w:eastAsia="zh-CN"/>
              </w:rPr>
              <w:t>综合不同年龄阶段的学前儿童家庭教育问题解决的策略。</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实验教学内容：</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归纳、寻找相关的学前儿童家庭与社区教育的未来发展趋势，并形成一份文献综述汇总材料。</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翻转课堂</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学生主讲展示，教师总结点评</w:t>
            </w:r>
          </w:p>
        </w:tc>
        <w:tc>
          <w:tcPr>
            <w:tcW w:w="29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学前儿童家庭、社区教育的未来发展趋势拓展阅读</w:t>
            </w:r>
          </w:p>
        </w:tc>
      </w:tr>
      <w:tr>
        <w:tblPrEx>
          <w:tblCellMar>
            <w:top w:w="0" w:type="dxa"/>
            <w:left w:w="0" w:type="dxa"/>
            <w:bottom w:w="0" w:type="dxa"/>
            <w:right w:w="0" w:type="dxa"/>
          </w:tblCellMar>
        </w:tblPrEx>
        <w:trPr>
          <w:trHeight w:val="528"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7-8</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理论教学内容：</w:t>
            </w:r>
            <w:r>
              <w:rPr>
                <w:rFonts w:ascii="宋体" w:hAnsi="宋体" w:eastAsia="宋体" w:cs="Arial"/>
                <w:kern w:val="0"/>
                <w:sz w:val="18"/>
                <w:szCs w:val="18"/>
                <w:lang w:eastAsia="zh-CN"/>
              </w:rPr>
              <w:t xml:space="preserve"> </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1.</w:t>
            </w:r>
            <w:r>
              <w:rPr>
                <w:rFonts w:hint="eastAsia" w:ascii="宋体" w:hAnsi="宋体" w:eastAsia="宋体" w:cs="Arial"/>
                <w:kern w:val="0"/>
                <w:sz w:val="18"/>
                <w:szCs w:val="18"/>
                <w:lang w:eastAsia="zh-CN"/>
              </w:rPr>
              <w:t>理解学前儿童家庭与社区教育面临的困境与出路。</w:t>
            </w:r>
          </w:p>
          <w:p>
            <w:pPr>
              <w:widowControl/>
              <w:rPr>
                <w:rFonts w:ascii="宋体" w:hAnsi="宋体" w:eastAsia="宋体" w:cs="Arial"/>
                <w:kern w:val="0"/>
                <w:sz w:val="18"/>
                <w:szCs w:val="18"/>
                <w:lang w:eastAsia="zh-CN"/>
              </w:rPr>
            </w:pPr>
            <w:r>
              <w:rPr>
                <w:rFonts w:ascii="宋体" w:hAnsi="宋体" w:eastAsia="宋体" w:cs="Arial"/>
                <w:kern w:val="0"/>
                <w:sz w:val="18"/>
                <w:szCs w:val="18"/>
                <w:lang w:eastAsia="zh-CN"/>
              </w:rPr>
              <w:t>2.</w:t>
            </w:r>
            <w:r>
              <w:rPr>
                <w:rFonts w:hint="eastAsia" w:ascii="宋体" w:hAnsi="宋体" w:eastAsia="宋体" w:cs="Arial"/>
                <w:kern w:val="0"/>
                <w:sz w:val="18"/>
                <w:szCs w:val="18"/>
                <w:lang w:eastAsia="zh-CN"/>
              </w:rPr>
              <w:t>评价学前儿童家庭与社区教育的未来发展。</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实验教学内容：</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学前儿童家庭、社区教育的实施方法与应对策略（附：场景模拟设计演练）</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讲授法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讨论法</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翻转课堂</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项目演示</w:t>
            </w:r>
          </w:p>
        </w:tc>
        <w:tc>
          <w:tcPr>
            <w:tcW w:w="29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场景模拟扮演角色，展示一次学前儿童家庭与社区教育的有效实施方法与策略的现场案例。</w:t>
            </w:r>
          </w:p>
        </w:tc>
      </w:tr>
    </w:tbl>
    <w:p>
      <w:pPr>
        <w:snapToGrid w:val="0"/>
        <w:jc w:val="both"/>
        <w:rPr>
          <w:rFonts w:ascii="仿宋" w:hAnsi="仿宋" w:eastAsia="仿宋"/>
          <w:b/>
          <w:color w:val="000000"/>
          <w:sz w:val="28"/>
          <w:szCs w:val="28"/>
          <w:lang w:eastAsia="zh-CN"/>
        </w:rPr>
      </w:pPr>
    </w:p>
    <w:p>
      <w:pPr>
        <w:snapToGrid w:val="0"/>
        <w:spacing w:before="360" w:beforeLines="10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w:t>
      </w:r>
      <w:r>
        <w:rPr>
          <w:rFonts w:ascii="仿宋" w:hAnsi="仿宋" w:eastAsia="仿宋"/>
          <w:b/>
          <w:color w:val="000000"/>
          <w:sz w:val="28"/>
          <w:szCs w:val="28"/>
          <w:lang w:eastAsia="zh-CN"/>
        </w:rPr>
        <w:t>在总评</w:t>
      </w:r>
      <w:r>
        <w:rPr>
          <w:rFonts w:hint="eastAsia" w:ascii="仿宋" w:hAnsi="仿宋" w:eastAsia="仿宋"/>
          <w:b/>
          <w:color w:val="000000"/>
          <w:sz w:val="28"/>
          <w:szCs w:val="28"/>
          <w:lang w:eastAsia="zh-CN"/>
        </w:rPr>
        <w:t>成绩</w:t>
      </w:r>
      <w:r>
        <w:rPr>
          <w:rFonts w:ascii="仿宋" w:hAnsi="仿宋" w:eastAsia="仿宋"/>
          <w:b/>
          <w:color w:val="000000"/>
          <w:sz w:val="28"/>
          <w:szCs w:val="28"/>
          <w:lang w:eastAsia="zh-CN"/>
        </w:rPr>
        <w:t>中的比</w:t>
      </w:r>
      <w:r>
        <w:rPr>
          <w:rFonts w:hint="eastAsia" w:ascii="仿宋" w:hAnsi="仿宋" w:eastAsia="仿宋"/>
          <w:b/>
          <w:color w:val="000000"/>
          <w:sz w:val="28"/>
          <w:szCs w:val="28"/>
          <w:lang w:eastAsia="zh-CN"/>
        </w:rPr>
        <w:t>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评价方式</w:t>
            </w:r>
          </w:p>
        </w:tc>
        <w:tc>
          <w:tcPr>
            <w:tcW w:w="2127"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1</w:t>
            </w:r>
          </w:p>
        </w:tc>
        <w:tc>
          <w:tcPr>
            <w:tcW w:w="5103" w:type="dxa"/>
            <w:shd w:val="clear" w:color="auto" w:fill="auto"/>
          </w:tcPr>
          <w:p>
            <w:pPr>
              <w:spacing w:line="288" w:lineRule="auto"/>
              <w:ind w:firstLine="400" w:firstLineChars="200"/>
              <w:jc w:val="center"/>
              <w:rPr>
                <w:rFonts w:asciiTheme="minorEastAsia" w:hAnsiTheme="minorEastAsia" w:eastAsiaTheme="minorEastAsia"/>
                <w:bCs/>
                <w:color w:val="000000"/>
                <w:sz w:val="20"/>
                <w:szCs w:val="20"/>
              </w:rPr>
            </w:pPr>
            <w:r>
              <w:rPr>
                <w:rFonts w:hint="eastAsia" w:asciiTheme="minorEastAsia" w:hAnsiTheme="minorEastAsia" w:eastAsiaTheme="minorEastAsia"/>
                <w:sz w:val="20"/>
                <w:szCs w:val="20"/>
              </w:rPr>
              <w:t>期末考试（开卷）</w:t>
            </w:r>
          </w:p>
        </w:tc>
        <w:tc>
          <w:tcPr>
            <w:tcW w:w="2127"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X1</w:t>
            </w:r>
          </w:p>
        </w:tc>
        <w:tc>
          <w:tcPr>
            <w:tcW w:w="5103"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hint="eastAsia" w:asciiTheme="minorEastAsia" w:hAnsiTheme="minorEastAsia" w:eastAsiaTheme="minorEastAsia"/>
                <w:sz w:val="20"/>
                <w:szCs w:val="20"/>
              </w:rPr>
              <w:t>课堂展示</w:t>
            </w:r>
            <w:r>
              <w:rPr>
                <w:rFonts w:asciiTheme="minorEastAsia" w:hAnsiTheme="minorEastAsia" w:eastAsiaTheme="minorEastAsia"/>
                <w:sz w:val="20"/>
                <w:szCs w:val="20"/>
              </w:rPr>
              <w:t xml:space="preserve"> </w:t>
            </w:r>
          </w:p>
        </w:tc>
        <w:tc>
          <w:tcPr>
            <w:tcW w:w="2127"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X2</w:t>
            </w:r>
          </w:p>
        </w:tc>
        <w:tc>
          <w:tcPr>
            <w:tcW w:w="5103"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hint="eastAsia" w:asciiTheme="minorEastAsia" w:hAnsiTheme="minorEastAsia" w:eastAsiaTheme="minorEastAsia"/>
                <w:sz w:val="20"/>
                <w:szCs w:val="20"/>
              </w:rPr>
              <w:t>小组项目汇报</w:t>
            </w:r>
          </w:p>
        </w:tc>
        <w:tc>
          <w:tcPr>
            <w:tcW w:w="2127"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X3</w:t>
            </w:r>
          </w:p>
        </w:tc>
        <w:tc>
          <w:tcPr>
            <w:tcW w:w="5103"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hint="eastAsia" w:asciiTheme="minorEastAsia" w:hAnsiTheme="minorEastAsia" w:eastAsiaTheme="minorEastAsia"/>
                <w:sz w:val="20"/>
                <w:szCs w:val="20"/>
              </w:rPr>
              <w:t>平时表现</w:t>
            </w:r>
          </w:p>
        </w:tc>
        <w:tc>
          <w:tcPr>
            <w:tcW w:w="2127" w:type="dxa"/>
            <w:shd w:val="clear" w:color="auto" w:fill="auto"/>
          </w:tcPr>
          <w:p>
            <w:pPr>
              <w:snapToGrid w:val="0"/>
              <w:spacing w:before="180" w:beforeLines="50" w:after="180" w:afterLines="50"/>
              <w:jc w:val="center"/>
              <w:rPr>
                <w:rFonts w:asciiTheme="minorEastAsia" w:hAnsiTheme="minorEastAsia" w:eastAsiaTheme="minorEastAsia"/>
                <w:bCs/>
                <w:color w:val="000000"/>
                <w:sz w:val="20"/>
                <w:szCs w:val="20"/>
              </w:rPr>
            </w:pPr>
            <w:r>
              <w:rPr>
                <w:rFonts w:asciiTheme="minorEastAsia" w:hAnsiTheme="minorEastAsia" w:eastAsiaTheme="minorEastAsia"/>
                <w:sz w:val="20"/>
                <w:szCs w:val="20"/>
              </w:rPr>
              <w:t>15%</w:t>
            </w:r>
          </w:p>
        </w:tc>
      </w:tr>
    </w:tbl>
    <w:p/>
    <w:p>
      <w:pPr>
        <w:tabs>
          <w:tab w:val="left" w:pos="3420"/>
          <w:tab w:val="left" w:pos="7560"/>
        </w:tabs>
        <w:spacing w:before="72" w:beforeLines="20"/>
        <w:ind w:left="420" w:hanging="420"/>
        <w:jc w:val="both"/>
        <w:outlineLvl w:val="0"/>
        <w:rPr>
          <w:rFonts w:ascii="仿宋" w:hAnsi="仿宋" w:eastAsia="仿宋"/>
          <w:color w:val="000000"/>
          <w:position w:val="-20"/>
          <w:lang w:eastAsia="zh-CN"/>
        </w:rPr>
      </w:pPr>
      <w:r>
        <w:rPr>
          <w:rFonts w:ascii="仿宋" w:hAnsi="仿宋" w:eastAsia="仿宋"/>
          <w:color w:val="000000"/>
          <w:position w:val="-20"/>
          <w:lang w:eastAsia="zh-CN"/>
        </w:rPr>
        <w:t>备注：</w:t>
      </w:r>
    </w:p>
    <w:p>
      <w:pPr>
        <w:tabs>
          <w:tab w:val="left" w:pos="3420"/>
          <w:tab w:val="left" w:pos="7560"/>
        </w:tabs>
        <w:spacing w:before="72" w:beforeLines="20"/>
        <w:ind w:left="420" w:hanging="420"/>
        <w:jc w:val="both"/>
        <w:outlineLvl w:val="0"/>
        <w:rPr>
          <w:rFonts w:ascii="仿宋" w:hAnsi="仿宋" w:eastAsia="仿宋"/>
          <w:color w:val="000000"/>
          <w:position w:val="-20"/>
          <w:lang w:eastAsia="zh-CN"/>
        </w:rPr>
      </w:pPr>
      <w:r>
        <w:rPr>
          <w:rFonts w:ascii="仿宋" w:hAnsi="仿宋" w:eastAsia="仿宋"/>
          <w:color w:val="000000"/>
          <w:position w:val="-20"/>
          <w:lang w:eastAsia="zh-CN"/>
        </w:rPr>
        <w:t>教学内容不宜简单地填写第几章、第几节，应就教学内容本身做简单明了的概括；</w:t>
      </w:r>
    </w:p>
    <w:p>
      <w:pPr>
        <w:tabs>
          <w:tab w:val="left" w:pos="3420"/>
          <w:tab w:val="left" w:pos="7560"/>
        </w:tabs>
        <w:spacing w:before="72" w:beforeLines="20"/>
        <w:ind w:left="420" w:hanging="420"/>
        <w:jc w:val="both"/>
        <w:outlineLvl w:val="0"/>
        <w:rPr>
          <w:rFonts w:ascii="仿宋" w:hAnsi="仿宋" w:eastAsia="仿宋"/>
          <w:color w:val="000000"/>
          <w:position w:val="-20"/>
          <w:lang w:eastAsia="zh-CN"/>
        </w:rPr>
      </w:pPr>
      <w:r>
        <w:rPr>
          <w:rFonts w:hint="eastAsia" w:ascii="仿宋" w:hAnsi="仿宋" w:eastAsia="仿宋"/>
          <w:color w:val="000000"/>
          <w:position w:val="-20"/>
          <w:lang w:eastAsia="zh-CN"/>
        </w:rPr>
        <w:t>教学</w:t>
      </w:r>
      <w:r>
        <w:rPr>
          <w:rFonts w:hint="eastAsia" w:ascii="仿宋" w:hAnsi="仿宋" w:eastAsia="仿宋"/>
          <w:color w:val="000000"/>
          <w:position w:val="-20"/>
        </w:rPr>
        <w:t>方式为讲课、实验、讨论</w:t>
      </w:r>
      <w:r>
        <w:rPr>
          <w:rFonts w:hint="eastAsia" w:ascii="仿宋" w:hAnsi="仿宋" w:eastAsia="仿宋"/>
          <w:color w:val="000000"/>
          <w:position w:val="-20"/>
          <w:lang w:eastAsia="zh-CN"/>
        </w:rPr>
        <w:t>课</w:t>
      </w:r>
      <w:r>
        <w:rPr>
          <w:rFonts w:hint="eastAsia" w:ascii="仿宋" w:hAnsi="仿宋" w:eastAsia="仿宋"/>
          <w:color w:val="000000"/>
          <w:position w:val="-20"/>
        </w:rPr>
        <w:t>、</w:t>
      </w:r>
      <w:r>
        <w:rPr>
          <w:rFonts w:hint="eastAsia" w:ascii="仿宋" w:hAnsi="仿宋" w:eastAsia="仿宋"/>
          <w:color w:val="000000"/>
          <w:position w:val="-20"/>
          <w:lang w:eastAsia="zh-CN"/>
        </w:rPr>
        <w:t>习题课、</w:t>
      </w:r>
      <w:r>
        <w:rPr>
          <w:rFonts w:hint="eastAsia" w:ascii="仿宋" w:hAnsi="仿宋" w:eastAsia="仿宋"/>
          <w:color w:val="000000"/>
          <w:position w:val="-20"/>
        </w:rPr>
        <w:t>参观、</w:t>
      </w:r>
      <w:r>
        <w:rPr>
          <w:rFonts w:ascii="仿宋" w:hAnsi="仿宋" w:eastAsia="仿宋"/>
          <w:color w:val="000000"/>
          <w:position w:val="-20"/>
        </w:rPr>
        <w:t>边讲边练</w:t>
      </w:r>
      <w:r>
        <w:rPr>
          <w:rFonts w:hint="eastAsia" w:ascii="仿宋" w:hAnsi="仿宋" w:eastAsia="仿宋"/>
          <w:color w:val="000000"/>
          <w:position w:val="-20"/>
        </w:rPr>
        <w:t>、</w:t>
      </w:r>
      <w:r>
        <w:rPr>
          <w:rFonts w:hint="eastAsia" w:ascii="仿宋" w:hAnsi="仿宋" w:eastAsia="仿宋"/>
          <w:color w:val="000000"/>
          <w:position w:val="-20"/>
          <w:lang w:eastAsia="zh-CN"/>
        </w:rPr>
        <w:t>汇报</w:t>
      </w:r>
      <w:r>
        <w:rPr>
          <w:rFonts w:hint="eastAsia" w:ascii="仿宋" w:hAnsi="仿宋" w:eastAsia="仿宋"/>
          <w:color w:val="000000"/>
          <w:position w:val="-20"/>
        </w:rPr>
        <w:t>、考核</w:t>
      </w:r>
      <w:r>
        <w:rPr>
          <w:rFonts w:hint="eastAsia" w:ascii="仿宋" w:hAnsi="仿宋" w:eastAsia="仿宋"/>
          <w:color w:val="000000"/>
          <w:position w:val="-20"/>
          <w:lang w:eastAsia="zh-CN"/>
        </w:rPr>
        <w:t>等；</w:t>
      </w:r>
    </w:p>
    <w:p>
      <w:pPr>
        <w:tabs>
          <w:tab w:val="left" w:pos="3420"/>
          <w:tab w:val="left" w:pos="7560"/>
        </w:tabs>
        <w:spacing w:before="72" w:beforeLines="20"/>
        <w:jc w:val="both"/>
        <w:outlineLvl w:val="0"/>
        <w:rPr>
          <w:rFonts w:ascii="仿宋" w:hAnsi="仿宋" w:eastAsia="仿宋"/>
          <w:color w:val="000000"/>
          <w:position w:val="-20"/>
          <w:lang w:eastAsia="zh-CN"/>
        </w:rPr>
      </w:pPr>
      <w:r>
        <w:rPr>
          <w:rFonts w:hint="eastAsia" w:ascii="仿宋" w:hAnsi="仿宋" w:eastAsia="仿宋"/>
          <w:color w:val="000000"/>
          <w:position w:val="-20"/>
          <w:lang w:eastAsia="zh-CN"/>
        </w:rPr>
        <w:t>评价方式为期末考试“1”及过程考核“X</w:t>
      </w:r>
      <w:r>
        <w:rPr>
          <w:rFonts w:ascii="仿宋" w:hAnsi="仿宋" w:eastAsia="仿宋"/>
          <w:color w:val="000000"/>
          <w:position w:val="-20"/>
          <w:lang w:eastAsia="zh-CN"/>
        </w:rPr>
        <w:t>”</w:t>
      </w:r>
      <w:r>
        <w:rPr>
          <w:rFonts w:hint="eastAsia" w:ascii="仿宋" w:hAnsi="仿宋" w:eastAsia="仿宋"/>
          <w:color w:val="000000"/>
          <w:position w:val="-20"/>
          <w:lang w:eastAsia="zh-CN"/>
        </w:rPr>
        <w:t>，其中“1”为教学大纲中规定的形式；“X”可由任课教师或课程组自行确定（同一门课程多位教师任课的须由课程组统一X的方式及比例</w:t>
      </w:r>
      <w:r>
        <w:rPr>
          <w:rFonts w:ascii="仿宋" w:hAnsi="仿宋" w:eastAsia="仿宋"/>
          <w:color w:val="000000"/>
          <w:position w:val="-20"/>
          <w:lang w:eastAsia="zh-CN"/>
        </w:rPr>
        <w:t>）</w:t>
      </w:r>
      <w:r>
        <w:rPr>
          <w:rFonts w:hint="eastAsia" w:ascii="仿宋" w:hAnsi="仿宋" w:eastAsia="仿宋"/>
          <w:color w:val="000000"/>
          <w:position w:val="-20"/>
          <w:lang w:eastAsia="zh-CN"/>
        </w:rPr>
        <w:t>。包括纸笔测验、课堂展示、阶段论文、调查（分析）报告、综合报告、读书笔记、小实验、小制作、小程序、小设计等，在表中相应的位置填入“1”和“X”的方式及成绩占比。</w:t>
      </w:r>
    </w:p>
    <w:p>
      <w:pPr>
        <w:tabs>
          <w:tab w:val="left" w:pos="3210"/>
          <w:tab w:val="left" w:pos="7560"/>
        </w:tabs>
        <w:spacing w:before="72" w:beforeLines="20" w:line="360" w:lineRule="auto"/>
        <w:jc w:val="both"/>
        <w:outlineLvl w:val="0"/>
        <w:rPr>
          <w:rFonts w:ascii="仿宋" w:hAnsi="仿宋" w:eastAsia="仿宋"/>
          <w:color w:val="000000"/>
          <w:position w:val="-20"/>
          <w:lang w:eastAsia="zh-CN"/>
        </w:rPr>
      </w:pPr>
    </w:p>
    <w:p>
      <w:pPr>
        <w:tabs>
          <w:tab w:val="left" w:pos="3210"/>
          <w:tab w:val="left" w:pos="7560"/>
        </w:tabs>
        <w:spacing w:before="72" w:beforeLines="20" w:line="360" w:lineRule="auto"/>
        <w:jc w:val="both"/>
        <w:outlineLvl w:val="0"/>
        <w:rPr>
          <w:rFonts w:ascii="仿宋" w:hAnsi="仿宋" w:eastAsia="仿宋"/>
          <w:sz w:val="28"/>
          <w:szCs w:val="28"/>
          <w:lang w:eastAsia="zh-CN"/>
        </w:rPr>
      </w:pPr>
      <w:r>
        <w:rPr>
          <w:rFonts w:hint="eastAsia" w:ascii="仿宋" w:hAnsi="仿宋" w:eastAsia="仿宋"/>
          <w:color w:val="000000"/>
          <w:position w:val="-20"/>
          <w:sz w:val="28"/>
          <w:szCs w:val="28"/>
        </w:rPr>
        <w:t>任课教师：杨洁</w:t>
      </w:r>
      <w:r>
        <w:rPr>
          <w:rFonts w:hint="eastAsia" w:ascii="仿宋" w:hAnsi="仿宋" w:eastAsia="仿宋"/>
          <w:color w:val="000000"/>
          <w:position w:val="-20"/>
          <w:sz w:val="28"/>
          <w:szCs w:val="28"/>
          <w:lang w:eastAsia="zh-CN"/>
        </w:rPr>
        <w:t xml:space="preserve">    </w: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lang w:eastAsia="zh-CN"/>
        </w:rPr>
        <w:t>系</w:t>
      </w:r>
      <w:r>
        <w:rPr>
          <w:rFonts w:hint="eastAsia" w:ascii="仿宋" w:hAnsi="仿宋" w:eastAsia="仿宋"/>
          <w:color w:val="000000"/>
          <w:position w:val="-20"/>
          <w:sz w:val="28"/>
          <w:szCs w:val="28"/>
        </w:rPr>
        <w:t>主任审核：</w:t>
      </w:r>
      <w:r>
        <w:rPr>
          <w:rFonts w:hint="eastAsia"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rPr>
        <w:t xml:space="preserve"> </w: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rPr>
        <w:t>日期：</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2.5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eS&#10;Km/TAAAACQEAAA8AAAAAAAAAAQAgAAAAIgAAAGRycy9kb3ducmV2LnhtbFBLAQIUABQAAAAIAIdO&#10;4kA6neHrYQIAAKcEAAAOAAAAAAAAAAEAIAAAACIBAABkcnMvZTJvRG9jLnhtbFBLBQYAAAAABgAG&#10;AFkBAAD1BQAAAAA=&#10;">
              <v:fill on="t" focussize="0,0"/>
              <v:stroke on="f" weight="0.5pt"/>
              <v:imagedata o:title=""/>
              <o:lock v:ext="edit" aspectratio="f"/>
              <v:textbox>
                <w:txbxContent>
                  <w:p>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A9A"/>
    <w:rsid w:val="00007974"/>
    <w:rsid w:val="000138B2"/>
    <w:rsid w:val="000369D9"/>
    <w:rsid w:val="00040BAC"/>
    <w:rsid w:val="000439B6"/>
    <w:rsid w:val="000457BB"/>
    <w:rsid w:val="00045AE0"/>
    <w:rsid w:val="000509DC"/>
    <w:rsid w:val="0005291A"/>
    <w:rsid w:val="00054B07"/>
    <w:rsid w:val="00061DF6"/>
    <w:rsid w:val="00065C53"/>
    <w:rsid w:val="000708DA"/>
    <w:rsid w:val="00073336"/>
    <w:rsid w:val="00075557"/>
    <w:rsid w:val="000757F8"/>
    <w:rsid w:val="00081FA0"/>
    <w:rsid w:val="00087FB2"/>
    <w:rsid w:val="00094CE3"/>
    <w:rsid w:val="0009637B"/>
    <w:rsid w:val="000A22C6"/>
    <w:rsid w:val="000A3531"/>
    <w:rsid w:val="000A448C"/>
    <w:rsid w:val="000A5A1C"/>
    <w:rsid w:val="000A5D03"/>
    <w:rsid w:val="000B165C"/>
    <w:rsid w:val="000B38AB"/>
    <w:rsid w:val="000B62B4"/>
    <w:rsid w:val="000C1065"/>
    <w:rsid w:val="000C3A32"/>
    <w:rsid w:val="000C65FF"/>
    <w:rsid w:val="000C7AFA"/>
    <w:rsid w:val="000D033F"/>
    <w:rsid w:val="000D1B9D"/>
    <w:rsid w:val="000D532D"/>
    <w:rsid w:val="000E2757"/>
    <w:rsid w:val="000F3B7C"/>
    <w:rsid w:val="000F3F3A"/>
    <w:rsid w:val="000F5825"/>
    <w:rsid w:val="000F77FE"/>
    <w:rsid w:val="00103793"/>
    <w:rsid w:val="001103D4"/>
    <w:rsid w:val="001121A1"/>
    <w:rsid w:val="0011669C"/>
    <w:rsid w:val="001212AD"/>
    <w:rsid w:val="001305E1"/>
    <w:rsid w:val="0013156D"/>
    <w:rsid w:val="00140258"/>
    <w:rsid w:val="00145CA9"/>
    <w:rsid w:val="0014621F"/>
    <w:rsid w:val="00161517"/>
    <w:rsid w:val="00161A65"/>
    <w:rsid w:val="001625E9"/>
    <w:rsid w:val="00163A68"/>
    <w:rsid w:val="00164B67"/>
    <w:rsid w:val="0016749D"/>
    <w:rsid w:val="00171DEE"/>
    <w:rsid w:val="00173320"/>
    <w:rsid w:val="00176B28"/>
    <w:rsid w:val="0017703A"/>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83"/>
    <w:rsid w:val="00290A4F"/>
    <w:rsid w:val="00290EB6"/>
    <w:rsid w:val="002A0689"/>
    <w:rsid w:val="002B23AD"/>
    <w:rsid w:val="002C578A"/>
    <w:rsid w:val="002D21B9"/>
    <w:rsid w:val="002E0E77"/>
    <w:rsid w:val="002E39E6"/>
    <w:rsid w:val="002E7F5C"/>
    <w:rsid w:val="002F20BD"/>
    <w:rsid w:val="002F2551"/>
    <w:rsid w:val="002F4DC5"/>
    <w:rsid w:val="00300031"/>
    <w:rsid w:val="00302917"/>
    <w:rsid w:val="00323A00"/>
    <w:rsid w:val="00325BFB"/>
    <w:rsid w:val="00326D1F"/>
    <w:rsid w:val="00331EC3"/>
    <w:rsid w:val="00340792"/>
    <w:rsid w:val="00344C4C"/>
    <w:rsid w:val="00345D55"/>
    <w:rsid w:val="00345ED6"/>
    <w:rsid w:val="00346279"/>
    <w:rsid w:val="003475AA"/>
    <w:rsid w:val="00350091"/>
    <w:rsid w:val="00353979"/>
    <w:rsid w:val="00355A41"/>
    <w:rsid w:val="00361EF9"/>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64C03"/>
    <w:rsid w:val="00472676"/>
    <w:rsid w:val="00472995"/>
    <w:rsid w:val="00474F4C"/>
    <w:rsid w:val="00474FEF"/>
    <w:rsid w:val="00475657"/>
    <w:rsid w:val="00475C85"/>
    <w:rsid w:val="004770DF"/>
    <w:rsid w:val="004807CF"/>
    <w:rsid w:val="00486234"/>
    <w:rsid w:val="004876E8"/>
    <w:rsid w:val="00487D85"/>
    <w:rsid w:val="004900C2"/>
    <w:rsid w:val="00492EE9"/>
    <w:rsid w:val="00496FB3"/>
    <w:rsid w:val="004A33E0"/>
    <w:rsid w:val="004A59AC"/>
    <w:rsid w:val="004A649E"/>
    <w:rsid w:val="004B04C5"/>
    <w:rsid w:val="004B3566"/>
    <w:rsid w:val="004C1D3E"/>
    <w:rsid w:val="004C7613"/>
    <w:rsid w:val="004D07ED"/>
    <w:rsid w:val="004E412A"/>
    <w:rsid w:val="004E68E7"/>
    <w:rsid w:val="004F0DAB"/>
    <w:rsid w:val="004F3726"/>
    <w:rsid w:val="005003D0"/>
    <w:rsid w:val="00500511"/>
    <w:rsid w:val="00503BD4"/>
    <w:rsid w:val="005041F9"/>
    <w:rsid w:val="005051C3"/>
    <w:rsid w:val="00505F1C"/>
    <w:rsid w:val="00507C41"/>
    <w:rsid w:val="00512339"/>
    <w:rsid w:val="0051562E"/>
    <w:rsid w:val="0052787A"/>
    <w:rsid w:val="005306A4"/>
    <w:rsid w:val="00530738"/>
    <w:rsid w:val="00531494"/>
    <w:rsid w:val="00541E3A"/>
    <w:rsid w:val="005452F2"/>
    <w:rsid w:val="00552F8A"/>
    <w:rsid w:val="00554878"/>
    <w:rsid w:val="0056101B"/>
    <w:rsid w:val="00561CE3"/>
    <w:rsid w:val="0056466D"/>
    <w:rsid w:val="0056717F"/>
    <w:rsid w:val="00570125"/>
    <w:rsid w:val="00572687"/>
    <w:rsid w:val="00573FD0"/>
    <w:rsid w:val="0057475B"/>
    <w:rsid w:val="00582439"/>
    <w:rsid w:val="005875E0"/>
    <w:rsid w:val="00587CC3"/>
    <w:rsid w:val="005A136E"/>
    <w:rsid w:val="005B1005"/>
    <w:rsid w:val="005B6225"/>
    <w:rsid w:val="005C4583"/>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44DC4"/>
    <w:rsid w:val="006537ED"/>
    <w:rsid w:val="00662291"/>
    <w:rsid w:val="00670F19"/>
    <w:rsid w:val="0067285B"/>
    <w:rsid w:val="006777DC"/>
    <w:rsid w:val="00681194"/>
    <w:rsid w:val="006849D2"/>
    <w:rsid w:val="00686F11"/>
    <w:rsid w:val="00692B28"/>
    <w:rsid w:val="00693552"/>
    <w:rsid w:val="00697452"/>
    <w:rsid w:val="006A006A"/>
    <w:rsid w:val="006A069C"/>
    <w:rsid w:val="006A2791"/>
    <w:rsid w:val="006A2DDC"/>
    <w:rsid w:val="006A4FA3"/>
    <w:rsid w:val="006A77E7"/>
    <w:rsid w:val="006B0F20"/>
    <w:rsid w:val="006B1B20"/>
    <w:rsid w:val="006B3072"/>
    <w:rsid w:val="006C15AE"/>
    <w:rsid w:val="006C5B2B"/>
    <w:rsid w:val="006D5C73"/>
    <w:rsid w:val="006D7264"/>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3DB4"/>
    <w:rsid w:val="008B56AB"/>
    <w:rsid w:val="008B71F2"/>
    <w:rsid w:val="008C2F3A"/>
    <w:rsid w:val="008D2640"/>
    <w:rsid w:val="008E2CC9"/>
    <w:rsid w:val="008E36BA"/>
    <w:rsid w:val="008E4701"/>
    <w:rsid w:val="008F099E"/>
    <w:rsid w:val="008F1EA9"/>
    <w:rsid w:val="008F2379"/>
    <w:rsid w:val="008F26F4"/>
    <w:rsid w:val="008F2AD8"/>
    <w:rsid w:val="008F6DC1"/>
    <w:rsid w:val="00900A34"/>
    <w:rsid w:val="00902A03"/>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53A06"/>
    <w:rsid w:val="00A6016E"/>
    <w:rsid w:val="00A6030A"/>
    <w:rsid w:val="00A62205"/>
    <w:rsid w:val="00A76249"/>
    <w:rsid w:val="00A801CE"/>
    <w:rsid w:val="00A8142F"/>
    <w:rsid w:val="00A840B9"/>
    <w:rsid w:val="00A85299"/>
    <w:rsid w:val="00A86C19"/>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0AE3"/>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56FC7"/>
    <w:rsid w:val="00B751A9"/>
    <w:rsid w:val="00B7624C"/>
    <w:rsid w:val="00B767B7"/>
    <w:rsid w:val="00B768F7"/>
    <w:rsid w:val="00BA5396"/>
    <w:rsid w:val="00BB00B3"/>
    <w:rsid w:val="00BC09B7"/>
    <w:rsid w:val="00BC622E"/>
    <w:rsid w:val="00BE1F18"/>
    <w:rsid w:val="00BE1F39"/>
    <w:rsid w:val="00BE747E"/>
    <w:rsid w:val="00BE7EFB"/>
    <w:rsid w:val="00BF7135"/>
    <w:rsid w:val="00C04815"/>
    <w:rsid w:val="00C13E75"/>
    <w:rsid w:val="00C15FA6"/>
    <w:rsid w:val="00C164B5"/>
    <w:rsid w:val="00C170D9"/>
    <w:rsid w:val="00C244F1"/>
    <w:rsid w:val="00C27FEC"/>
    <w:rsid w:val="00C3162C"/>
    <w:rsid w:val="00C3298F"/>
    <w:rsid w:val="00C34AD7"/>
    <w:rsid w:val="00C35184"/>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25BC"/>
    <w:rsid w:val="00C97B4D"/>
    <w:rsid w:val="00CA1CEF"/>
    <w:rsid w:val="00CB08A7"/>
    <w:rsid w:val="00CB6942"/>
    <w:rsid w:val="00CB7109"/>
    <w:rsid w:val="00CC0BE5"/>
    <w:rsid w:val="00CC7DCB"/>
    <w:rsid w:val="00CD7FEA"/>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275ED"/>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EA"/>
    <w:rsid w:val="00DA48B7"/>
    <w:rsid w:val="00DB7433"/>
    <w:rsid w:val="00DB74C6"/>
    <w:rsid w:val="00DC1BDA"/>
    <w:rsid w:val="00DC78C9"/>
    <w:rsid w:val="00DC7AA0"/>
    <w:rsid w:val="00DD0E64"/>
    <w:rsid w:val="00DD3088"/>
    <w:rsid w:val="00DD5879"/>
    <w:rsid w:val="00DD78B1"/>
    <w:rsid w:val="00DE7A45"/>
    <w:rsid w:val="00DF1D4C"/>
    <w:rsid w:val="00DF7EBD"/>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4407"/>
    <w:rsid w:val="00E8561E"/>
    <w:rsid w:val="00E92914"/>
    <w:rsid w:val="00E939F9"/>
    <w:rsid w:val="00E9734C"/>
    <w:rsid w:val="00EA36A4"/>
    <w:rsid w:val="00EA5341"/>
    <w:rsid w:val="00EA54AF"/>
    <w:rsid w:val="00EB4D8A"/>
    <w:rsid w:val="00EB65D8"/>
    <w:rsid w:val="00EB752B"/>
    <w:rsid w:val="00EC0823"/>
    <w:rsid w:val="00EC7382"/>
    <w:rsid w:val="00ED01BA"/>
    <w:rsid w:val="00ED092D"/>
    <w:rsid w:val="00ED41B5"/>
    <w:rsid w:val="00ED49EA"/>
    <w:rsid w:val="00ED6D42"/>
    <w:rsid w:val="00EE1656"/>
    <w:rsid w:val="00EF09CE"/>
    <w:rsid w:val="00F017A7"/>
    <w:rsid w:val="00F02E1D"/>
    <w:rsid w:val="00F03CA8"/>
    <w:rsid w:val="00F0406B"/>
    <w:rsid w:val="00F04720"/>
    <w:rsid w:val="00F07E95"/>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313C"/>
    <w:rsid w:val="00FE319F"/>
    <w:rsid w:val="00FE420C"/>
    <w:rsid w:val="00FE6709"/>
    <w:rsid w:val="00FF2D60"/>
    <w:rsid w:val="00FF654F"/>
    <w:rsid w:val="0250298D"/>
    <w:rsid w:val="0B02141F"/>
    <w:rsid w:val="0DB76A4A"/>
    <w:rsid w:val="199D2E85"/>
    <w:rsid w:val="1B9B294B"/>
    <w:rsid w:val="2E59298A"/>
    <w:rsid w:val="37E50B00"/>
    <w:rsid w:val="49DF08B3"/>
    <w:rsid w:val="65310993"/>
    <w:rsid w:val="6E256335"/>
    <w:rsid w:val="700912C5"/>
    <w:rsid w:val="74F62C86"/>
    <w:rsid w:val="7656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FollowedHyperlink"/>
    <w:basedOn w:val="6"/>
    <w:semiHidden/>
    <w:unhideWhenUsed/>
    <w:uiPriority w:val="0"/>
    <w:rPr>
      <w:color w:val="800080" w:themeColor="followedHyperlink"/>
      <w:u w:val="single"/>
      <w14:textFill>
        <w14:solidFill>
          <w14:schemeClr w14:val="folHlink"/>
        </w14:solidFill>
      </w14:textFill>
    </w:rPr>
  </w:style>
  <w:style w:type="character" w:styleId="9">
    <w:name w:val="Hyperlink"/>
    <w:qFormat/>
    <w:uiPriority w:val="0"/>
    <w:rPr>
      <w:color w:val="0000FF"/>
      <w:u w:val="single"/>
    </w:rPr>
  </w:style>
  <w:style w:type="paragraph" w:customStyle="1" w:styleId="10">
    <w:name w:val="1 字元"/>
    <w:basedOn w:val="1"/>
    <w:qFormat/>
    <w:uiPriority w:val="0"/>
    <w:pPr>
      <w:widowControl/>
      <w:spacing w:after="160" w:line="240" w:lineRule="exact"/>
    </w:pPr>
    <w:rPr>
      <w:rFonts w:ascii="Tahoma" w:hAnsi="Tahoma"/>
      <w:kern w:val="0"/>
      <w:sz w:val="20"/>
      <w:szCs w:val="20"/>
      <w:lang w:eastAsia="en-US"/>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B4D9A-6ADB-414A-B564-2A7E82AC720C}">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220</Words>
  <Characters>1260</Characters>
  <Lines>10</Lines>
  <Paragraphs>2</Paragraphs>
  <TotalTime>1152</TotalTime>
  <ScaleCrop>false</ScaleCrop>
  <LinksUpToDate>false</LinksUpToDate>
  <CharactersWithSpaces>1478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陌桑</cp:lastModifiedBy>
  <cp:lastPrinted>2021-04-29T09:39:00Z</cp:lastPrinted>
  <dcterms:modified xsi:type="dcterms:W3CDTF">2021-09-15T11:01:41Z</dcterms:modified>
  <dc:title>上海建桥学院教学进度计划表</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00899A9D0B434C1EAC4621A5540986F8</vt:lpwstr>
  </property>
</Properties>
</file>