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88" w:lineRule="auto"/>
        <w:jc w:val="center"/>
        <w:rPr>
          <w:b/>
          <w:sz w:val="28"/>
          <w:szCs w:val="30"/>
        </w:rPr>
      </w:pPr>
      <w:bookmarkStart w:id="1" w:name="_GoBack"/>
      <w:bookmarkEnd w:id="1"/>
      <w:r>
        <mc:AlternateContent>
          <mc:Choice Requires="wps">
            <w:drawing>
              <wp:anchor distT="0" distB="0" distL="114300" distR="114300" simplePos="0" relativeHeight="251659264" behindDoc="0" locked="0" layoutInCell="1" allowOverlap="1">
                <wp:simplePos x="0" y="0"/>
                <wp:positionH relativeFrom="page">
                  <wp:posOffset>530860</wp:posOffset>
                </wp:positionH>
                <wp:positionV relativeFrom="page">
                  <wp:posOffset>349885</wp:posOffset>
                </wp:positionV>
                <wp:extent cx="2635250" cy="280670"/>
                <wp:effectExtent l="0" t="0" r="6350" b="11430"/>
                <wp:wrapNone/>
                <wp:docPr id="1" name="文本框 1"/>
                <wp:cNvGraphicFramePr/>
                <a:graphic xmlns:a="http://schemas.openxmlformats.org/drawingml/2006/main">
                  <a:graphicData uri="http://schemas.microsoft.com/office/word/2010/wordprocessingShape">
                    <wps:wsp>
                      <wps:cNvSpPr txBox="1"/>
                      <wps:spPr>
                        <a:xfrm>
                          <a:off x="540385" y="359410"/>
                          <a:ext cx="2635250" cy="280670"/>
                        </a:xfrm>
                        <a:prstGeom prst="rect">
                          <a:avLst/>
                        </a:prstGeom>
                        <a:solidFill>
                          <a:srgbClr val="FFFFFF"/>
                        </a:solidFill>
                        <a:ln w="6350">
                          <a:noFill/>
                        </a:ln>
                        <a:effectLst/>
                      </wps:spPr>
                      <wps:txbx>
                        <w:txbxContent>
                          <w:p>
                            <w:pPr>
                              <w:jc w:val="left"/>
                              <w:rPr>
                                <w:rFonts w:ascii="宋体" w:hAnsi="宋体" w:eastAsia="宋体"/>
                                <w:spacing w:val="20"/>
                                <w:sz w:val="24"/>
                                <w:szCs w:val="24"/>
                              </w:rPr>
                            </w:pPr>
                            <w:r>
                              <w:rPr>
                                <w:rFonts w:hint="eastAsia" w:ascii="宋体" w:hAnsi="宋体" w:eastAsia="宋体"/>
                                <w:spacing w:val="20"/>
                                <w:sz w:val="24"/>
                                <w:szCs w:val="24"/>
                              </w:rPr>
                              <w:t>SJQU-</w:t>
                            </w:r>
                            <w:r>
                              <w:rPr>
                                <w:rFonts w:ascii="宋体" w:hAnsi="宋体" w:eastAsia="宋体"/>
                                <w:spacing w:val="20"/>
                                <w:sz w:val="24"/>
                                <w:szCs w:val="24"/>
                              </w:rPr>
                              <w:t>Q</w:t>
                            </w:r>
                            <w:r>
                              <w:rPr>
                                <w:rFonts w:hint="eastAsia" w:ascii="宋体" w:hAnsi="宋体"/>
                                <w:spacing w:val="20"/>
                                <w:sz w:val="24"/>
                                <w:szCs w:val="24"/>
                                <w:lang w:val="en-US" w:eastAsia="zh-CN"/>
                              </w:rPr>
                              <w:t>R</w:t>
                            </w:r>
                            <w:r>
                              <w:rPr>
                                <w:rFonts w:hint="eastAsia" w:ascii="宋体" w:hAnsi="宋体" w:eastAsia="宋体"/>
                                <w:spacing w:val="20"/>
                                <w:sz w:val="24"/>
                                <w:szCs w:val="24"/>
                              </w:rPr>
                              <w:t>-</w:t>
                            </w:r>
                            <w:r>
                              <w:rPr>
                                <w:rFonts w:hint="eastAsia" w:ascii="宋体" w:hAnsi="宋体" w:eastAsia="宋体"/>
                                <w:spacing w:val="20"/>
                                <w:sz w:val="24"/>
                                <w:szCs w:val="24"/>
                                <w:lang w:val="en-US" w:eastAsia="zh-CN"/>
                              </w:rPr>
                              <w:t>JW</w:t>
                            </w:r>
                            <w:r>
                              <w:rPr>
                                <w:rFonts w:hint="eastAsia" w:ascii="宋体" w:hAnsi="宋体" w:eastAsia="宋体"/>
                                <w:spacing w:val="20"/>
                                <w:sz w:val="24"/>
                                <w:szCs w:val="24"/>
                              </w:rPr>
                              <w:t>-</w:t>
                            </w:r>
                            <w:r>
                              <w:rPr>
                                <w:rFonts w:ascii="宋体" w:hAnsi="宋体" w:eastAsia="宋体"/>
                                <w:spacing w:val="20"/>
                                <w:sz w:val="24"/>
                                <w:szCs w:val="24"/>
                              </w:rPr>
                              <w:t>0</w:t>
                            </w:r>
                            <w:r>
                              <w:rPr>
                                <w:rFonts w:hint="eastAsia" w:ascii="宋体" w:hAnsi="宋体"/>
                                <w:spacing w:val="20"/>
                                <w:sz w:val="24"/>
                                <w:szCs w:val="24"/>
                                <w:lang w:val="en-US" w:eastAsia="zh-CN"/>
                              </w:rPr>
                              <w:t>33</w:t>
                            </w:r>
                            <w:r>
                              <w:rPr>
                                <w:rFonts w:hint="eastAsia" w:ascii="宋体" w:hAnsi="宋体" w:eastAsia="宋体"/>
                                <w:spacing w:val="20"/>
                                <w:sz w:val="24"/>
                                <w:szCs w:val="24"/>
                              </w:rPr>
                              <w:t>（A</w:t>
                            </w:r>
                            <w:r>
                              <w:rPr>
                                <w:rFonts w:ascii="宋体" w:hAnsi="宋体" w:eastAsia="宋体"/>
                                <w:spacing w:val="20"/>
                                <w:sz w:val="24"/>
                                <w:szCs w:val="24"/>
                              </w:rPr>
                              <w:t>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1.8pt;margin-top:27.55pt;height:22.1pt;width:207.5pt;mso-position-horizontal-relative:page;mso-position-vertical-relative:page;z-index:251659264;mso-width-relative:page;mso-height-relative:page;" fillcolor="#FFFFFF" filled="t" stroked="f" coordsize="21600,21600" o:gfxdata="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DL&#10;Vkea1AAAAAgBAAAPAAAAAAAAAAEAIAAAACIAAABkcnMvZG93bnJldi54bWxQSwECFAAUAAAACACH&#10;TuJANG/VK2ECAACnBAAADgAAAAAAAAABACAAAAAjAQAAZHJzL2Uyb0RvYy54bWxQSwUGAAAAAAYA&#10;BgBZAQAA9gUAAAAA&#10;">
                <v:fill on="t" focussize="0,0"/>
                <v:stroke on="f" weight="0.5pt"/>
                <v:imagedata o:title=""/>
                <o:lock v:ext="edit" aspectratio="f"/>
                <v:textbox>
                  <w:txbxContent>
                    <w:p>
                      <w:pPr>
                        <w:jc w:val="left"/>
                        <w:rPr>
                          <w:rFonts w:ascii="宋体" w:hAnsi="宋体" w:eastAsia="宋体"/>
                          <w:spacing w:val="20"/>
                          <w:sz w:val="24"/>
                          <w:szCs w:val="24"/>
                        </w:rPr>
                      </w:pPr>
                      <w:r>
                        <w:rPr>
                          <w:rFonts w:hint="eastAsia" w:ascii="宋体" w:hAnsi="宋体" w:eastAsia="宋体"/>
                          <w:spacing w:val="20"/>
                          <w:sz w:val="24"/>
                          <w:szCs w:val="24"/>
                        </w:rPr>
                        <w:t>SJQU-</w:t>
                      </w:r>
                      <w:r>
                        <w:rPr>
                          <w:rFonts w:ascii="宋体" w:hAnsi="宋体" w:eastAsia="宋体"/>
                          <w:spacing w:val="20"/>
                          <w:sz w:val="24"/>
                          <w:szCs w:val="24"/>
                        </w:rPr>
                        <w:t>Q</w:t>
                      </w:r>
                      <w:r>
                        <w:rPr>
                          <w:rFonts w:hint="eastAsia" w:ascii="宋体" w:hAnsi="宋体"/>
                          <w:spacing w:val="20"/>
                          <w:sz w:val="24"/>
                          <w:szCs w:val="24"/>
                          <w:lang w:val="en-US" w:eastAsia="zh-CN"/>
                        </w:rPr>
                        <w:t>R</w:t>
                      </w:r>
                      <w:r>
                        <w:rPr>
                          <w:rFonts w:hint="eastAsia" w:ascii="宋体" w:hAnsi="宋体" w:eastAsia="宋体"/>
                          <w:spacing w:val="20"/>
                          <w:sz w:val="24"/>
                          <w:szCs w:val="24"/>
                        </w:rPr>
                        <w:t>-</w:t>
                      </w:r>
                      <w:r>
                        <w:rPr>
                          <w:rFonts w:hint="eastAsia" w:ascii="宋体" w:hAnsi="宋体" w:eastAsia="宋体"/>
                          <w:spacing w:val="20"/>
                          <w:sz w:val="24"/>
                          <w:szCs w:val="24"/>
                          <w:lang w:val="en-US" w:eastAsia="zh-CN"/>
                        </w:rPr>
                        <w:t>JW</w:t>
                      </w:r>
                      <w:r>
                        <w:rPr>
                          <w:rFonts w:hint="eastAsia" w:ascii="宋体" w:hAnsi="宋体" w:eastAsia="宋体"/>
                          <w:spacing w:val="20"/>
                          <w:sz w:val="24"/>
                          <w:szCs w:val="24"/>
                        </w:rPr>
                        <w:t>-</w:t>
                      </w:r>
                      <w:r>
                        <w:rPr>
                          <w:rFonts w:ascii="宋体" w:hAnsi="宋体" w:eastAsia="宋体"/>
                          <w:spacing w:val="20"/>
                          <w:sz w:val="24"/>
                          <w:szCs w:val="24"/>
                        </w:rPr>
                        <w:t>0</w:t>
                      </w:r>
                      <w:r>
                        <w:rPr>
                          <w:rFonts w:hint="eastAsia" w:ascii="宋体" w:hAnsi="宋体"/>
                          <w:spacing w:val="20"/>
                          <w:sz w:val="24"/>
                          <w:szCs w:val="24"/>
                          <w:lang w:val="en-US" w:eastAsia="zh-CN"/>
                        </w:rPr>
                        <w:t>33</w:t>
                      </w:r>
                      <w:r>
                        <w:rPr>
                          <w:rFonts w:hint="eastAsia" w:ascii="宋体" w:hAnsi="宋体" w:eastAsia="宋体"/>
                          <w:spacing w:val="20"/>
                          <w:sz w:val="24"/>
                          <w:szCs w:val="24"/>
                        </w:rPr>
                        <w:t>（A</w:t>
                      </w:r>
                      <w:r>
                        <w:rPr>
                          <w:rFonts w:ascii="宋体" w:hAnsi="宋体" w:eastAsia="宋体"/>
                          <w:spacing w:val="20"/>
                          <w:sz w:val="24"/>
                          <w:szCs w:val="24"/>
                        </w:rPr>
                        <w:t>0）</w:t>
                      </w:r>
                    </w:p>
                  </w:txbxContent>
                </v:textbox>
              </v:shape>
            </w:pict>
          </mc:Fallback>
        </mc:AlternateContent>
      </w:r>
      <w:r>
        <w:rPr>
          <w:rFonts w:hint="eastAsia"/>
          <w:b/>
          <w:sz w:val="28"/>
          <w:szCs w:val="30"/>
        </w:rPr>
        <w:t>【</w:t>
      </w:r>
      <w:r>
        <w:rPr>
          <w:rFonts w:hint="eastAsia"/>
          <w:b/>
          <w:sz w:val="28"/>
          <w:szCs w:val="30"/>
          <w:lang w:val="en-US" w:eastAsia="zh-CN"/>
        </w:rPr>
        <w:t>学前教育学</w:t>
      </w:r>
      <w:r>
        <w:rPr>
          <w:rFonts w:hint="eastAsia"/>
          <w:b/>
          <w:sz w:val="28"/>
          <w:szCs w:val="30"/>
        </w:rPr>
        <w:t>】</w:t>
      </w:r>
    </w:p>
    <w:p>
      <w:pPr>
        <w:shd w:val="clear" w:color="auto" w:fill="F5F5F5"/>
        <w:jc w:val="center"/>
        <w:textAlignment w:val="top"/>
        <w:rPr>
          <w:rFonts w:ascii="Arial" w:hAnsi="Arial" w:cs="Arial"/>
          <w:color w:val="888888"/>
          <w:kern w:val="0"/>
          <w:sz w:val="20"/>
          <w:szCs w:val="20"/>
        </w:rPr>
      </w:pPr>
      <w:r>
        <w:rPr>
          <w:rFonts w:hint="eastAsia"/>
          <w:b/>
          <w:sz w:val="28"/>
          <w:szCs w:val="30"/>
        </w:rPr>
        <w:t>【Preschool Pedagogy】</w:t>
      </w:r>
      <w:bookmarkStart w:id="0" w:name="a2"/>
      <w:bookmarkEnd w:id="0"/>
    </w:p>
    <w:p>
      <w:pPr>
        <w:spacing w:beforeLines="50" w:afterLines="50" w:line="288" w:lineRule="auto"/>
        <w:ind w:firstLine="360" w:firstLineChars="150"/>
        <w:rPr>
          <w:b/>
          <w:color w:val="008080"/>
          <w:sz w:val="30"/>
          <w:szCs w:val="30"/>
        </w:rPr>
      </w:pPr>
      <w:r>
        <w:rPr>
          <w:rFonts w:ascii="黑体" w:hAnsi="宋体" w:eastAsia="黑体"/>
          <w:sz w:val="24"/>
        </w:rPr>
        <w:t>一</w:t>
      </w:r>
      <w:r>
        <w:rPr>
          <w:rFonts w:hint="eastAsia" w:ascii="黑体" w:hAnsi="宋体" w:eastAsia="黑体"/>
          <w:sz w:val="24"/>
        </w:rPr>
        <w:t>、</w:t>
      </w:r>
      <w:r>
        <w:rPr>
          <w:rFonts w:ascii="黑体" w:hAnsi="宋体" w:eastAsia="黑体"/>
          <w:sz w:val="24"/>
        </w:rPr>
        <w:t>基本信息</w:t>
      </w:r>
    </w:p>
    <w:p>
      <w:pPr>
        <w:snapToGrid w:val="0"/>
        <w:spacing w:line="288" w:lineRule="auto"/>
        <w:ind w:firstLine="394" w:firstLineChars="196"/>
        <w:rPr>
          <w:color w:val="000000"/>
          <w:sz w:val="20"/>
          <w:szCs w:val="20"/>
        </w:rPr>
      </w:pPr>
      <w:r>
        <w:rPr>
          <w:b/>
          <w:bCs/>
          <w:color w:val="000000"/>
          <w:sz w:val="20"/>
          <w:szCs w:val="20"/>
        </w:rPr>
        <w:t>课程代码：</w:t>
      </w:r>
      <w:r>
        <w:rPr>
          <w:color w:val="000000"/>
          <w:sz w:val="20"/>
          <w:szCs w:val="20"/>
        </w:rPr>
        <w:t>【</w:t>
      </w:r>
      <w:r>
        <w:rPr>
          <w:rFonts w:hint="eastAsia"/>
          <w:color w:val="000000"/>
          <w:sz w:val="20"/>
          <w:szCs w:val="20"/>
          <w:lang w:val="en-US" w:eastAsia="zh-CN"/>
        </w:rPr>
        <w:t>2130014</w:t>
      </w:r>
      <w:r>
        <w:rPr>
          <w:color w:val="000000"/>
          <w:sz w:val="20"/>
          <w:szCs w:val="20"/>
        </w:rPr>
        <w:t>】</w:t>
      </w:r>
    </w:p>
    <w:p>
      <w:pPr>
        <w:snapToGrid w:val="0"/>
        <w:spacing w:line="288" w:lineRule="auto"/>
        <w:ind w:firstLine="394" w:firstLineChars="196"/>
        <w:rPr>
          <w:color w:val="000000"/>
          <w:szCs w:val="21"/>
        </w:rPr>
      </w:pPr>
      <w:r>
        <w:rPr>
          <w:b/>
          <w:bCs/>
          <w:color w:val="000000"/>
          <w:sz w:val="20"/>
          <w:szCs w:val="20"/>
        </w:rPr>
        <w:t>课程学分：</w:t>
      </w:r>
      <w:r>
        <w:rPr>
          <w:color w:val="000000"/>
          <w:sz w:val="20"/>
          <w:szCs w:val="20"/>
        </w:rPr>
        <w:t>【</w:t>
      </w:r>
      <w:r>
        <w:rPr>
          <w:rFonts w:hint="eastAsia"/>
          <w:color w:val="000000"/>
          <w:sz w:val="20"/>
          <w:szCs w:val="20"/>
          <w:lang w:val="en-US" w:eastAsia="zh-CN"/>
        </w:rPr>
        <w:t>2</w:t>
      </w:r>
      <w:r>
        <w:rPr>
          <w:color w:val="000000"/>
          <w:sz w:val="20"/>
          <w:szCs w:val="20"/>
        </w:rPr>
        <w:t>】</w:t>
      </w:r>
    </w:p>
    <w:p>
      <w:pPr>
        <w:snapToGrid w:val="0"/>
        <w:spacing w:line="288" w:lineRule="auto"/>
        <w:ind w:firstLine="394" w:firstLineChars="196"/>
        <w:rPr>
          <w:color w:val="000000"/>
          <w:szCs w:val="21"/>
        </w:rPr>
      </w:pPr>
      <w:r>
        <w:rPr>
          <w:b/>
          <w:bCs/>
          <w:color w:val="000000"/>
          <w:sz w:val="20"/>
          <w:szCs w:val="20"/>
        </w:rPr>
        <w:t>面向专业：</w:t>
      </w:r>
      <w:r>
        <w:rPr>
          <w:color w:val="000000"/>
          <w:sz w:val="20"/>
          <w:szCs w:val="20"/>
        </w:rPr>
        <w:t>【</w:t>
      </w:r>
      <w:r>
        <w:rPr>
          <w:rFonts w:hint="eastAsia"/>
          <w:color w:val="000000"/>
          <w:sz w:val="20"/>
          <w:szCs w:val="20"/>
          <w:lang w:val="en-US" w:eastAsia="zh-CN"/>
        </w:rPr>
        <w:t>学前教育</w:t>
      </w:r>
      <w:r>
        <w:rPr>
          <w:color w:val="000000"/>
          <w:sz w:val="20"/>
          <w:szCs w:val="20"/>
        </w:rPr>
        <w:t>】</w:t>
      </w:r>
    </w:p>
    <w:p>
      <w:pPr>
        <w:snapToGrid w:val="0"/>
        <w:spacing w:line="288" w:lineRule="auto"/>
        <w:ind w:firstLine="394" w:firstLineChars="196"/>
        <w:rPr>
          <w:color w:val="000000"/>
          <w:sz w:val="20"/>
          <w:szCs w:val="20"/>
        </w:rPr>
      </w:pPr>
      <w:r>
        <w:rPr>
          <w:b/>
          <w:bCs/>
          <w:color w:val="000000"/>
          <w:sz w:val="20"/>
          <w:szCs w:val="20"/>
        </w:rPr>
        <w:t>课程性质：</w:t>
      </w:r>
      <w:r>
        <w:rPr>
          <w:color w:val="000000"/>
          <w:sz w:val="20"/>
          <w:szCs w:val="20"/>
        </w:rPr>
        <w:t>【</w:t>
      </w:r>
      <w:r>
        <w:rPr>
          <w:rFonts w:hint="eastAsia"/>
          <w:color w:val="000000"/>
          <w:sz w:val="20"/>
          <w:szCs w:val="20"/>
          <w:lang w:val="en-US" w:eastAsia="zh-CN"/>
        </w:rPr>
        <w:t>系级必修课</w:t>
      </w:r>
      <w:r>
        <w:rPr>
          <w:rFonts w:hint="eastAsia" w:ascii="宋体" w:hAnsi="宋体" w:eastAsia="宋体" w:cs="宋体"/>
          <w:color w:val="000000"/>
          <w:sz w:val="20"/>
          <w:szCs w:val="20"/>
          <w:lang w:val="en-US" w:eastAsia="zh-CN"/>
        </w:rPr>
        <w:t>◎</w:t>
      </w:r>
      <w:r>
        <w:rPr>
          <w:color w:val="000000"/>
          <w:sz w:val="20"/>
          <w:szCs w:val="20"/>
        </w:rPr>
        <w:t>】</w:t>
      </w:r>
    </w:p>
    <w:p>
      <w:pPr>
        <w:snapToGrid w:val="0"/>
        <w:spacing w:line="288" w:lineRule="auto"/>
        <w:ind w:firstLine="394" w:firstLineChars="196"/>
        <w:rPr>
          <w:rFonts w:hint="eastAsia" w:eastAsia="宋体"/>
          <w:b/>
          <w:bCs/>
          <w:color w:val="000000"/>
          <w:szCs w:val="21"/>
          <w:lang w:val="en-US" w:eastAsia="zh-CN"/>
        </w:rPr>
      </w:pPr>
      <w:r>
        <w:rPr>
          <w:b/>
          <w:bCs/>
          <w:color w:val="000000"/>
          <w:sz w:val="20"/>
          <w:szCs w:val="20"/>
        </w:rPr>
        <w:t>开课院系：</w:t>
      </w:r>
      <w:r>
        <w:rPr>
          <w:rFonts w:hint="eastAsia"/>
          <w:b/>
          <w:bCs/>
          <w:color w:val="000000"/>
          <w:sz w:val="20"/>
          <w:szCs w:val="20"/>
          <w:lang w:val="en-US" w:eastAsia="zh-CN"/>
        </w:rPr>
        <w:t>学前教育系</w:t>
      </w:r>
    </w:p>
    <w:p>
      <w:pPr>
        <w:snapToGrid w:val="0"/>
        <w:spacing w:line="288" w:lineRule="auto"/>
        <w:ind w:firstLine="394" w:firstLineChars="196"/>
        <w:rPr>
          <w:color w:val="000000"/>
          <w:sz w:val="20"/>
          <w:szCs w:val="20"/>
        </w:rPr>
      </w:pPr>
      <w:r>
        <w:rPr>
          <w:b/>
          <w:bCs/>
          <w:color w:val="000000"/>
          <w:sz w:val="20"/>
          <w:szCs w:val="20"/>
        </w:rPr>
        <w:t>使用教材：</w:t>
      </w:r>
    </w:p>
    <w:p>
      <w:pPr>
        <w:snapToGrid w:val="0"/>
        <w:spacing w:line="288" w:lineRule="auto"/>
        <w:ind w:left="806" w:leftChars="380" w:hanging="8" w:hangingChars="4"/>
        <w:rPr>
          <w:color w:val="000000"/>
          <w:szCs w:val="21"/>
        </w:rPr>
      </w:pPr>
      <w:r>
        <w:rPr>
          <w:color w:val="000000"/>
          <w:sz w:val="20"/>
          <w:szCs w:val="20"/>
        </w:rPr>
        <w:t>教材【</w:t>
      </w:r>
      <w:r>
        <w:rPr>
          <w:rFonts w:hint="eastAsia"/>
          <w:color w:val="000000"/>
          <w:sz w:val="20"/>
          <w:szCs w:val="20"/>
          <w:lang w:val="en-US" w:eastAsia="zh-CN"/>
        </w:rPr>
        <w:t>书名：学前教育学，作者：钱雨，出版社：上海交通大学出版社，版本信息：</w:t>
      </w:r>
      <w:r>
        <w:rPr>
          <w:rFonts w:hint="eastAsia"/>
          <w:color w:val="000000"/>
          <w:sz w:val="20"/>
          <w:szCs w:val="20"/>
        </w:rPr>
        <w:t>201</w:t>
      </w:r>
      <w:r>
        <w:rPr>
          <w:rFonts w:hint="eastAsia"/>
          <w:color w:val="000000"/>
          <w:sz w:val="20"/>
          <w:szCs w:val="20"/>
          <w:lang w:val="en-US" w:eastAsia="zh-CN"/>
        </w:rPr>
        <w:t>8</w:t>
      </w:r>
      <w:r>
        <w:rPr>
          <w:rFonts w:hint="eastAsia"/>
          <w:color w:val="000000"/>
          <w:sz w:val="20"/>
          <w:szCs w:val="20"/>
        </w:rPr>
        <w:t>-</w:t>
      </w:r>
      <w:r>
        <w:rPr>
          <w:rFonts w:hint="eastAsia"/>
          <w:color w:val="000000"/>
          <w:sz w:val="20"/>
          <w:szCs w:val="20"/>
          <w:lang w:val="en-US" w:eastAsia="zh-CN"/>
        </w:rPr>
        <w:t>06</w:t>
      </w:r>
      <w:r>
        <w:rPr>
          <w:rFonts w:hint="eastAsia"/>
          <w:color w:val="000000"/>
          <w:sz w:val="20"/>
          <w:szCs w:val="20"/>
        </w:rPr>
        <w:t>-</w:t>
      </w:r>
      <w:r>
        <w:rPr>
          <w:rFonts w:hint="eastAsia"/>
          <w:color w:val="000000"/>
          <w:sz w:val="20"/>
          <w:szCs w:val="20"/>
          <w:lang w:val="en-US" w:eastAsia="zh-CN"/>
        </w:rPr>
        <w:t>0</w:t>
      </w:r>
      <w:r>
        <w:rPr>
          <w:rFonts w:hint="eastAsia"/>
          <w:color w:val="000000"/>
          <w:sz w:val="20"/>
          <w:szCs w:val="20"/>
        </w:rPr>
        <w:t>1（出版时间），版次：第</w:t>
      </w:r>
      <w:r>
        <w:rPr>
          <w:rFonts w:hint="eastAsia"/>
          <w:color w:val="000000"/>
          <w:sz w:val="20"/>
          <w:szCs w:val="20"/>
          <w:lang w:val="en-US" w:eastAsia="zh-CN"/>
        </w:rPr>
        <w:t>1</w:t>
      </w:r>
      <w:r>
        <w:rPr>
          <w:rFonts w:hint="eastAsia"/>
          <w:color w:val="000000"/>
          <w:sz w:val="20"/>
          <w:szCs w:val="20"/>
        </w:rPr>
        <w:t>版，书号（ISBN）：</w:t>
      </w:r>
      <w:r>
        <w:rPr>
          <w:rFonts w:hint="eastAsia"/>
          <w:color w:val="000000"/>
          <w:sz w:val="20"/>
          <w:szCs w:val="20"/>
          <w:lang w:val="en-US" w:eastAsia="zh-CN"/>
        </w:rPr>
        <w:t>9787313194756</w:t>
      </w:r>
      <w:r>
        <w:rPr>
          <w:color w:val="000000"/>
          <w:sz w:val="20"/>
          <w:szCs w:val="20"/>
        </w:rPr>
        <w:t>】</w:t>
      </w:r>
    </w:p>
    <w:p>
      <w:pPr>
        <w:snapToGrid w:val="0"/>
        <w:spacing w:line="288" w:lineRule="auto"/>
        <w:ind w:left="718" w:leftChars="342" w:firstLine="100" w:firstLineChars="50"/>
        <w:rPr>
          <w:rFonts w:hint="eastAsia"/>
          <w:color w:val="000000"/>
          <w:sz w:val="20"/>
          <w:szCs w:val="20"/>
          <w:highlight w:val="none"/>
          <w:lang w:val="en-US" w:eastAsia="zh-CN"/>
        </w:rPr>
      </w:pPr>
      <w:r>
        <w:rPr>
          <w:color w:val="000000"/>
          <w:sz w:val="20"/>
          <w:szCs w:val="20"/>
          <w:highlight w:val="none"/>
        </w:rPr>
        <w:t>参考</w:t>
      </w:r>
      <w:r>
        <w:rPr>
          <w:rFonts w:hint="eastAsia"/>
          <w:color w:val="000000"/>
          <w:sz w:val="20"/>
          <w:szCs w:val="20"/>
          <w:highlight w:val="none"/>
        </w:rPr>
        <w:t>书目</w:t>
      </w:r>
      <w:r>
        <w:rPr>
          <w:color w:val="000000"/>
          <w:sz w:val="20"/>
          <w:szCs w:val="20"/>
          <w:highlight w:val="none"/>
        </w:rPr>
        <w:t>【</w:t>
      </w:r>
      <w:r>
        <w:rPr>
          <w:rFonts w:hint="eastAsia"/>
          <w:color w:val="000000"/>
          <w:sz w:val="20"/>
          <w:szCs w:val="20"/>
          <w:highlight w:val="none"/>
          <w:lang w:val="en-US" w:eastAsia="zh-CN"/>
        </w:rPr>
        <w:t>1.书名：学前教育学，作者：黄人颂，出版社：人民教育出版社，版本信息：2015-08-01（出版时间），版次：第3版，书号</w:t>
      </w:r>
      <w:r>
        <w:rPr>
          <w:rFonts w:hint="eastAsia"/>
          <w:color w:val="000000"/>
          <w:sz w:val="20"/>
          <w:szCs w:val="20"/>
        </w:rPr>
        <w:t>（ISBN）：</w:t>
      </w:r>
      <w:r>
        <w:rPr>
          <w:rFonts w:hint="eastAsia"/>
          <w:color w:val="000000"/>
          <w:sz w:val="20"/>
          <w:szCs w:val="20"/>
          <w:highlight w:val="none"/>
          <w:lang w:val="en-US" w:eastAsia="zh-CN"/>
        </w:rPr>
        <w:t>978710730276；</w:t>
      </w:r>
    </w:p>
    <w:p>
      <w:pPr>
        <w:numPr>
          <w:ilvl w:val="0"/>
          <w:numId w:val="1"/>
        </w:numPr>
        <w:snapToGrid w:val="0"/>
        <w:spacing w:line="288" w:lineRule="auto"/>
        <w:ind w:left="718" w:leftChars="342" w:firstLine="100" w:firstLineChars="50"/>
        <w:rPr>
          <w:rFonts w:hint="eastAsia"/>
          <w:color w:val="000000"/>
          <w:sz w:val="20"/>
          <w:szCs w:val="20"/>
        </w:rPr>
      </w:pPr>
      <w:r>
        <w:rPr>
          <w:rFonts w:hint="eastAsia"/>
          <w:color w:val="000000"/>
          <w:sz w:val="20"/>
          <w:szCs w:val="20"/>
          <w:highlight w:val="none"/>
          <w:lang w:val="en-US" w:eastAsia="zh-CN"/>
        </w:rPr>
        <w:t>书名：学前教育学，作者：刘晓东，卢乐珍等，出版社：江苏教育出版社，版本信息：2019-03-01（出版时间），版次：第2版，</w:t>
      </w:r>
      <w:r>
        <w:rPr>
          <w:rFonts w:hint="eastAsia"/>
          <w:color w:val="000000"/>
          <w:sz w:val="20"/>
          <w:szCs w:val="20"/>
        </w:rPr>
        <w:t>书号（ISBN）：9787534390739</w:t>
      </w:r>
      <w:r>
        <w:rPr>
          <w:rFonts w:hint="eastAsia"/>
          <w:color w:val="000000"/>
          <w:sz w:val="20"/>
          <w:szCs w:val="20"/>
          <w:lang w:eastAsia="zh-CN"/>
        </w:rPr>
        <w:t>；</w:t>
      </w:r>
    </w:p>
    <w:p>
      <w:pPr>
        <w:numPr>
          <w:ilvl w:val="0"/>
          <w:numId w:val="1"/>
        </w:numPr>
        <w:snapToGrid w:val="0"/>
        <w:spacing w:line="288" w:lineRule="auto"/>
        <w:ind w:left="718" w:leftChars="342" w:firstLine="100" w:firstLineChars="50"/>
        <w:rPr>
          <w:color w:val="000000"/>
          <w:szCs w:val="21"/>
          <w:highlight w:val="none"/>
        </w:rPr>
      </w:pPr>
      <w:r>
        <w:rPr>
          <w:rFonts w:hint="eastAsia"/>
          <w:color w:val="000000"/>
          <w:sz w:val="20"/>
          <w:szCs w:val="20"/>
          <w:highlight w:val="none"/>
          <w:lang w:val="en-US" w:eastAsia="zh-CN"/>
        </w:rPr>
        <w:t>书名：学前教育学，作者：李生兰，出版社：华东师范大学出版社，版本信息：2014-05-01（出版时间），版次：第3版，书号</w:t>
      </w:r>
      <w:r>
        <w:rPr>
          <w:rFonts w:hint="eastAsia"/>
          <w:color w:val="000000"/>
          <w:sz w:val="20"/>
          <w:szCs w:val="20"/>
        </w:rPr>
        <w:t>（ISBN）：</w:t>
      </w:r>
      <w:r>
        <w:rPr>
          <w:rFonts w:hint="eastAsia"/>
          <w:color w:val="000000"/>
          <w:sz w:val="20"/>
          <w:szCs w:val="20"/>
          <w:highlight w:val="none"/>
          <w:lang w:val="en-US" w:eastAsia="zh-CN"/>
        </w:rPr>
        <w:t>9787561720844；</w:t>
      </w:r>
    </w:p>
    <w:p>
      <w:pPr>
        <w:numPr>
          <w:ilvl w:val="0"/>
          <w:numId w:val="1"/>
        </w:numPr>
        <w:snapToGrid w:val="0"/>
        <w:spacing w:line="288" w:lineRule="auto"/>
        <w:ind w:left="718" w:leftChars="342" w:firstLine="100" w:firstLineChars="50"/>
        <w:rPr>
          <w:color w:val="000000"/>
          <w:szCs w:val="21"/>
          <w:highlight w:val="none"/>
        </w:rPr>
      </w:pPr>
      <w:r>
        <w:rPr>
          <w:rFonts w:hint="eastAsia"/>
          <w:color w:val="000000"/>
          <w:sz w:val="20"/>
          <w:szCs w:val="20"/>
          <w:highlight w:val="none"/>
          <w:lang w:val="en-US" w:eastAsia="zh-CN"/>
        </w:rPr>
        <w:t>书名：学前教育学，作者：崔爱林、赵红芳，出版社：北京师范大学出版社，版本信息：2018-01（出版时间），版次：第1版，</w:t>
      </w:r>
      <w:r>
        <w:rPr>
          <w:rFonts w:hint="eastAsia"/>
          <w:color w:val="000000"/>
          <w:sz w:val="20"/>
          <w:szCs w:val="20"/>
        </w:rPr>
        <w:t>书号（ISBN）：</w:t>
      </w:r>
      <w:r>
        <w:rPr>
          <w:rFonts w:hint="eastAsia"/>
          <w:color w:val="000000"/>
          <w:sz w:val="20"/>
          <w:szCs w:val="20"/>
          <w:highlight w:val="none"/>
          <w:lang w:val="en-US" w:eastAsia="zh-CN"/>
        </w:rPr>
        <w:t>9787303217854</w:t>
      </w:r>
      <w:r>
        <w:rPr>
          <w:color w:val="000000"/>
          <w:sz w:val="20"/>
          <w:szCs w:val="20"/>
          <w:highlight w:val="none"/>
        </w:rPr>
        <w:t>】</w:t>
      </w:r>
    </w:p>
    <w:p>
      <w:pPr>
        <w:snapToGrid w:val="0"/>
        <w:spacing w:line="288" w:lineRule="auto"/>
        <w:ind w:firstLine="394" w:firstLineChars="196"/>
        <w:rPr>
          <w:color w:val="000000"/>
          <w:sz w:val="20"/>
          <w:szCs w:val="20"/>
          <w:highlight w:val="none"/>
        </w:rPr>
      </w:pPr>
      <w:r>
        <w:rPr>
          <w:rFonts w:hint="eastAsia"/>
          <w:b/>
          <w:bCs/>
          <w:color w:val="000000"/>
          <w:sz w:val="20"/>
          <w:szCs w:val="20"/>
          <w:highlight w:val="none"/>
        </w:rPr>
        <w:t>课程网站网址：https://www.istaoke.com/teacher/editcourse/3726/course</w:t>
      </w:r>
    </w:p>
    <w:p>
      <w:pPr>
        <w:adjustRightInd w:val="0"/>
        <w:snapToGrid w:val="0"/>
        <w:spacing w:line="288" w:lineRule="auto"/>
        <w:ind w:firstLine="394" w:firstLineChars="196"/>
        <w:rPr>
          <w:color w:val="000000"/>
          <w:sz w:val="20"/>
          <w:szCs w:val="20"/>
        </w:rPr>
      </w:pPr>
      <w:r>
        <w:rPr>
          <w:b/>
          <w:bCs/>
          <w:color w:val="000000"/>
          <w:sz w:val="20"/>
          <w:szCs w:val="20"/>
        </w:rPr>
        <w:t>先修课程：</w:t>
      </w:r>
      <w:r>
        <w:rPr>
          <w:color w:val="000000"/>
          <w:sz w:val="20"/>
          <w:szCs w:val="20"/>
        </w:rPr>
        <w:t>【</w:t>
      </w:r>
      <w:r>
        <w:rPr>
          <w:rFonts w:hint="eastAsia"/>
          <w:color w:val="000000"/>
          <w:sz w:val="20"/>
          <w:szCs w:val="20"/>
          <w:lang w:val="en-US" w:eastAsia="zh-CN"/>
        </w:rPr>
        <w:t>无</w:t>
      </w:r>
      <w:r>
        <w:rPr>
          <w:color w:val="000000"/>
          <w:sz w:val="20"/>
          <w:szCs w:val="20"/>
        </w:rPr>
        <w:t>】</w:t>
      </w:r>
    </w:p>
    <w:p>
      <w:pPr>
        <w:adjustRightInd w:val="0"/>
        <w:snapToGrid w:val="0"/>
        <w:spacing w:beforeLines="50" w:afterLines="50" w:line="288" w:lineRule="auto"/>
        <w:ind w:firstLine="348" w:firstLineChars="145"/>
        <w:rPr>
          <w:b/>
          <w:color w:val="000000"/>
          <w:sz w:val="24"/>
          <w:szCs w:val="20"/>
        </w:rPr>
      </w:pPr>
      <w:r>
        <w:rPr>
          <w:rFonts w:ascii="黑体" w:hAnsi="宋体" w:eastAsia="黑体"/>
          <w:sz w:val="24"/>
        </w:rPr>
        <w:t>二</w:t>
      </w:r>
      <w:r>
        <w:rPr>
          <w:rFonts w:hint="eastAsia" w:ascii="黑体" w:hAnsi="宋体" w:eastAsia="黑体"/>
          <w:sz w:val="24"/>
        </w:rPr>
        <w:t>、</w:t>
      </w:r>
      <w:r>
        <w:rPr>
          <w:rFonts w:ascii="黑体" w:hAnsi="宋体" w:eastAsia="黑体"/>
          <w:sz w:val="24"/>
        </w:rPr>
        <w:t>课程简介</w:t>
      </w:r>
    </w:p>
    <w:p>
      <w:pPr>
        <w:snapToGrid w:val="0"/>
        <w:spacing w:line="288" w:lineRule="auto"/>
        <w:ind w:firstLine="400" w:firstLineChars="200"/>
        <w:rPr>
          <w:rFonts w:hint="eastAsia"/>
          <w:color w:val="000000"/>
          <w:sz w:val="20"/>
          <w:szCs w:val="20"/>
          <w:lang w:val="en-US" w:eastAsia="zh-CN"/>
        </w:rPr>
      </w:pPr>
      <w:r>
        <w:rPr>
          <w:rFonts w:hint="eastAsia"/>
          <w:color w:val="000000"/>
          <w:sz w:val="20"/>
          <w:szCs w:val="20"/>
          <w:lang w:val="en-US" w:eastAsia="zh-CN"/>
        </w:rPr>
        <w:t>《学前教育学》作为学前教育专业的核心课程和主干课程，是教育学体系中的一个重要组成部分，也是学前教育专业本科的一门专业核心课程。该课程是课程理论性强，是学前教育专业形成专业素养、丰富学生基础理论知识的重要阵地。该课程是以教育哲学、教育学基础、儿童发展科学、儿童心理学的基本理论为基础和指导，研究学前教育现象及其规律的一门科学。</w:t>
      </w:r>
    </w:p>
    <w:p>
      <w:pPr>
        <w:snapToGrid w:val="0"/>
        <w:spacing w:line="288" w:lineRule="auto"/>
        <w:ind w:firstLine="400" w:firstLineChars="200"/>
        <w:rPr>
          <w:rFonts w:hint="eastAsia"/>
          <w:color w:val="000000"/>
          <w:sz w:val="20"/>
          <w:szCs w:val="20"/>
          <w:lang w:val="en-US" w:eastAsia="zh-CN"/>
        </w:rPr>
      </w:pPr>
      <w:r>
        <w:rPr>
          <w:rFonts w:hint="eastAsia"/>
          <w:color w:val="000000"/>
          <w:sz w:val="20"/>
          <w:szCs w:val="20"/>
          <w:lang w:val="en-US" w:eastAsia="zh-CN"/>
        </w:rPr>
        <w:t>本课程旨在让学生掌握学前教育的基本理论，为培养从事学前教育教学、科学研究及管理的专门人才奠定相应的专业基础，对学生专业素质和专业实践能力的提升起着奠基和引领作用。学前教育学是教育学的一个分支。是一门理论性和实践性都很强的科学，主要内容包括学前教育价值、中外学前教育思想、幼儿教师专业发展、学前儿童的发展、学前教育课程与教学、幼小衔接、学前教育机构与家庭、社区的合作等等。</w:t>
      </w:r>
    </w:p>
    <w:p>
      <w:pPr>
        <w:snapToGrid w:val="0"/>
        <w:spacing w:line="288" w:lineRule="auto"/>
        <w:ind w:firstLine="400" w:firstLineChars="200"/>
        <w:rPr>
          <w:rFonts w:hint="eastAsia"/>
          <w:color w:val="000000"/>
          <w:sz w:val="20"/>
          <w:szCs w:val="20"/>
          <w:lang w:val="en-US" w:eastAsia="zh-CN"/>
        </w:rPr>
      </w:pPr>
      <w:r>
        <w:rPr>
          <w:rFonts w:hint="eastAsia"/>
          <w:color w:val="000000"/>
          <w:sz w:val="20"/>
          <w:szCs w:val="20"/>
          <w:lang w:val="en-US" w:eastAsia="zh-CN"/>
        </w:rPr>
        <w:t>本课程的教学任务在于帮助学生掌握学前教育学的基本术语和概念，尝试像儿童教育家或专家型教师那样分析教育问题，并且具备学前教育教师的职业精神与热情。本课程以学生为本，紧密联系实践，使学生对学前教育领域的一般状况和基本规律有初步了解，能够掌握学前教育学科的基本原理，对当前宏观和微观层面的儿童教育现象有自己的分析和判断，为学前教师的专业成长奠定良好的理论基础。</w:t>
      </w:r>
    </w:p>
    <w:p>
      <w:pPr>
        <w:widowControl/>
        <w:spacing w:beforeLines="50" w:afterLines="50" w:line="288" w:lineRule="auto"/>
        <w:ind w:firstLine="360" w:firstLineChars="150"/>
        <w:jc w:val="left"/>
        <w:rPr>
          <w:rFonts w:ascii="黑体" w:hAnsi="宋体" w:eastAsia="黑体"/>
          <w:sz w:val="24"/>
        </w:rPr>
      </w:pPr>
    </w:p>
    <w:p>
      <w:pPr>
        <w:widowControl/>
        <w:spacing w:beforeLines="50" w:afterLines="50" w:line="288" w:lineRule="auto"/>
        <w:ind w:firstLine="360" w:firstLineChars="150"/>
        <w:jc w:val="left"/>
        <w:rPr>
          <w:rFonts w:ascii="黑体" w:hAnsi="宋体" w:eastAsia="黑体"/>
          <w:sz w:val="24"/>
        </w:rPr>
      </w:pPr>
    </w:p>
    <w:p>
      <w:pPr>
        <w:widowControl/>
        <w:spacing w:beforeLines="50" w:afterLines="50" w:line="288" w:lineRule="auto"/>
        <w:ind w:firstLine="360" w:firstLineChars="150"/>
        <w:jc w:val="left"/>
        <w:rPr>
          <w:rFonts w:ascii="黑体" w:hAnsi="宋体" w:eastAsia="黑体"/>
          <w:sz w:val="24"/>
        </w:rPr>
      </w:pPr>
      <w:r>
        <w:rPr>
          <w:rFonts w:ascii="黑体" w:hAnsi="宋体" w:eastAsia="黑体"/>
          <w:sz w:val="24"/>
        </w:rPr>
        <w:t>三</w:t>
      </w:r>
      <w:r>
        <w:rPr>
          <w:rFonts w:hint="eastAsia" w:ascii="黑体" w:hAnsi="宋体" w:eastAsia="黑体"/>
          <w:sz w:val="24"/>
        </w:rPr>
        <w:t>、</w:t>
      </w:r>
      <w:r>
        <w:rPr>
          <w:rFonts w:ascii="黑体" w:hAnsi="宋体" w:eastAsia="黑体"/>
          <w:sz w:val="24"/>
        </w:rPr>
        <w:t>选课建议</w:t>
      </w:r>
    </w:p>
    <w:p>
      <w:pPr>
        <w:snapToGrid w:val="0"/>
        <w:spacing w:line="288" w:lineRule="auto"/>
        <w:ind w:firstLine="400" w:firstLineChars="200"/>
        <w:rPr>
          <w:color w:val="000000"/>
          <w:sz w:val="20"/>
          <w:szCs w:val="20"/>
        </w:rPr>
      </w:pPr>
      <w:r>
        <w:rPr>
          <w:rFonts w:hint="eastAsia"/>
          <w:color w:val="000000"/>
          <w:sz w:val="20"/>
          <w:szCs w:val="20"/>
        </w:rPr>
        <w:t xml:space="preserve"> 本课程建议学前教育专业的</w:t>
      </w:r>
      <w:r>
        <w:rPr>
          <w:rFonts w:hint="eastAsia"/>
          <w:color w:val="000000"/>
          <w:sz w:val="20"/>
          <w:szCs w:val="20"/>
          <w:lang w:val="en-US" w:eastAsia="zh-CN"/>
        </w:rPr>
        <w:t>二</w:t>
      </w:r>
      <w:r>
        <w:rPr>
          <w:rFonts w:hint="eastAsia"/>
          <w:color w:val="000000"/>
          <w:sz w:val="20"/>
          <w:szCs w:val="20"/>
        </w:rPr>
        <w:t>年级学生选课，学生应</w:t>
      </w:r>
      <w:r>
        <w:rPr>
          <w:rFonts w:hint="eastAsia"/>
          <w:color w:val="000000"/>
          <w:sz w:val="20"/>
          <w:szCs w:val="20"/>
          <w:lang w:val="en-US" w:eastAsia="zh-CN"/>
        </w:rPr>
        <w:t>对于教育学、心理学基础知识有一定的了解，</w:t>
      </w:r>
      <w:r>
        <w:rPr>
          <w:rFonts w:hint="eastAsia"/>
          <w:color w:val="000000"/>
          <w:sz w:val="20"/>
          <w:szCs w:val="20"/>
        </w:rPr>
        <w:t>具有一定的阅读能力、辩证的思维方法，同时学生应具备一定的自主学习能力。</w:t>
      </w:r>
    </w:p>
    <w:p>
      <w:pPr>
        <w:widowControl/>
        <w:numPr>
          <w:ilvl w:val="0"/>
          <w:numId w:val="2"/>
        </w:numPr>
        <w:spacing w:beforeLines="50" w:afterLines="50" w:line="288" w:lineRule="auto"/>
        <w:ind w:firstLine="360" w:firstLineChars="150"/>
        <w:jc w:val="left"/>
        <w:rPr>
          <w:rFonts w:ascii="黑体" w:hAnsi="宋体" w:eastAsia="黑体"/>
          <w:sz w:val="24"/>
        </w:rPr>
      </w:pPr>
      <w:r>
        <w:rPr>
          <w:rFonts w:ascii="黑体" w:hAnsi="宋体" w:eastAsia="黑体"/>
          <w:sz w:val="24"/>
        </w:rPr>
        <w:t>课程与</w:t>
      </w:r>
      <w:r>
        <w:rPr>
          <w:rFonts w:hint="eastAsia" w:ascii="黑体" w:hAnsi="宋体" w:eastAsia="黑体"/>
          <w:sz w:val="24"/>
          <w:highlight w:val="none"/>
        </w:rPr>
        <w:t>专业毕业要求</w:t>
      </w:r>
      <w:r>
        <w:rPr>
          <w:rFonts w:ascii="黑体" w:hAnsi="宋体" w:eastAsia="黑体"/>
          <w:sz w:val="24"/>
        </w:rPr>
        <w:t>的关联性</w:t>
      </w:r>
    </w:p>
    <w:tbl>
      <w:tblPr>
        <w:tblStyle w:val="5"/>
        <w:tblpPr w:leftFromText="180" w:rightFromText="180" w:vertAnchor="text" w:horzAnchor="page" w:tblpX="2375" w:tblpY="242"/>
        <w:tblOverlap w:val="never"/>
        <w:tblW w:w="75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3"/>
        <w:gridCol w:w="7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tcPr>
          <w:p>
            <w:pPr>
              <w:jc w:val="center"/>
              <w:rPr>
                <w:rFonts w:ascii="黑体" w:hAnsi="黑体" w:eastAsia="黑体" w:cs="黑体"/>
                <w:kern w:val="0"/>
                <w:sz w:val="20"/>
                <w:szCs w:val="20"/>
              </w:rPr>
            </w:pPr>
            <w:r>
              <w:rPr>
                <w:rFonts w:hint="eastAsia" w:ascii="黑体" w:hAnsi="黑体" w:eastAsia="黑体" w:cs="黑体"/>
                <w:kern w:val="0"/>
                <w:sz w:val="20"/>
                <w:szCs w:val="20"/>
              </w:rPr>
              <w:t>专业毕业要求</w:t>
            </w:r>
          </w:p>
        </w:tc>
        <w:tc>
          <w:tcPr>
            <w:tcW w:w="727" w:type="dxa"/>
          </w:tcPr>
          <w:p>
            <w:pPr>
              <w:jc w:val="center"/>
              <w:rPr>
                <w:rFonts w:ascii="黑体" w:hAnsi="黑体" w:eastAsia="黑体" w:cs="黑体"/>
                <w:kern w:val="0"/>
                <w:sz w:val="20"/>
                <w:szCs w:val="20"/>
              </w:rPr>
            </w:pPr>
            <w:r>
              <w:rPr>
                <w:rFonts w:hint="eastAsia" w:ascii="黑体" w:hAnsi="黑体" w:eastAsia="黑体" w:cs="黑体"/>
                <w:kern w:val="0"/>
                <w:sz w:val="20"/>
                <w:szCs w:val="20"/>
              </w:rPr>
              <w:t>关联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11专业伦理：</w:t>
            </w:r>
            <w:r>
              <w:rPr>
                <w:rFonts w:hint="eastAsia" w:ascii="楷体_GB2312" w:hAnsi="楷体" w:eastAsia="楷体_GB2312"/>
                <w:bCs/>
                <w:sz w:val="24"/>
              </w:rPr>
              <w:t>认同社会主义核心价值观；理解与践行学前教育核心价值；明确与践行幼儿园教师保教行为规范。</w:t>
            </w:r>
          </w:p>
        </w:tc>
        <w:tc>
          <w:tcPr>
            <w:tcW w:w="727" w:type="dxa"/>
            <w:vAlign w:val="center"/>
          </w:tcPr>
          <w:p>
            <w:pPr>
              <w:jc w:val="center"/>
              <w:rPr>
                <w:rFonts w:hint="default" w:ascii="仿宋" w:hAnsi="仿宋" w:eastAsia="仿宋" w:cs="宋体"/>
                <w:color w:val="000000"/>
                <w:kern w:val="0"/>
                <w:sz w:val="24"/>
                <w:szCs w:val="20"/>
                <w:lang w:val="en-US" w:eastAsia="zh-CN"/>
              </w:rPr>
            </w:pPr>
            <w:r>
              <w:rPr>
                <w:rFonts w:hint="eastAsia" w:ascii="仿宋" w:hAnsi="仿宋" w:eastAsia="仿宋" w:cs="宋体"/>
                <w:color w:val="000000"/>
                <w:kern w:val="0"/>
                <w:sz w:val="24"/>
                <w:szCs w:val="20"/>
                <w:lang w:val="en-US" w:eastAsia="zh-CN"/>
              </w:rPr>
              <w:t>XQ</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widowControl/>
              <w:rPr>
                <w:kern w:val="0"/>
                <w:sz w:val="20"/>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12</w:t>
            </w:r>
            <w:r>
              <w:rPr>
                <w:rFonts w:ascii="仿宋" w:hAnsi="仿宋" w:eastAsia="仿宋" w:cs="宋体"/>
                <w:color w:val="000000"/>
                <w:kern w:val="0"/>
                <w:sz w:val="24"/>
                <w:szCs w:val="24"/>
              </w:rPr>
              <w:t xml:space="preserve"> </w:t>
            </w:r>
            <w:r>
              <w:rPr>
                <w:rFonts w:hint="eastAsia" w:ascii="仿宋" w:hAnsi="仿宋" w:eastAsia="仿宋" w:cs="宋体"/>
                <w:color w:val="000000"/>
                <w:kern w:val="0"/>
                <w:sz w:val="24"/>
                <w:szCs w:val="24"/>
              </w:rPr>
              <w:t>教育情怀:</w:t>
            </w:r>
            <w:r>
              <w:rPr>
                <w:rFonts w:hint="eastAsia" w:ascii="楷体_GB2312" w:hAnsi="楷体" w:eastAsia="楷体_GB2312"/>
                <w:bCs/>
                <w:sz w:val="24"/>
              </w:rPr>
              <w:t>增强专业认同感和使命感；具有人文底蕴、生命关怀和科学精神；践行幼儿为本和爱与自由理念。</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21</w:t>
            </w:r>
            <w:r>
              <w:rPr>
                <w:rFonts w:hint="eastAsia" w:ascii="仿宋" w:hAnsi="仿宋" w:eastAsia="仿宋" w:cs="宋体"/>
                <w:color w:val="000000"/>
                <w:kern w:val="0"/>
                <w:sz w:val="24"/>
                <w:szCs w:val="24"/>
              </w:rPr>
              <w:t>儿童研究：</w:t>
            </w:r>
            <w:r>
              <w:rPr>
                <w:rFonts w:hint="eastAsia" w:ascii="楷体_GB2312" w:hAnsi="楷体" w:eastAsia="楷体_GB2312"/>
                <w:bCs/>
                <w:sz w:val="24"/>
              </w:rPr>
              <w:t>掌握儿童发展、儿童研究的基本理论；具备现场观察、记录、分析幼儿的意识和能力；具备评价幼儿园教育活动的能力。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仿宋" w:hAnsi="仿宋" w:eastAsia="仿宋" w:cs="宋体"/>
                <w:color w:val="000000"/>
                <w:kern w:val="0"/>
                <w:sz w:val="24"/>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2</w:t>
            </w:r>
            <w:r>
              <w:rPr>
                <w:rFonts w:hint="eastAsia" w:ascii="仿宋" w:hAnsi="仿宋" w:eastAsia="仿宋" w:cs="宋体"/>
                <w:color w:val="000000"/>
                <w:kern w:val="0"/>
                <w:sz w:val="24"/>
                <w:szCs w:val="24"/>
              </w:rPr>
              <w:t>2保教能力：</w:t>
            </w:r>
            <w:r>
              <w:rPr>
                <w:rFonts w:hint="eastAsia" w:ascii="楷体_GB2312" w:hAnsi="楷体" w:eastAsia="楷体_GB2312"/>
                <w:bCs/>
                <w:sz w:val="24"/>
              </w:rPr>
              <w:t>把握幼儿生理、心理特点；掌握幼儿园保育和教育的基本知识和方法；熟悉五大领域知识并能合理运用于综合活动中。</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widowControl/>
              <w:rPr>
                <w:rFonts w:ascii="仿宋" w:hAnsi="仿宋" w:eastAsia="仿宋" w:cs="宋体"/>
                <w:color w:val="000000"/>
                <w:kern w:val="0"/>
                <w:sz w:val="24"/>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23环境创设：</w:t>
            </w:r>
            <w:r>
              <w:rPr>
                <w:rFonts w:hint="eastAsia" w:ascii="楷体_GB2312" w:hAnsi="楷体" w:eastAsia="楷体_GB2312"/>
                <w:bCs/>
                <w:sz w:val="24"/>
              </w:rPr>
              <w:t>充分认识大自然、大社会对幼儿发展的价值；具备创设有准备的环境的知识和能力；具备幼儿与环境互动质量的评价能力。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仿宋" w:hAnsi="仿宋" w:eastAsia="仿宋" w:cs="宋体"/>
                <w:color w:val="000000"/>
                <w:kern w:val="0"/>
                <w:sz w:val="24"/>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3</w:t>
            </w:r>
            <w:r>
              <w:rPr>
                <w:rFonts w:ascii="仿宋" w:hAnsi="仿宋" w:eastAsia="仿宋" w:cs="宋体"/>
                <w:color w:val="000000"/>
                <w:kern w:val="0"/>
                <w:sz w:val="24"/>
                <w:szCs w:val="24"/>
              </w:rPr>
              <w:t>1</w:t>
            </w:r>
            <w:r>
              <w:rPr>
                <w:rFonts w:hint="eastAsia" w:ascii="楷体_GB2312" w:hAnsi="楷体" w:eastAsia="楷体_GB2312"/>
                <w:bCs/>
                <w:sz w:val="24"/>
              </w:rPr>
              <w:t>班级管理:能引导幼儿建立班级的秩序与规则；能营造愉悦、尊重、平等、积极的班级氛围；有以班级为纽带调动家庭和社区资源的意识和能力。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楷体_GB2312" w:hAnsi="楷体" w:eastAsia="楷体_GB2312"/>
                <w:bCs/>
                <w:sz w:val="24"/>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32</w:t>
            </w:r>
            <w:r>
              <w:rPr>
                <w:rFonts w:hint="eastAsia" w:ascii="楷体_GB2312" w:hAnsi="楷体" w:eastAsia="楷体_GB2312"/>
                <w:bCs/>
                <w:sz w:val="24"/>
              </w:rPr>
              <w:t>综合活动:充分认识一日生活的课程价值；具备以游戏为幼儿园基本活动的意识和能力；具有整合幼儿园、家庭与社区资源的能力。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楷体_GB2312" w:hAnsi="楷体" w:eastAsia="楷体_GB2312"/>
                <w:bCs/>
                <w:sz w:val="24"/>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41</w:t>
            </w:r>
            <w:r>
              <w:rPr>
                <w:rFonts w:hint="eastAsia" w:ascii="楷体_GB2312" w:hAnsi="楷体" w:eastAsia="楷体_GB2312"/>
                <w:bCs/>
                <w:sz w:val="24"/>
              </w:rPr>
              <w:t>反思精神:养成主动学习、批判性思考的习惯和品格；具有自我反思和引导幼儿反思的意识和能力；具有创造性解决问题的意识与能力。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42</w:t>
            </w:r>
            <w:r>
              <w:rPr>
                <w:rFonts w:hint="eastAsia" w:ascii="楷体_GB2312" w:hAnsi="楷体" w:eastAsia="楷体_GB2312"/>
                <w:bCs/>
                <w:sz w:val="24"/>
              </w:rPr>
              <w:t>国际视野:有参与国际教育交流的意识和能力；把握学前教育改革发展趋势和前沿动态；有分析和借鉴国际教育理念与实践的能力。</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43</w:t>
            </w:r>
            <w:r>
              <w:rPr>
                <w:rFonts w:hint="eastAsia" w:ascii="仿宋" w:hAnsi="仿宋" w:eastAsia="仿宋" w:cs="宋体"/>
                <w:color w:val="000000"/>
                <w:kern w:val="0"/>
                <w:sz w:val="24"/>
                <w:szCs w:val="24"/>
              </w:rPr>
              <w:t>交流合作：</w:t>
            </w:r>
            <w:r>
              <w:rPr>
                <w:rFonts w:hint="eastAsia" w:ascii="楷体_GB2312" w:hAnsi="楷体" w:eastAsia="楷体_GB2312"/>
                <w:bCs/>
                <w:sz w:val="24"/>
              </w:rPr>
              <w:t>具有团队协作精神，认同学习共同体的价值；掌握沟通合作的技能；有参与、组织专业团队开展合作学习的意识和能力。</w:t>
            </w:r>
          </w:p>
        </w:tc>
        <w:tc>
          <w:tcPr>
            <w:tcW w:w="727" w:type="dxa"/>
            <w:vAlign w:val="center"/>
          </w:tcPr>
          <w:p>
            <w:pPr>
              <w:widowControl/>
              <w:jc w:val="center"/>
              <w:rPr>
                <w:rFonts w:ascii="仿宋" w:hAnsi="仿宋" w:eastAsia="仿宋" w:cs="宋体"/>
                <w:color w:val="000000"/>
                <w:kern w:val="0"/>
                <w:sz w:val="24"/>
                <w:szCs w:val="20"/>
              </w:rPr>
            </w:pPr>
          </w:p>
        </w:tc>
      </w:tr>
    </w:tbl>
    <w:p>
      <w:pPr>
        <w:widowControl/>
        <w:numPr>
          <w:ilvl w:val="0"/>
          <w:numId w:val="0"/>
        </w:numPr>
        <w:spacing w:beforeLines="50" w:afterLines="50" w:line="288" w:lineRule="auto"/>
        <w:jc w:val="left"/>
        <w:rPr>
          <w:rFonts w:ascii="黑体" w:hAnsi="宋体" w:eastAsia="黑体"/>
          <w:sz w:val="24"/>
        </w:rPr>
      </w:pPr>
    </w:p>
    <w:p>
      <w:pPr>
        <w:ind w:firstLine="420" w:firstLineChars="200"/>
      </w:pPr>
      <w:r>
        <w:rPr>
          <w:rFonts w:hint="eastAsia"/>
        </w:rPr>
        <w:t>备注：XQ</w:t>
      </w:r>
      <w:r>
        <w:t xml:space="preserve"> </w:t>
      </w:r>
      <w:r>
        <w:rPr>
          <w:rFonts w:hint="eastAsia"/>
        </w:rPr>
        <w:t>=</w:t>
      </w:r>
      <w:r>
        <w:t xml:space="preserve"> </w:t>
      </w:r>
      <w:r>
        <w:rPr>
          <w:rFonts w:hint="eastAsia"/>
        </w:rPr>
        <w:t>学前教育.</w:t>
      </w:r>
    </w:p>
    <w:p>
      <w:pPr>
        <w:ind w:firstLine="420" w:firstLineChars="200"/>
        <w:rPr>
          <w:rFonts w:hint="eastAsia"/>
        </w:rPr>
      </w:pPr>
    </w:p>
    <w:p/>
    <w:p/>
    <w:p>
      <w:pPr>
        <w:widowControl/>
        <w:spacing w:beforeLines="50" w:afterLines="50" w:line="288" w:lineRule="auto"/>
        <w:ind w:firstLine="360" w:firstLineChars="150"/>
        <w:jc w:val="left"/>
        <w:rPr>
          <w:rFonts w:ascii="黑体" w:hAnsi="宋体" w:eastAsia="黑体"/>
          <w:sz w:val="24"/>
          <w:highlight w:val="none"/>
        </w:rPr>
      </w:pPr>
      <w:r>
        <w:rPr>
          <w:rFonts w:hint="eastAsia" w:ascii="黑体" w:hAnsi="宋体" w:eastAsia="黑体"/>
          <w:sz w:val="24"/>
          <w:highlight w:val="none"/>
        </w:rPr>
        <w:t>五、</w:t>
      </w:r>
      <w:r>
        <w:rPr>
          <w:rFonts w:ascii="黑体" w:hAnsi="宋体" w:eastAsia="黑体"/>
          <w:sz w:val="24"/>
          <w:highlight w:val="none"/>
        </w:rPr>
        <w:t>课程</w:t>
      </w:r>
      <w:r>
        <w:rPr>
          <w:rFonts w:hint="eastAsia" w:ascii="黑体" w:hAnsi="宋体" w:eastAsia="黑体"/>
          <w:sz w:val="24"/>
          <w:highlight w:val="none"/>
        </w:rPr>
        <w:t>目标/课程预期学习成果</w:t>
      </w:r>
    </w:p>
    <w:tbl>
      <w:tblPr>
        <w:tblStyle w:val="4"/>
        <w:tblpPr w:leftFromText="180" w:rightFromText="180" w:vertAnchor="text" w:horzAnchor="page" w:tblpX="2163" w:tblpY="152"/>
        <w:tblOverlap w:val="never"/>
        <w:tblW w:w="76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5"/>
        <w:gridCol w:w="1175"/>
        <w:gridCol w:w="2470"/>
        <w:gridCol w:w="2069"/>
        <w:gridCol w:w="14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snapToGrid w:val="0"/>
              <w:spacing w:line="288" w:lineRule="auto"/>
              <w:jc w:val="center"/>
              <w:rPr>
                <w:b/>
                <w:color w:val="000000"/>
                <w:sz w:val="20"/>
                <w:szCs w:val="20"/>
              </w:rPr>
            </w:pPr>
            <w:r>
              <w:rPr>
                <w:rFonts w:hint="eastAsia"/>
                <w:b/>
                <w:color w:val="000000"/>
                <w:sz w:val="20"/>
                <w:szCs w:val="20"/>
              </w:rPr>
              <w:t>序号</w:t>
            </w:r>
          </w:p>
        </w:tc>
        <w:tc>
          <w:tcPr>
            <w:tcW w:w="1175" w:type="dxa"/>
            <w:shd w:val="clear" w:color="auto" w:fill="auto"/>
          </w:tcPr>
          <w:p>
            <w:pPr>
              <w:snapToGrid w:val="0"/>
              <w:spacing w:line="288" w:lineRule="auto"/>
              <w:jc w:val="center"/>
              <w:rPr>
                <w:b/>
                <w:color w:val="000000"/>
                <w:sz w:val="20"/>
                <w:szCs w:val="20"/>
              </w:rPr>
            </w:pPr>
            <w:r>
              <w:rPr>
                <w:rFonts w:hint="eastAsia"/>
                <w:b/>
                <w:color w:val="000000"/>
                <w:sz w:val="20"/>
                <w:szCs w:val="20"/>
              </w:rPr>
              <w:t>课程预期</w:t>
            </w:r>
          </w:p>
          <w:p>
            <w:pPr>
              <w:snapToGrid w:val="0"/>
              <w:spacing w:line="288" w:lineRule="auto"/>
              <w:jc w:val="center"/>
              <w:rPr>
                <w:b/>
                <w:color w:val="000000"/>
                <w:sz w:val="20"/>
                <w:szCs w:val="20"/>
              </w:rPr>
            </w:pPr>
            <w:r>
              <w:rPr>
                <w:rFonts w:hint="eastAsia"/>
                <w:b/>
                <w:color w:val="000000"/>
                <w:sz w:val="20"/>
                <w:szCs w:val="20"/>
              </w:rPr>
              <w:t>学习成果</w:t>
            </w:r>
          </w:p>
        </w:tc>
        <w:tc>
          <w:tcPr>
            <w:tcW w:w="2470" w:type="dxa"/>
            <w:shd w:val="clear" w:color="auto" w:fill="auto"/>
            <w:vAlign w:val="center"/>
          </w:tcPr>
          <w:p>
            <w:pPr>
              <w:snapToGrid w:val="0"/>
              <w:spacing w:line="288" w:lineRule="auto"/>
              <w:jc w:val="center"/>
              <w:rPr>
                <w:b/>
                <w:color w:val="000000"/>
                <w:sz w:val="20"/>
                <w:szCs w:val="20"/>
                <w:highlight w:val="yellow"/>
              </w:rPr>
            </w:pPr>
            <w:r>
              <w:rPr>
                <w:rFonts w:hint="eastAsia"/>
                <w:b/>
                <w:color w:val="000000"/>
                <w:sz w:val="20"/>
                <w:szCs w:val="20"/>
              </w:rPr>
              <w:t>课程目标</w:t>
            </w:r>
          </w:p>
          <w:p>
            <w:pPr>
              <w:snapToGrid w:val="0"/>
              <w:spacing w:line="288" w:lineRule="auto"/>
              <w:jc w:val="center"/>
              <w:rPr>
                <w:b/>
                <w:color w:val="000000"/>
                <w:sz w:val="20"/>
                <w:szCs w:val="20"/>
              </w:rPr>
            </w:pPr>
            <w:r>
              <w:rPr>
                <w:rFonts w:hint="eastAsia"/>
                <w:b/>
                <w:color w:val="000000"/>
                <w:sz w:val="20"/>
                <w:szCs w:val="20"/>
                <w:highlight w:val="none"/>
                <w:shd w:val="clear"/>
              </w:rPr>
              <w:t>（细化的预期学习成果</w:t>
            </w:r>
            <w:r>
              <w:rPr>
                <w:rFonts w:hint="eastAsia"/>
                <w:b/>
                <w:color w:val="000000"/>
                <w:sz w:val="20"/>
                <w:szCs w:val="20"/>
              </w:rPr>
              <w:t>）</w:t>
            </w:r>
          </w:p>
        </w:tc>
        <w:tc>
          <w:tcPr>
            <w:tcW w:w="2069" w:type="dxa"/>
            <w:shd w:val="clear" w:color="auto" w:fill="auto"/>
            <w:vAlign w:val="center"/>
          </w:tcPr>
          <w:p>
            <w:pPr>
              <w:snapToGrid w:val="0"/>
              <w:spacing w:line="288" w:lineRule="auto"/>
              <w:jc w:val="center"/>
              <w:rPr>
                <w:b/>
                <w:color w:val="000000"/>
                <w:sz w:val="20"/>
                <w:szCs w:val="20"/>
              </w:rPr>
            </w:pPr>
            <w:r>
              <w:rPr>
                <w:rFonts w:hint="eastAsia"/>
                <w:b/>
                <w:color w:val="000000"/>
                <w:sz w:val="20"/>
                <w:szCs w:val="20"/>
              </w:rPr>
              <w:t>教与学方式</w:t>
            </w:r>
          </w:p>
        </w:tc>
        <w:tc>
          <w:tcPr>
            <w:tcW w:w="1406" w:type="dxa"/>
            <w:shd w:val="clear" w:color="auto" w:fill="auto"/>
            <w:vAlign w:val="center"/>
          </w:tcPr>
          <w:p>
            <w:pPr>
              <w:snapToGrid w:val="0"/>
              <w:spacing w:line="288" w:lineRule="auto"/>
              <w:jc w:val="center"/>
              <w:rPr>
                <w:b/>
                <w:color w:val="000000"/>
                <w:sz w:val="20"/>
                <w:szCs w:val="20"/>
              </w:rPr>
            </w:pPr>
            <w:r>
              <w:rPr>
                <w:rFonts w:hint="eastAsia"/>
                <w:b/>
                <w:color w:val="000000"/>
                <w:sz w:val="20"/>
                <w:szCs w:val="20"/>
              </w:rPr>
              <w:t>评价方式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ascii="仿宋" w:hAnsi="仿宋" w:eastAsia="仿宋" w:cs="宋体"/>
                <w:color w:val="000000"/>
                <w:kern w:val="0"/>
                <w:sz w:val="24"/>
              </w:rPr>
            </w:pPr>
            <w:r>
              <w:rPr>
                <w:rFonts w:hint="eastAsia" w:ascii="仿宋" w:hAnsi="仿宋" w:eastAsia="仿宋" w:cs="宋体"/>
                <w:color w:val="000000"/>
                <w:kern w:val="0"/>
                <w:sz w:val="24"/>
                <w:szCs w:val="24"/>
              </w:rPr>
              <w:t>1</w:t>
            </w:r>
          </w:p>
        </w:tc>
        <w:tc>
          <w:tcPr>
            <w:tcW w:w="1175" w:type="dxa"/>
            <w:shd w:val="clear" w:color="auto" w:fill="auto"/>
            <w:vAlign w:val="center"/>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lang w:val="en-US" w:eastAsia="zh-CN"/>
              </w:rPr>
              <w:t>222</w:t>
            </w:r>
          </w:p>
        </w:tc>
        <w:tc>
          <w:tcPr>
            <w:tcW w:w="2470" w:type="dxa"/>
            <w:shd w:val="clear" w:color="auto" w:fill="auto"/>
          </w:tcPr>
          <w:p>
            <w:pPr>
              <w:numPr>
                <w:ilvl w:val="0"/>
                <w:numId w:val="3"/>
              </w:num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了解学前教育在儿童的发展过程中及在整个教育系统中的地位与价值</w:t>
            </w:r>
          </w:p>
          <w:p>
            <w:pPr>
              <w:numPr>
                <w:ilvl w:val="0"/>
                <w:numId w:val="3"/>
              </w:num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分析学前教育的基本理论，理解学前教育活动的基本特点</w:t>
            </w:r>
          </w:p>
          <w:p>
            <w:pPr>
              <w:numPr>
                <w:ilvl w:val="0"/>
                <w:numId w:val="0"/>
              </w:num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3.运用所学知识分析、评价、解决学前教育中的一些问题</w:t>
            </w:r>
          </w:p>
        </w:tc>
        <w:tc>
          <w:tcPr>
            <w:tcW w:w="2069" w:type="dxa"/>
            <w:shd w:val="clear" w:color="auto" w:fill="auto"/>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课堂讲授；</w:t>
            </w:r>
          </w:p>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小组讨论；</w:t>
            </w:r>
          </w:p>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自主阅读；</w:t>
            </w:r>
          </w:p>
          <w:p>
            <w:pPr>
              <w:rPr>
                <w:rFonts w:hint="default"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翻转课堂</w:t>
            </w:r>
          </w:p>
        </w:tc>
        <w:tc>
          <w:tcPr>
            <w:tcW w:w="1406" w:type="dxa"/>
            <w:shd w:val="clear" w:color="auto" w:fill="auto"/>
          </w:tcPr>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课后作业；</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读书报告；</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期末闭卷考试；</w:t>
            </w:r>
          </w:p>
          <w:p>
            <w:pPr>
              <w:snapToGrid w:val="0"/>
              <w:spacing w:line="288" w:lineRule="auto"/>
              <w:jc w:val="both"/>
              <w:rPr>
                <w:rFonts w:hint="default" w:ascii="黑体" w:hAnsi="宋体" w:eastAsia="黑体"/>
                <w:sz w:val="24"/>
                <w:lang w:val="en-US" w:eastAsia="zh-CN"/>
              </w:rPr>
            </w:pPr>
            <w:r>
              <w:rPr>
                <w:rFonts w:hint="eastAsia" w:ascii="黑体" w:hAnsi="宋体" w:eastAsia="黑体"/>
                <w:sz w:val="24"/>
                <w:lang w:val="en-US" w:eastAsia="zh-CN"/>
              </w:rPr>
              <w:t>平时表现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535" w:type="dxa"/>
            <w:shd w:val="clear" w:color="auto" w:fill="auto"/>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2</w:t>
            </w:r>
          </w:p>
        </w:tc>
        <w:tc>
          <w:tcPr>
            <w:tcW w:w="1175" w:type="dxa"/>
            <w:shd w:val="clear" w:color="auto" w:fill="auto"/>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lang w:val="en-US" w:eastAsia="zh-CN"/>
              </w:rPr>
              <w:t>423</w:t>
            </w:r>
          </w:p>
        </w:tc>
        <w:tc>
          <w:tcPr>
            <w:tcW w:w="2470" w:type="dxa"/>
            <w:shd w:val="clear" w:color="auto" w:fill="auto"/>
          </w:tcPr>
          <w:p>
            <w:pPr>
              <w:numPr>
                <w:ilvl w:val="0"/>
                <w:numId w:val="4"/>
              </w:num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了解国际学前教育先进的教育理念与实践成果</w:t>
            </w:r>
          </w:p>
          <w:p>
            <w:pPr>
              <w:numPr>
                <w:ilvl w:val="0"/>
                <w:numId w:val="4"/>
              </w:num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能够分析并借鉴国际学前教育学先进理念与成果</w:t>
            </w:r>
          </w:p>
        </w:tc>
        <w:tc>
          <w:tcPr>
            <w:tcW w:w="2069" w:type="dxa"/>
            <w:shd w:val="clear" w:color="auto" w:fill="auto"/>
          </w:tcPr>
          <w:p>
            <w:pPr>
              <w:snapToGrid w:val="0"/>
              <w:spacing w:line="288" w:lineRule="auto"/>
              <w:jc w:val="both"/>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课堂讲授；</w:t>
            </w:r>
          </w:p>
          <w:p>
            <w:pPr>
              <w:snapToGrid w:val="0"/>
              <w:spacing w:line="288" w:lineRule="auto"/>
              <w:jc w:val="both"/>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翻转课堂；</w:t>
            </w:r>
          </w:p>
          <w:p>
            <w:pPr>
              <w:snapToGrid w:val="0"/>
              <w:spacing w:line="288" w:lineRule="auto"/>
              <w:jc w:val="both"/>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小组讨论；</w:t>
            </w:r>
          </w:p>
          <w:p>
            <w:pPr>
              <w:snapToGrid w:val="0"/>
              <w:spacing w:line="288" w:lineRule="auto"/>
              <w:jc w:val="both"/>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自主阅读；</w:t>
            </w:r>
          </w:p>
          <w:p>
            <w:pPr>
              <w:snapToGrid w:val="0"/>
              <w:spacing w:line="288" w:lineRule="auto"/>
              <w:jc w:val="both"/>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学生自我反思与总结</w:t>
            </w:r>
          </w:p>
        </w:tc>
        <w:tc>
          <w:tcPr>
            <w:tcW w:w="1406" w:type="dxa"/>
            <w:shd w:val="clear" w:color="auto" w:fill="auto"/>
          </w:tcPr>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课后作业；</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读书报告；</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期末闭卷考试；</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平时表现</w:t>
            </w:r>
          </w:p>
        </w:tc>
      </w:tr>
    </w:tbl>
    <w:p>
      <w:pPr>
        <w:snapToGrid w:val="0"/>
        <w:spacing w:line="288" w:lineRule="auto"/>
        <w:rPr>
          <w:rFonts w:ascii="黑体" w:hAnsi="宋体" w:eastAsia="黑体"/>
          <w:sz w:val="24"/>
        </w:rPr>
      </w:pPr>
    </w:p>
    <w:p>
      <w:pPr>
        <w:widowControl/>
        <w:spacing w:beforeLines="50" w:afterLines="50" w:line="288" w:lineRule="auto"/>
        <w:ind w:firstLine="360" w:firstLineChars="150"/>
        <w:jc w:val="left"/>
        <w:rPr>
          <w:rFonts w:ascii="宋体" w:hAnsi="宋体"/>
          <w:sz w:val="20"/>
          <w:szCs w:val="20"/>
        </w:rPr>
      </w:pPr>
      <w:r>
        <w:rPr>
          <w:rFonts w:hint="eastAsia" w:ascii="黑体" w:hAnsi="宋体" w:eastAsia="黑体"/>
          <w:sz w:val="24"/>
          <w:highlight w:val="none"/>
        </w:rPr>
        <w:t>六、</w:t>
      </w:r>
      <w:r>
        <w:rPr>
          <w:rFonts w:ascii="黑体" w:hAnsi="宋体" w:eastAsia="黑体"/>
          <w:sz w:val="24"/>
          <w:highlight w:val="none"/>
        </w:rPr>
        <w:t>课程内容</w:t>
      </w:r>
    </w:p>
    <w:p>
      <w:pPr>
        <w:snapToGrid w:val="0"/>
        <w:spacing w:line="288" w:lineRule="auto"/>
        <w:jc w:val="left"/>
        <w:rPr>
          <w:rFonts w:ascii="宋体" w:hAnsi="宋体"/>
          <w:sz w:val="20"/>
          <w:szCs w:val="20"/>
        </w:rPr>
      </w:pPr>
    </w:p>
    <w:tbl>
      <w:tblPr>
        <w:tblStyle w:val="5"/>
        <w:tblW w:w="85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2"/>
        <w:gridCol w:w="1860"/>
        <w:gridCol w:w="1860"/>
        <w:gridCol w:w="1860"/>
        <w:gridCol w:w="18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1062" w:type="dxa"/>
            <w:vAlign w:val="top"/>
          </w:tcPr>
          <w:p>
            <w:pPr>
              <w:snapToGrid w:val="0"/>
              <w:spacing w:line="288" w:lineRule="auto"/>
              <w:ind w:firstLine="402" w:firstLineChars="200"/>
              <w:jc w:val="left"/>
              <w:rPr>
                <w:rFonts w:hint="eastAsia" w:eastAsia="宋体"/>
                <w:sz w:val="20"/>
                <w:szCs w:val="20"/>
                <w:vertAlign w:val="baseline"/>
                <w:lang w:val="en-US" w:eastAsia="zh-CN"/>
              </w:rPr>
            </w:pPr>
            <w:r>
              <w:rPr>
                <w:rFonts w:hint="eastAsia" w:ascii="宋体" w:hAnsi="宋体"/>
                <w:b/>
                <w:bCs/>
                <w:sz w:val="20"/>
                <w:szCs w:val="20"/>
                <w:lang w:val="en-US" w:eastAsia="zh-CN"/>
              </w:rPr>
              <w:t>单元</w:t>
            </w:r>
          </w:p>
        </w:tc>
        <w:tc>
          <w:tcPr>
            <w:tcW w:w="1860" w:type="dxa"/>
            <w:vAlign w:val="top"/>
          </w:tcPr>
          <w:p>
            <w:pPr>
              <w:snapToGrid w:val="0"/>
              <w:spacing w:line="288" w:lineRule="auto"/>
              <w:ind w:firstLine="402" w:firstLineChars="200"/>
              <w:jc w:val="left"/>
              <w:rPr>
                <w:rFonts w:hint="eastAsia" w:ascii="Calibri" w:hAnsi="Calibri" w:eastAsia="宋体" w:cs="Times New Roman"/>
                <w:kern w:val="2"/>
                <w:sz w:val="20"/>
                <w:szCs w:val="20"/>
                <w:vertAlign w:val="baseline"/>
                <w:lang w:val="en-US" w:eastAsia="zh-CN" w:bidi="ar-SA"/>
              </w:rPr>
            </w:pPr>
            <w:r>
              <w:rPr>
                <w:rFonts w:hint="eastAsia" w:ascii="宋体" w:hAnsi="宋体"/>
                <w:b/>
                <w:bCs/>
                <w:sz w:val="20"/>
                <w:szCs w:val="20"/>
                <w:lang w:val="en-US" w:eastAsia="zh-CN"/>
              </w:rPr>
              <w:t>知识目标</w:t>
            </w:r>
          </w:p>
        </w:tc>
        <w:tc>
          <w:tcPr>
            <w:tcW w:w="1860" w:type="dxa"/>
            <w:vAlign w:val="top"/>
          </w:tcPr>
          <w:p>
            <w:pPr>
              <w:snapToGrid w:val="0"/>
              <w:spacing w:line="288" w:lineRule="auto"/>
              <w:ind w:firstLine="402" w:firstLineChars="200"/>
              <w:jc w:val="left"/>
              <w:rPr>
                <w:rFonts w:hint="default" w:ascii="Calibri" w:hAnsi="Calibri" w:eastAsia="宋体" w:cs="Times New Roman"/>
                <w:kern w:val="2"/>
                <w:sz w:val="20"/>
                <w:szCs w:val="20"/>
                <w:vertAlign w:val="baseline"/>
                <w:lang w:val="en-US" w:eastAsia="zh-CN" w:bidi="ar-SA"/>
              </w:rPr>
            </w:pPr>
            <w:r>
              <w:rPr>
                <w:rFonts w:hint="eastAsia" w:ascii="宋体" w:hAnsi="宋体"/>
                <w:b/>
                <w:bCs/>
                <w:sz w:val="20"/>
                <w:szCs w:val="20"/>
                <w:lang w:val="en-US" w:eastAsia="zh-CN"/>
              </w:rPr>
              <w:t>能力目标</w:t>
            </w:r>
          </w:p>
        </w:tc>
        <w:tc>
          <w:tcPr>
            <w:tcW w:w="1860" w:type="dxa"/>
            <w:vAlign w:val="top"/>
          </w:tcPr>
          <w:p>
            <w:pPr>
              <w:snapToGrid w:val="0"/>
              <w:spacing w:line="288" w:lineRule="auto"/>
              <w:ind w:firstLine="402" w:firstLineChars="200"/>
              <w:jc w:val="left"/>
              <w:rPr>
                <w:rFonts w:hint="default" w:ascii="宋体" w:hAnsi="宋体"/>
                <w:b/>
                <w:bCs/>
                <w:sz w:val="20"/>
                <w:szCs w:val="20"/>
                <w:lang w:val="en-US" w:eastAsia="zh-CN"/>
              </w:rPr>
            </w:pPr>
            <w:r>
              <w:rPr>
                <w:rFonts w:hint="eastAsia" w:ascii="宋体" w:hAnsi="宋体"/>
                <w:b/>
                <w:bCs/>
                <w:sz w:val="20"/>
                <w:szCs w:val="20"/>
                <w:lang w:val="en-US" w:eastAsia="zh-CN"/>
              </w:rPr>
              <w:t>情感目标</w:t>
            </w:r>
          </w:p>
        </w:tc>
        <w:tc>
          <w:tcPr>
            <w:tcW w:w="1862" w:type="dxa"/>
            <w:vAlign w:val="top"/>
          </w:tcPr>
          <w:p>
            <w:pPr>
              <w:snapToGrid w:val="0"/>
              <w:spacing w:line="288" w:lineRule="auto"/>
              <w:ind w:firstLine="402" w:firstLineChars="200"/>
              <w:jc w:val="left"/>
              <w:rPr>
                <w:sz w:val="20"/>
                <w:szCs w:val="20"/>
                <w:vertAlign w:val="baseline"/>
              </w:rPr>
            </w:pPr>
            <w:r>
              <w:rPr>
                <w:rFonts w:hint="eastAsia" w:ascii="宋体" w:hAnsi="宋体"/>
                <w:b/>
                <w:bCs/>
                <w:sz w:val="20"/>
                <w:szCs w:val="20"/>
                <w:lang w:val="en-US" w:eastAsia="zh-CN"/>
              </w:rPr>
              <w:t>教学难点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2"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学前教育学导论</w:t>
            </w:r>
          </w:p>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（2课时）</w:t>
            </w:r>
          </w:p>
        </w:tc>
        <w:tc>
          <w:tcPr>
            <w:tcW w:w="1860" w:type="dxa"/>
            <w:vAlign w:val="top"/>
          </w:tcPr>
          <w:p>
            <w:pPr>
              <w:numPr>
                <w:ilvl w:val="0"/>
                <w:numId w:val="5"/>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理解学前教育与学前教育学的含义与特点</w:t>
            </w:r>
          </w:p>
          <w:p>
            <w:pPr>
              <w:numPr>
                <w:ilvl w:val="0"/>
                <w:numId w:val="5"/>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知道学前教育学的研究对象</w:t>
            </w:r>
          </w:p>
          <w:p>
            <w:pPr>
              <w:numPr>
                <w:ilvl w:val="0"/>
                <w:numId w:val="5"/>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分析中外学前教育学的学科发展历程</w:t>
            </w:r>
          </w:p>
        </w:tc>
        <w:tc>
          <w:tcPr>
            <w:tcW w:w="1860" w:type="dxa"/>
            <w:vAlign w:val="top"/>
          </w:tcPr>
          <w:p>
            <w:pPr>
              <w:numPr>
                <w:ilvl w:val="0"/>
                <w:numId w:val="6"/>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能够判断早教机构是否属于学前教育机构</w:t>
            </w:r>
          </w:p>
          <w:p>
            <w:pPr>
              <w:numPr>
                <w:ilvl w:val="0"/>
                <w:numId w:val="6"/>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能够说明学前教育学的研究对象</w:t>
            </w:r>
          </w:p>
          <w:p>
            <w:pPr>
              <w:numPr>
                <w:ilvl w:val="0"/>
                <w:numId w:val="6"/>
              </w:numPr>
              <w:snapToGrid w:val="0"/>
              <w:spacing w:line="288" w:lineRule="auto"/>
              <w:ind w:left="0" w:leftChars="0" w:right="26" w:rightChars="0" w:firstLine="0" w:firstLine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能够简述中外学前教育的发展进程</w:t>
            </w:r>
          </w:p>
        </w:tc>
        <w:tc>
          <w:tcPr>
            <w:tcW w:w="1860" w:type="dxa"/>
            <w:vAlign w:val="top"/>
          </w:tcPr>
          <w:p>
            <w:pPr>
              <w:numPr>
                <w:ilvl w:val="0"/>
                <w:numId w:val="7"/>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初步形成现代学前教育的新观念、新方法，形成全新的学前教育理论素养</w:t>
            </w:r>
          </w:p>
          <w:p>
            <w:pPr>
              <w:numPr>
                <w:ilvl w:val="0"/>
                <w:numId w:val="7"/>
              </w:numPr>
              <w:snapToGrid w:val="0"/>
              <w:spacing w:line="288" w:lineRule="auto"/>
              <w:ind w:right="26" w:rightChars="0"/>
              <w:rPr>
                <w:rFonts w:hint="default"/>
                <w:sz w:val="20"/>
                <w:szCs w:val="20"/>
                <w:vertAlign w:val="baseline"/>
                <w:lang w:val="en-US" w:eastAsia="zh-CN"/>
              </w:rPr>
            </w:pPr>
            <w:r>
              <w:rPr>
                <w:rFonts w:hint="eastAsia"/>
                <w:sz w:val="20"/>
                <w:szCs w:val="20"/>
                <w:vertAlign w:val="baseline"/>
                <w:lang w:val="en-US" w:eastAsia="zh-CN"/>
              </w:rPr>
              <w:t>树立幼儿教育工作者的专业意识，了解幼儿教育工作者的基本职责。</w:t>
            </w:r>
          </w:p>
          <w:p>
            <w:pPr>
              <w:numPr>
                <w:ilvl w:val="0"/>
                <w:numId w:val="7"/>
              </w:numPr>
              <w:snapToGrid w:val="0"/>
              <w:spacing w:line="288" w:lineRule="auto"/>
              <w:ind w:right="26" w:rightChars="0"/>
              <w:rPr>
                <w:rFonts w:hint="default"/>
                <w:sz w:val="20"/>
                <w:szCs w:val="20"/>
                <w:vertAlign w:val="baseline"/>
                <w:lang w:val="en-US" w:eastAsia="zh-CN"/>
              </w:rPr>
            </w:pPr>
            <w:r>
              <w:rPr>
                <w:rFonts w:hint="eastAsia"/>
                <w:sz w:val="20"/>
                <w:szCs w:val="20"/>
                <w:vertAlign w:val="baseline"/>
                <w:lang w:val="en-US" w:eastAsia="zh-CN"/>
              </w:rPr>
              <w:t>激发对幼儿教育工作的兴趣。</w:t>
            </w:r>
          </w:p>
        </w:tc>
        <w:tc>
          <w:tcPr>
            <w:tcW w:w="1862" w:type="dxa"/>
            <w:vAlign w:val="top"/>
          </w:tcPr>
          <w:p>
            <w:pPr>
              <w:numPr>
                <w:ilvl w:val="0"/>
                <w:numId w:val="8"/>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针对学前教育机构的教育现象与规律，分析中外学前教育领域的经典理论与主要问题</w:t>
            </w:r>
          </w:p>
          <w:p>
            <w:pPr>
              <w:numPr>
                <w:ilvl w:val="0"/>
                <w:numId w:val="8"/>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了解学前教育学的历史发展过程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2"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学前教育学的基础</w:t>
            </w:r>
          </w:p>
          <w:p>
            <w:pPr>
              <w:snapToGrid w:val="0"/>
              <w:spacing w:line="288" w:lineRule="auto"/>
              <w:ind w:right="26"/>
              <w:rPr>
                <w:rFonts w:hint="eastAsia"/>
                <w:sz w:val="20"/>
                <w:szCs w:val="20"/>
                <w:vertAlign w:val="baseline"/>
                <w:lang w:val="en-US" w:eastAsia="zh-CN"/>
              </w:rPr>
            </w:pPr>
            <w:r>
              <w:rPr>
                <w:rFonts w:hint="eastAsia" w:ascii="宋体" w:hAnsi="宋体"/>
                <w:sz w:val="20"/>
                <w:szCs w:val="20"/>
                <w:vertAlign w:val="baseline"/>
                <w:lang w:val="en-US" w:eastAsia="zh-CN"/>
              </w:rPr>
              <w:t>（2课时）</w:t>
            </w:r>
          </w:p>
        </w:tc>
        <w:tc>
          <w:tcPr>
            <w:tcW w:w="1860" w:type="dxa"/>
            <w:vAlign w:val="top"/>
          </w:tcPr>
          <w:p>
            <w:pPr>
              <w:numPr>
                <w:ilvl w:val="0"/>
                <w:numId w:val="9"/>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理解脑科学与心理学研究对学前教育学的意义</w:t>
            </w:r>
          </w:p>
          <w:p>
            <w:pPr>
              <w:numPr>
                <w:ilvl w:val="0"/>
                <w:numId w:val="9"/>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知道佩里学前教育项目和芝加哥亲子中心项目</w:t>
            </w:r>
          </w:p>
          <w:p>
            <w:pPr>
              <w:numPr>
                <w:ilvl w:val="0"/>
                <w:numId w:val="9"/>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分析早期干预研究对学前教育学的价值</w:t>
            </w:r>
          </w:p>
        </w:tc>
        <w:tc>
          <w:tcPr>
            <w:tcW w:w="1860" w:type="dxa"/>
            <w:vAlign w:val="top"/>
          </w:tcPr>
          <w:p>
            <w:pPr>
              <w:numPr>
                <w:ilvl w:val="0"/>
                <w:numId w:val="10"/>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能够简述早期大脑的发展具有可塑性的原因</w:t>
            </w:r>
          </w:p>
          <w:p>
            <w:pPr>
              <w:numPr>
                <w:ilvl w:val="0"/>
                <w:numId w:val="10"/>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能够说明发展的敏感期对于我们的学前教育所产生的启示</w:t>
            </w:r>
          </w:p>
          <w:p>
            <w:pPr>
              <w:numPr>
                <w:ilvl w:val="0"/>
                <w:numId w:val="10"/>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能够表达对于“不能输在起跑线上”这个话题的看法</w:t>
            </w:r>
          </w:p>
          <w:p>
            <w:pPr>
              <w:numPr>
                <w:ilvl w:val="0"/>
                <w:numId w:val="10"/>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能够说明佩里学前教育项目和芝加哥亲子中心项目所具有的价值</w:t>
            </w:r>
          </w:p>
        </w:tc>
        <w:tc>
          <w:tcPr>
            <w:tcW w:w="1860" w:type="dxa"/>
            <w:vAlign w:val="top"/>
          </w:tcPr>
          <w:p>
            <w:pPr>
              <w:numPr>
                <w:ilvl w:val="0"/>
                <w:numId w:val="11"/>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激发学习兴趣，培养职业理想</w:t>
            </w:r>
          </w:p>
          <w:p>
            <w:pPr>
              <w:numPr>
                <w:ilvl w:val="0"/>
                <w:numId w:val="11"/>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形成正确的儿童观与教育观。</w:t>
            </w:r>
          </w:p>
          <w:p>
            <w:pPr>
              <w:numPr>
                <w:ilvl w:val="0"/>
                <w:numId w:val="11"/>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激发对幼儿教育工作的兴趣。</w:t>
            </w:r>
          </w:p>
        </w:tc>
        <w:tc>
          <w:tcPr>
            <w:tcW w:w="1862" w:type="dxa"/>
            <w:vAlign w:val="top"/>
          </w:tcPr>
          <w:p>
            <w:pPr>
              <w:numPr>
                <w:ilvl w:val="0"/>
                <w:numId w:val="12"/>
              </w:numPr>
              <w:tabs>
                <w:tab w:val="clear" w:pos="312"/>
              </w:tabs>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理解儿童所处的早期环境及所接受的学前教育对于儿童发展的影响</w:t>
            </w:r>
          </w:p>
          <w:p>
            <w:pPr>
              <w:numPr>
                <w:ilvl w:val="0"/>
                <w:numId w:val="12"/>
              </w:numPr>
              <w:tabs>
                <w:tab w:val="clear" w:pos="312"/>
              </w:tabs>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能够根据佩里学前教育项目和芝加哥亲子中心项目的研究结果，分析早期教育干预对于儿童发展的影响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2"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学前教育中的经典理论</w:t>
            </w:r>
          </w:p>
          <w:p>
            <w:pPr>
              <w:snapToGrid w:val="0"/>
              <w:spacing w:line="288" w:lineRule="auto"/>
              <w:ind w:right="26"/>
              <w:rPr>
                <w:rFonts w:hint="eastAsia"/>
                <w:sz w:val="20"/>
                <w:szCs w:val="20"/>
                <w:vertAlign w:val="baseline"/>
                <w:lang w:val="en-US" w:eastAsia="zh-CN"/>
              </w:rPr>
            </w:pPr>
            <w:r>
              <w:rPr>
                <w:rFonts w:hint="eastAsia" w:ascii="宋体" w:hAnsi="宋体"/>
                <w:sz w:val="20"/>
                <w:szCs w:val="20"/>
                <w:vertAlign w:val="baseline"/>
                <w:lang w:val="en-US" w:eastAsia="zh-CN"/>
              </w:rPr>
              <w:t>（4课时）</w:t>
            </w:r>
          </w:p>
        </w:tc>
        <w:tc>
          <w:tcPr>
            <w:tcW w:w="1860" w:type="dxa"/>
            <w:vAlign w:val="top"/>
          </w:tcPr>
          <w:p>
            <w:pPr>
              <w:numPr>
                <w:ilvl w:val="0"/>
                <w:numId w:val="13"/>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知道学前教育的中外经典大师</w:t>
            </w:r>
          </w:p>
          <w:p>
            <w:pPr>
              <w:numPr>
                <w:ilvl w:val="0"/>
                <w:numId w:val="13"/>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理解并分析中外学前教育的主要经典理论</w:t>
            </w:r>
          </w:p>
          <w:p>
            <w:pPr>
              <w:numPr>
                <w:ilvl w:val="0"/>
                <w:numId w:val="13"/>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理解最近发展区的启示，并运用其进行案例分析</w:t>
            </w:r>
          </w:p>
        </w:tc>
        <w:tc>
          <w:tcPr>
            <w:tcW w:w="1860" w:type="dxa"/>
            <w:vAlign w:val="top"/>
          </w:tcPr>
          <w:p>
            <w:pPr>
              <w:numPr>
                <w:ilvl w:val="0"/>
                <w:numId w:val="14"/>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能够说明多元智能理论对教育者的启示</w:t>
            </w:r>
          </w:p>
          <w:p>
            <w:pPr>
              <w:widowControl w:val="0"/>
              <w:numPr>
                <w:ilvl w:val="0"/>
                <w:numId w:val="14"/>
              </w:numPr>
              <w:snapToGrid w:val="0"/>
              <w:spacing w:line="288" w:lineRule="auto"/>
              <w:ind w:left="0" w:leftChars="0" w:right="26" w:rightChars="0" w:firstLine="0" w:firstLineChars="0"/>
              <w:jc w:val="both"/>
              <w:rPr>
                <w:rFonts w:hint="eastAsia"/>
                <w:sz w:val="20"/>
                <w:szCs w:val="20"/>
                <w:vertAlign w:val="baseline"/>
                <w:lang w:val="en-US" w:eastAsia="zh-CN"/>
              </w:rPr>
            </w:pPr>
            <w:r>
              <w:rPr>
                <w:rFonts w:hint="eastAsia"/>
                <w:sz w:val="20"/>
                <w:szCs w:val="20"/>
                <w:vertAlign w:val="baseline"/>
                <w:lang w:val="en-US" w:eastAsia="zh-CN"/>
              </w:rPr>
              <w:t>能够清楚表达建构主义理论的教学观的具体内容</w:t>
            </w:r>
          </w:p>
          <w:p>
            <w:pPr>
              <w:widowControl w:val="0"/>
              <w:numPr>
                <w:ilvl w:val="0"/>
                <w:numId w:val="14"/>
              </w:numPr>
              <w:snapToGrid w:val="0"/>
              <w:spacing w:line="288" w:lineRule="auto"/>
              <w:ind w:left="0" w:leftChars="0" w:right="26" w:rightChars="0" w:firstLine="0" w:firstLineChars="0"/>
              <w:jc w:val="both"/>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能够论述维果斯基最近发展区与幼儿园活动设计的联系</w:t>
            </w:r>
          </w:p>
        </w:tc>
        <w:tc>
          <w:tcPr>
            <w:tcW w:w="1860" w:type="dxa"/>
            <w:vAlign w:val="top"/>
          </w:tcPr>
          <w:p>
            <w:pPr>
              <w:numPr>
                <w:ilvl w:val="0"/>
                <w:numId w:val="15"/>
              </w:numPr>
              <w:snapToGrid w:val="0"/>
              <w:spacing w:line="288" w:lineRule="auto"/>
              <w:ind w:leftChars="0" w:right="26" w:rightChars="0"/>
              <w:rPr>
                <w:rFonts w:hint="eastAsia"/>
                <w:sz w:val="20"/>
                <w:szCs w:val="20"/>
                <w:vertAlign w:val="baseline"/>
                <w:lang w:val="en-US" w:eastAsia="zh-CN"/>
              </w:rPr>
            </w:pPr>
            <w:r>
              <w:rPr>
                <w:rFonts w:hint="eastAsia"/>
                <w:sz w:val="20"/>
                <w:szCs w:val="20"/>
                <w:vertAlign w:val="baseline"/>
                <w:lang w:val="en-US" w:eastAsia="zh-CN"/>
              </w:rPr>
              <w:t>形成正确的儿童观与教育观</w:t>
            </w:r>
          </w:p>
          <w:p>
            <w:pPr>
              <w:numPr>
                <w:ilvl w:val="0"/>
                <w:numId w:val="15"/>
              </w:numPr>
              <w:snapToGrid w:val="0"/>
              <w:spacing w:line="288" w:lineRule="auto"/>
              <w:ind w:leftChars="0" w:right="26" w:rightChars="0"/>
              <w:rPr>
                <w:rFonts w:hint="eastAsia" w:ascii="宋体" w:hAnsi="宋体"/>
                <w:sz w:val="20"/>
                <w:szCs w:val="20"/>
                <w:vertAlign w:val="baseline"/>
                <w:lang w:val="en-US" w:eastAsia="zh-CN"/>
              </w:rPr>
            </w:pPr>
            <w:r>
              <w:rPr>
                <w:rFonts w:hint="eastAsia"/>
                <w:sz w:val="20"/>
                <w:szCs w:val="20"/>
                <w:vertAlign w:val="baseline"/>
                <w:lang w:val="en-US" w:eastAsia="zh-CN"/>
              </w:rPr>
              <w:t>树立幼儿教育工作者的专业意识</w:t>
            </w:r>
          </w:p>
          <w:p>
            <w:pPr>
              <w:numPr>
                <w:ilvl w:val="0"/>
                <w:numId w:val="15"/>
              </w:numPr>
              <w:snapToGrid w:val="0"/>
              <w:spacing w:line="288" w:lineRule="auto"/>
              <w:ind w:leftChars="0" w:right="26" w:rightChars="0"/>
              <w:rPr>
                <w:rFonts w:hint="eastAsia" w:ascii="宋体" w:hAnsi="宋体"/>
                <w:sz w:val="20"/>
                <w:szCs w:val="20"/>
                <w:vertAlign w:val="baseline"/>
                <w:lang w:val="en-US" w:eastAsia="zh-CN"/>
              </w:rPr>
            </w:pPr>
            <w:r>
              <w:rPr>
                <w:rFonts w:hint="eastAsia"/>
                <w:sz w:val="20"/>
                <w:szCs w:val="20"/>
                <w:vertAlign w:val="baseline"/>
                <w:lang w:val="en-US" w:eastAsia="zh-CN"/>
              </w:rPr>
              <w:t>激发对幼儿教育工作的兴趣</w:t>
            </w:r>
          </w:p>
          <w:p>
            <w:pPr>
              <w:numPr>
                <w:ilvl w:val="0"/>
                <w:numId w:val="7"/>
              </w:numPr>
              <w:snapToGrid w:val="0"/>
              <w:spacing w:line="288" w:lineRule="auto"/>
              <w:ind w:right="26" w:rightChars="0"/>
              <w:rPr>
                <w:rFonts w:hint="eastAsia" w:ascii="宋体" w:hAnsi="宋体"/>
                <w:sz w:val="20"/>
                <w:szCs w:val="20"/>
                <w:vertAlign w:val="baseline"/>
                <w:lang w:val="en-US" w:eastAsia="zh-CN"/>
              </w:rPr>
            </w:pPr>
            <w:r>
              <w:rPr>
                <w:rFonts w:hint="eastAsia"/>
                <w:sz w:val="20"/>
                <w:szCs w:val="20"/>
                <w:vertAlign w:val="baseline"/>
                <w:lang w:val="en-US" w:eastAsia="zh-CN"/>
              </w:rPr>
              <w:t>初步形成现代学前教育的新观念、新方法，形成全新的学前教育理论素养</w:t>
            </w:r>
          </w:p>
        </w:tc>
        <w:tc>
          <w:tcPr>
            <w:tcW w:w="1862" w:type="dxa"/>
            <w:vAlign w:val="top"/>
          </w:tcPr>
          <w:p>
            <w:pPr>
              <w:numPr>
                <w:ilvl w:val="0"/>
                <w:numId w:val="16"/>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理解福禄贝尔、蒙台梭利、杜威及陈鹤琴的主要思想及经典理论</w:t>
            </w:r>
          </w:p>
          <w:p>
            <w:pPr>
              <w:numPr>
                <w:ilvl w:val="0"/>
                <w:numId w:val="16"/>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分析中外学前教育的主要经典理论对于学前教育发展的影响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2"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学前儿童</w:t>
            </w:r>
          </w:p>
          <w:p>
            <w:pPr>
              <w:snapToGrid w:val="0"/>
              <w:spacing w:line="288" w:lineRule="auto"/>
              <w:ind w:right="26"/>
              <w:rPr>
                <w:rFonts w:hint="eastAsia"/>
                <w:sz w:val="20"/>
                <w:szCs w:val="20"/>
                <w:vertAlign w:val="baseline"/>
                <w:lang w:val="en-US" w:eastAsia="zh-CN"/>
              </w:rPr>
            </w:pPr>
            <w:r>
              <w:rPr>
                <w:rFonts w:hint="eastAsia" w:ascii="宋体" w:hAnsi="宋体"/>
                <w:sz w:val="20"/>
                <w:szCs w:val="20"/>
                <w:vertAlign w:val="baseline"/>
                <w:lang w:val="en-US" w:eastAsia="zh-CN"/>
              </w:rPr>
              <w:t>（4课时）</w:t>
            </w:r>
          </w:p>
        </w:tc>
        <w:tc>
          <w:tcPr>
            <w:tcW w:w="1860" w:type="dxa"/>
            <w:vAlign w:val="top"/>
          </w:tcPr>
          <w:p>
            <w:pPr>
              <w:numPr>
                <w:ilvl w:val="0"/>
                <w:numId w:val="17"/>
              </w:numPr>
              <w:tabs>
                <w:tab w:val="clear" w:pos="312"/>
              </w:tabs>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理解儿童观的含义，分析儿童观的价值取向</w:t>
            </w:r>
          </w:p>
          <w:p>
            <w:pPr>
              <w:numPr>
                <w:ilvl w:val="0"/>
                <w:numId w:val="17"/>
              </w:numPr>
              <w:tabs>
                <w:tab w:val="clear" w:pos="312"/>
              </w:tabs>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理解儿童权利的含义</w:t>
            </w:r>
          </w:p>
          <w:p>
            <w:pPr>
              <w:numPr>
                <w:ilvl w:val="0"/>
                <w:numId w:val="17"/>
              </w:numPr>
              <w:tabs>
                <w:tab w:val="clear" w:pos="312"/>
              </w:tabs>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知道儿童文化的定义</w:t>
            </w:r>
          </w:p>
          <w:p>
            <w:pPr>
              <w:numPr>
                <w:ilvl w:val="0"/>
                <w:numId w:val="17"/>
              </w:numPr>
              <w:tabs>
                <w:tab w:val="clear" w:pos="312"/>
              </w:tabs>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分析儿童研究的基本内容</w:t>
            </w:r>
          </w:p>
        </w:tc>
        <w:tc>
          <w:tcPr>
            <w:tcW w:w="1860" w:type="dxa"/>
            <w:vAlign w:val="top"/>
          </w:tcPr>
          <w:p>
            <w:pPr>
              <w:numPr>
                <w:ilvl w:val="0"/>
                <w:numId w:val="18"/>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能够表述《儿童权利公约》所规定的儿童权利的内容</w:t>
            </w:r>
          </w:p>
          <w:p>
            <w:pPr>
              <w:numPr>
                <w:ilvl w:val="0"/>
                <w:numId w:val="18"/>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能够简要论述儿童观的3种价值取向</w:t>
            </w:r>
          </w:p>
          <w:p>
            <w:pPr>
              <w:numPr>
                <w:ilvl w:val="0"/>
                <w:numId w:val="18"/>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能够论述儿童文化的发生机制</w:t>
            </w:r>
          </w:p>
          <w:p>
            <w:pPr>
              <w:numPr>
                <w:ilvl w:val="0"/>
                <w:numId w:val="18"/>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能够简要表明儿童研究的基本内容有哪些</w:t>
            </w:r>
          </w:p>
        </w:tc>
        <w:tc>
          <w:tcPr>
            <w:tcW w:w="1860" w:type="dxa"/>
            <w:vAlign w:val="top"/>
          </w:tcPr>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1.形成正确的儿童观与教育观</w:t>
            </w:r>
          </w:p>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2.树立幼儿教育工作者的专业意识</w:t>
            </w:r>
          </w:p>
          <w:p>
            <w:pPr>
              <w:numPr>
                <w:ilvl w:val="0"/>
                <w:numId w:val="0"/>
              </w:numPr>
              <w:snapToGrid w:val="0"/>
              <w:spacing w:line="288" w:lineRule="auto"/>
              <w:ind w:right="26" w:rightChars="0"/>
              <w:rPr>
                <w:rFonts w:hint="eastAsia" w:ascii="宋体" w:hAnsi="宋体"/>
                <w:sz w:val="20"/>
                <w:szCs w:val="20"/>
                <w:vertAlign w:val="baseline"/>
                <w:lang w:val="en-US" w:eastAsia="zh-CN"/>
              </w:rPr>
            </w:pPr>
            <w:r>
              <w:rPr>
                <w:rFonts w:hint="eastAsia"/>
                <w:sz w:val="20"/>
                <w:szCs w:val="20"/>
                <w:vertAlign w:val="baseline"/>
                <w:lang w:val="en-US" w:eastAsia="zh-CN"/>
              </w:rPr>
              <w:t>3.激发对幼儿教育工作的兴趣。</w:t>
            </w:r>
          </w:p>
        </w:tc>
        <w:tc>
          <w:tcPr>
            <w:tcW w:w="1862" w:type="dxa"/>
            <w:vAlign w:val="top"/>
          </w:tcPr>
          <w:p>
            <w:pPr>
              <w:numPr>
                <w:ilvl w:val="0"/>
                <w:numId w:val="19"/>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了解东西方儿童观的历史演变过程及从儿童作为国家或家庭的私有财产到儿童自身权利的确认与保护的变化</w:t>
            </w:r>
          </w:p>
          <w:p>
            <w:pPr>
              <w:numPr>
                <w:ilvl w:val="0"/>
                <w:numId w:val="19"/>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了解我国儿童权利所存在的问题，对从立法方面完善儿童权利提出建议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2"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学前教师</w:t>
            </w:r>
          </w:p>
          <w:p>
            <w:pPr>
              <w:snapToGrid w:val="0"/>
              <w:spacing w:line="288" w:lineRule="auto"/>
              <w:ind w:right="26"/>
              <w:rPr>
                <w:rFonts w:hint="eastAsia"/>
                <w:sz w:val="20"/>
                <w:szCs w:val="20"/>
                <w:vertAlign w:val="baseline"/>
                <w:lang w:val="en-US" w:eastAsia="zh-CN"/>
              </w:rPr>
            </w:pPr>
            <w:r>
              <w:rPr>
                <w:rFonts w:hint="eastAsia" w:ascii="宋体" w:hAnsi="宋体"/>
                <w:sz w:val="20"/>
                <w:szCs w:val="20"/>
                <w:vertAlign w:val="baseline"/>
                <w:lang w:val="en-US" w:eastAsia="zh-CN"/>
              </w:rPr>
              <w:t>（4课时）</w:t>
            </w:r>
          </w:p>
        </w:tc>
        <w:tc>
          <w:tcPr>
            <w:tcW w:w="1860" w:type="dxa"/>
            <w:vAlign w:val="top"/>
          </w:tcPr>
          <w:p>
            <w:pPr>
              <w:numPr>
                <w:ilvl w:val="0"/>
                <w:numId w:val="20"/>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知道学前教师的角色是儿童的支持者、引导者与合作者</w:t>
            </w:r>
          </w:p>
          <w:p>
            <w:pPr>
              <w:numPr>
                <w:ilvl w:val="0"/>
                <w:numId w:val="20"/>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理解学前教师需具备一定专业能力，达到学前教师专业标准</w:t>
            </w:r>
          </w:p>
          <w:p>
            <w:pPr>
              <w:numPr>
                <w:ilvl w:val="0"/>
                <w:numId w:val="20"/>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理解并分析师幼关系是学前教育中的关键因素之一</w:t>
            </w:r>
          </w:p>
        </w:tc>
        <w:tc>
          <w:tcPr>
            <w:tcW w:w="1860" w:type="dxa"/>
            <w:vAlign w:val="top"/>
          </w:tcPr>
          <w:p>
            <w:pPr>
              <w:numPr>
                <w:ilvl w:val="0"/>
                <w:numId w:val="21"/>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能够表述学前教师的角色特点</w:t>
            </w:r>
          </w:p>
          <w:p>
            <w:pPr>
              <w:numPr>
                <w:ilvl w:val="0"/>
                <w:numId w:val="21"/>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能够正确说明学前教师的专业化的内涵，说明学前教师专业化所包含的内容</w:t>
            </w:r>
          </w:p>
          <w:p>
            <w:pPr>
              <w:numPr>
                <w:ilvl w:val="0"/>
                <w:numId w:val="21"/>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能够简要说明学前教师的专业发展阶段的划分</w:t>
            </w:r>
          </w:p>
          <w:p>
            <w:pPr>
              <w:numPr>
                <w:ilvl w:val="0"/>
                <w:numId w:val="21"/>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能够简要论述自己所认为的良好的师幼关系的形态</w:t>
            </w:r>
          </w:p>
        </w:tc>
        <w:tc>
          <w:tcPr>
            <w:tcW w:w="1860" w:type="dxa"/>
            <w:vAlign w:val="top"/>
          </w:tcPr>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1.形成正确的儿童观与教育观</w:t>
            </w:r>
          </w:p>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2.树立幼儿教育工作者的专业意识</w:t>
            </w:r>
          </w:p>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3.激发对幼儿教育工作的兴趣。</w:t>
            </w:r>
          </w:p>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4.初步形成现代学前教育的新观念、新方法，形成全新的学前教育理论素养</w:t>
            </w:r>
          </w:p>
          <w:p>
            <w:pPr>
              <w:snapToGrid w:val="0"/>
              <w:spacing w:line="288" w:lineRule="auto"/>
              <w:ind w:right="26"/>
              <w:rPr>
                <w:rFonts w:hint="eastAsia"/>
                <w:sz w:val="20"/>
                <w:szCs w:val="20"/>
                <w:vertAlign w:val="baseline"/>
                <w:lang w:val="en-US" w:eastAsia="zh-CN"/>
              </w:rPr>
            </w:pPr>
          </w:p>
        </w:tc>
        <w:tc>
          <w:tcPr>
            <w:tcW w:w="1862" w:type="dxa"/>
            <w:vAlign w:val="top"/>
          </w:tcPr>
          <w:p>
            <w:pPr>
              <w:numPr>
                <w:ilvl w:val="0"/>
                <w:numId w:val="22"/>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总结学前教师应具备的专业素养要求</w:t>
            </w:r>
          </w:p>
          <w:p>
            <w:pPr>
              <w:numPr>
                <w:ilvl w:val="0"/>
                <w:numId w:val="22"/>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梳理学前教师的专业发展过程和阶段</w:t>
            </w:r>
          </w:p>
          <w:p>
            <w:pPr>
              <w:numPr>
                <w:ilvl w:val="0"/>
                <w:numId w:val="22"/>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总结理想的师幼关系的平等内涵和构建策略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2"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学前课程</w:t>
            </w:r>
          </w:p>
          <w:p>
            <w:pPr>
              <w:snapToGrid w:val="0"/>
              <w:spacing w:line="288" w:lineRule="auto"/>
              <w:ind w:right="26"/>
              <w:rPr>
                <w:rFonts w:hint="eastAsia"/>
                <w:sz w:val="20"/>
                <w:szCs w:val="20"/>
                <w:vertAlign w:val="baseline"/>
                <w:lang w:val="en-US" w:eastAsia="zh-CN"/>
              </w:rPr>
            </w:pPr>
            <w:r>
              <w:rPr>
                <w:rFonts w:hint="eastAsia" w:ascii="宋体" w:hAnsi="宋体"/>
                <w:sz w:val="20"/>
                <w:szCs w:val="20"/>
                <w:vertAlign w:val="baseline"/>
                <w:lang w:val="en-US" w:eastAsia="zh-CN"/>
              </w:rPr>
              <w:t>（4课时）</w:t>
            </w:r>
          </w:p>
        </w:tc>
        <w:tc>
          <w:tcPr>
            <w:tcW w:w="1860" w:type="dxa"/>
            <w:vAlign w:val="top"/>
          </w:tcPr>
          <w:p>
            <w:pPr>
              <w:numPr>
                <w:ilvl w:val="0"/>
                <w:numId w:val="23"/>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知道课程的含义及特点</w:t>
            </w:r>
          </w:p>
          <w:p>
            <w:pPr>
              <w:numPr>
                <w:ilvl w:val="0"/>
                <w:numId w:val="23"/>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知道学前教育课程的主要类型</w:t>
            </w:r>
          </w:p>
          <w:p>
            <w:pPr>
              <w:numPr>
                <w:ilvl w:val="0"/>
                <w:numId w:val="23"/>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理解并分析学前课程的几种模式</w:t>
            </w:r>
          </w:p>
        </w:tc>
        <w:tc>
          <w:tcPr>
            <w:tcW w:w="1860" w:type="dxa"/>
            <w:vAlign w:val="top"/>
          </w:tcPr>
          <w:p>
            <w:pPr>
              <w:numPr>
                <w:ilvl w:val="0"/>
                <w:numId w:val="24"/>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能够正确分析“一日生活即课程”</w:t>
            </w:r>
          </w:p>
          <w:p>
            <w:pPr>
              <w:numPr>
                <w:ilvl w:val="0"/>
                <w:numId w:val="24"/>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能够分析分科课程与综合课程各自的优缺点</w:t>
            </w:r>
          </w:p>
          <w:p>
            <w:pPr>
              <w:numPr>
                <w:ilvl w:val="0"/>
                <w:numId w:val="24"/>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能够正确分析蒙台梭利课程与瑞吉欧课程的模式的异同</w:t>
            </w:r>
          </w:p>
        </w:tc>
        <w:tc>
          <w:tcPr>
            <w:tcW w:w="1860" w:type="dxa"/>
            <w:vAlign w:val="top"/>
          </w:tcPr>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1.形成正确的儿童观与教育观</w:t>
            </w:r>
          </w:p>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2.树立幼儿教育工作者的专业意识</w:t>
            </w:r>
          </w:p>
          <w:p>
            <w:pPr>
              <w:snapToGrid w:val="0"/>
              <w:spacing w:line="288" w:lineRule="auto"/>
              <w:ind w:right="26"/>
              <w:rPr>
                <w:rFonts w:hint="eastAsia" w:ascii="宋体" w:hAnsi="宋体"/>
                <w:sz w:val="20"/>
                <w:szCs w:val="20"/>
                <w:vertAlign w:val="baseline"/>
                <w:lang w:val="en-US" w:eastAsia="zh-CN"/>
              </w:rPr>
            </w:pPr>
            <w:r>
              <w:rPr>
                <w:rFonts w:hint="eastAsia"/>
                <w:sz w:val="20"/>
                <w:szCs w:val="20"/>
                <w:vertAlign w:val="baseline"/>
                <w:lang w:val="en-US" w:eastAsia="zh-CN"/>
              </w:rPr>
              <w:t>3.激发对幼儿教育工作的兴趣。</w:t>
            </w:r>
          </w:p>
        </w:tc>
        <w:tc>
          <w:tcPr>
            <w:tcW w:w="1862" w:type="dxa"/>
            <w:vAlign w:val="top"/>
          </w:tcPr>
          <w:p>
            <w:pPr>
              <w:numPr>
                <w:ilvl w:val="0"/>
                <w:numId w:val="25"/>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理解在我国课程改革不断深化的背景下，课程格局、课程关注的重心、课程内容、课程实施途径及课程评价的变化</w:t>
            </w:r>
          </w:p>
          <w:p>
            <w:pPr>
              <w:numPr>
                <w:ilvl w:val="0"/>
                <w:numId w:val="25"/>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了解瑞吉欧课程、高瞻课程、发展适宜课程、蒙台梭利课程及五指活动课程的特点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2"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学前游戏活动</w:t>
            </w:r>
          </w:p>
          <w:p>
            <w:pPr>
              <w:snapToGrid w:val="0"/>
              <w:spacing w:line="288" w:lineRule="auto"/>
              <w:ind w:right="26"/>
              <w:rPr>
                <w:rFonts w:hint="eastAsia"/>
                <w:sz w:val="20"/>
                <w:szCs w:val="20"/>
                <w:vertAlign w:val="baseline"/>
                <w:lang w:val="en-US" w:eastAsia="zh-CN"/>
              </w:rPr>
            </w:pPr>
            <w:r>
              <w:rPr>
                <w:rFonts w:hint="eastAsia" w:ascii="宋体" w:hAnsi="宋体"/>
                <w:sz w:val="20"/>
                <w:szCs w:val="20"/>
                <w:vertAlign w:val="baseline"/>
                <w:lang w:val="en-US" w:eastAsia="zh-CN"/>
              </w:rPr>
              <w:t>（4课时）</w:t>
            </w:r>
          </w:p>
        </w:tc>
        <w:tc>
          <w:tcPr>
            <w:tcW w:w="1860" w:type="dxa"/>
            <w:vAlign w:val="top"/>
          </w:tcPr>
          <w:p>
            <w:pPr>
              <w:numPr>
                <w:ilvl w:val="0"/>
                <w:numId w:val="26"/>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知道儿童游戏的价值，理解儿童游戏的特点</w:t>
            </w:r>
          </w:p>
          <w:p>
            <w:pPr>
              <w:numPr>
                <w:ilvl w:val="0"/>
                <w:numId w:val="26"/>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理解经典游戏理论及现代游戏理论</w:t>
            </w:r>
          </w:p>
          <w:p>
            <w:pPr>
              <w:numPr>
                <w:ilvl w:val="0"/>
                <w:numId w:val="26"/>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理解并分析幼儿园游戏分类，运用指导原则对于幼儿的游戏进行恰当干预</w:t>
            </w:r>
          </w:p>
        </w:tc>
        <w:tc>
          <w:tcPr>
            <w:tcW w:w="1860" w:type="dxa"/>
            <w:vAlign w:val="top"/>
          </w:tcPr>
          <w:p>
            <w:pPr>
              <w:numPr>
                <w:ilvl w:val="0"/>
                <w:numId w:val="27"/>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能够说明游戏对于儿童发展的重要作用</w:t>
            </w:r>
          </w:p>
          <w:p>
            <w:pPr>
              <w:numPr>
                <w:ilvl w:val="0"/>
                <w:numId w:val="27"/>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能够分析在幼儿园所看的儿童游戏及教师指导，并正确判断是否符合游戏的特点和游戏的指导原则</w:t>
            </w:r>
          </w:p>
          <w:p>
            <w:pPr>
              <w:numPr>
                <w:ilvl w:val="0"/>
                <w:numId w:val="27"/>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能够分析游戏案例具有的作用及功能</w:t>
            </w:r>
          </w:p>
        </w:tc>
        <w:tc>
          <w:tcPr>
            <w:tcW w:w="1860" w:type="dxa"/>
            <w:vAlign w:val="top"/>
          </w:tcPr>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1.形成正确的儿童观与教育观</w:t>
            </w:r>
          </w:p>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2.树立幼儿教育工作者的专业意识</w:t>
            </w:r>
          </w:p>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3.激发对幼儿教育工作的兴趣。</w:t>
            </w:r>
          </w:p>
          <w:p>
            <w:p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4.初步形成现代学前教育的新观念、新方法，形成全新的学前教育理论素养</w:t>
            </w:r>
          </w:p>
        </w:tc>
        <w:tc>
          <w:tcPr>
            <w:tcW w:w="1862" w:type="dxa"/>
            <w:vAlign w:val="top"/>
          </w:tcPr>
          <w:p>
            <w:pPr>
              <w:numPr>
                <w:ilvl w:val="0"/>
                <w:numId w:val="28"/>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理解游戏对于学前儿童发展的重要意义与价值</w:t>
            </w:r>
          </w:p>
          <w:p>
            <w:pPr>
              <w:numPr>
                <w:ilvl w:val="0"/>
                <w:numId w:val="28"/>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能够遵循适当的指导原则，运用恰当的干预形式与干预时机，对于学前儿童的各种游戏进行指导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2"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学前教学活动</w:t>
            </w:r>
          </w:p>
          <w:p>
            <w:pPr>
              <w:snapToGrid w:val="0"/>
              <w:spacing w:line="288" w:lineRule="auto"/>
              <w:ind w:right="26"/>
              <w:rPr>
                <w:rFonts w:hint="eastAsia"/>
                <w:sz w:val="20"/>
                <w:szCs w:val="20"/>
                <w:vertAlign w:val="baseline"/>
                <w:lang w:val="en-US" w:eastAsia="zh-CN"/>
              </w:rPr>
            </w:pPr>
            <w:r>
              <w:rPr>
                <w:rFonts w:hint="eastAsia" w:ascii="宋体" w:hAnsi="宋体"/>
                <w:sz w:val="20"/>
                <w:szCs w:val="20"/>
                <w:vertAlign w:val="baseline"/>
                <w:lang w:val="en-US" w:eastAsia="zh-CN"/>
              </w:rPr>
              <w:t>（4课时）</w:t>
            </w:r>
          </w:p>
        </w:tc>
        <w:tc>
          <w:tcPr>
            <w:tcW w:w="1860" w:type="dxa"/>
            <w:vAlign w:val="top"/>
          </w:tcPr>
          <w:p>
            <w:pPr>
              <w:numPr>
                <w:ilvl w:val="0"/>
                <w:numId w:val="29"/>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知道学前教育活动的含义及特点</w:t>
            </w:r>
          </w:p>
          <w:p>
            <w:pPr>
              <w:numPr>
                <w:ilvl w:val="0"/>
                <w:numId w:val="29"/>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理解学前教育活动设计的具体内容</w:t>
            </w:r>
          </w:p>
          <w:p>
            <w:pPr>
              <w:numPr>
                <w:ilvl w:val="0"/>
                <w:numId w:val="29"/>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分析学前教学活动评价的内容及类型</w:t>
            </w:r>
          </w:p>
        </w:tc>
        <w:tc>
          <w:tcPr>
            <w:tcW w:w="1860" w:type="dxa"/>
            <w:vAlign w:val="top"/>
          </w:tcPr>
          <w:p>
            <w:pPr>
              <w:numPr>
                <w:ilvl w:val="0"/>
                <w:numId w:val="30"/>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能够正确理解学前教学活动的特点</w:t>
            </w:r>
          </w:p>
          <w:p>
            <w:pPr>
              <w:numPr>
                <w:ilvl w:val="0"/>
                <w:numId w:val="30"/>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能够说明学前教学活动设计的具体内容</w:t>
            </w:r>
          </w:p>
          <w:p>
            <w:pPr>
              <w:numPr>
                <w:ilvl w:val="0"/>
                <w:numId w:val="30"/>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能够论述学前教学活动设计的重点和难点</w:t>
            </w:r>
          </w:p>
          <w:p>
            <w:pPr>
              <w:numPr>
                <w:ilvl w:val="0"/>
                <w:numId w:val="30"/>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能够简要说明学前教学活动评价的类型</w:t>
            </w:r>
          </w:p>
        </w:tc>
        <w:tc>
          <w:tcPr>
            <w:tcW w:w="1860" w:type="dxa"/>
            <w:vAlign w:val="top"/>
          </w:tcPr>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1.形成正确的儿童观与教育观</w:t>
            </w:r>
          </w:p>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2.树立幼儿教育工作者的专业意识</w:t>
            </w:r>
          </w:p>
          <w:p>
            <w:pPr>
              <w:snapToGrid w:val="0"/>
              <w:spacing w:line="288" w:lineRule="auto"/>
              <w:ind w:right="26"/>
              <w:rPr>
                <w:rFonts w:hint="eastAsia" w:ascii="宋体" w:hAnsi="宋体"/>
                <w:sz w:val="20"/>
                <w:szCs w:val="20"/>
                <w:vertAlign w:val="baseline"/>
                <w:lang w:val="en-US" w:eastAsia="zh-CN"/>
              </w:rPr>
            </w:pPr>
            <w:r>
              <w:rPr>
                <w:rFonts w:hint="eastAsia"/>
                <w:sz w:val="20"/>
                <w:szCs w:val="20"/>
                <w:vertAlign w:val="baseline"/>
                <w:lang w:val="en-US" w:eastAsia="zh-CN"/>
              </w:rPr>
              <w:t>3.激发对幼儿教育工作的兴趣</w:t>
            </w:r>
          </w:p>
        </w:tc>
        <w:tc>
          <w:tcPr>
            <w:tcW w:w="1862" w:type="dxa"/>
            <w:vAlign w:val="top"/>
          </w:tcPr>
          <w:p>
            <w:pPr>
              <w:numPr>
                <w:ilvl w:val="0"/>
                <w:numId w:val="31"/>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依据对学前教学活动特点的概述，总结学前教学活动设计的具体内容</w:t>
            </w:r>
          </w:p>
          <w:p>
            <w:pPr>
              <w:numPr>
                <w:ilvl w:val="0"/>
                <w:numId w:val="31"/>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理解学前教学活动对于调控教师教学工作及保证儿童教学活动质量的价值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2"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学前教育环境</w:t>
            </w:r>
          </w:p>
          <w:p>
            <w:pPr>
              <w:snapToGrid w:val="0"/>
              <w:spacing w:line="288" w:lineRule="auto"/>
              <w:ind w:right="26"/>
              <w:rPr>
                <w:rFonts w:hint="eastAsia"/>
                <w:sz w:val="20"/>
                <w:szCs w:val="20"/>
                <w:vertAlign w:val="baseline"/>
                <w:lang w:val="en-US" w:eastAsia="zh-CN"/>
              </w:rPr>
            </w:pPr>
            <w:r>
              <w:rPr>
                <w:rFonts w:hint="eastAsia" w:ascii="宋体" w:hAnsi="宋体"/>
                <w:sz w:val="20"/>
                <w:szCs w:val="20"/>
                <w:vertAlign w:val="baseline"/>
                <w:lang w:val="en-US" w:eastAsia="zh-CN"/>
              </w:rPr>
              <w:t>（2课时）</w:t>
            </w:r>
          </w:p>
        </w:tc>
        <w:tc>
          <w:tcPr>
            <w:tcW w:w="1860" w:type="dxa"/>
            <w:vAlign w:val="top"/>
          </w:tcPr>
          <w:p>
            <w:pPr>
              <w:numPr>
                <w:ilvl w:val="0"/>
                <w:numId w:val="32"/>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知道学前教育环境的含义</w:t>
            </w:r>
          </w:p>
          <w:p>
            <w:pPr>
              <w:numPr>
                <w:ilvl w:val="0"/>
                <w:numId w:val="32"/>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理解学前教育环境的创设原则</w:t>
            </w:r>
          </w:p>
          <w:p>
            <w:pPr>
              <w:numPr>
                <w:ilvl w:val="0"/>
                <w:numId w:val="32"/>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分析学前教育环境的价值</w:t>
            </w:r>
          </w:p>
          <w:p>
            <w:pPr>
              <w:numPr>
                <w:ilvl w:val="0"/>
                <w:numId w:val="32"/>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知道学前教育环境的评价</w:t>
            </w:r>
          </w:p>
        </w:tc>
        <w:tc>
          <w:tcPr>
            <w:tcW w:w="1860" w:type="dxa"/>
            <w:vAlign w:val="top"/>
          </w:tcPr>
          <w:p>
            <w:pPr>
              <w:numPr>
                <w:ilvl w:val="0"/>
                <w:numId w:val="33"/>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能够分析环境对儿童发展的影响</w:t>
            </w:r>
          </w:p>
          <w:p>
            <w:pPr>
              <w:numPr>
                <w:ilvl w:val="0"/>
                <w:numId w:val="33"/>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能够说明影响学前教育环境的因素</w:t>
            </w:r>
          </w:p>
          <w:p>
            <w:pPr>
              <w:numPr>
                <w:ilvl w:val="0"/>
                <w:numId w:val="33"/>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能够简要论述教师设计、创设好的学前教育环境的手段</w:t>
            </w:r>
          </w:p>
          <w:p>
            <w:pPr>
              <w:numPr>
                <w:ilvl w:val="0"/>
                <w:numId w:val="0"/>
              </w:numPr>
              <w:snapToGrid w:val="0"/>
              <w:spacing w:line="288" w:lineRule="auto"/>
              <w:ind w:left="0" w:leftChars="0" w:right="26" w:rightChars="0" w:firstLine="0" w:firstLineChars="0"/>
              <w:rPr>
                <w:rFonts w:hint="eastAsia" w:ascii="Calibri" w:hAnsi="Calibri" w:eastAsia="宋体" w:cs="Times New Roman"/>
                <w:kern w:val="2"/>
                <w:sz w:val="20"/>
                <w:szCs w:val="20"/>
                <w:vertAlign w:val="baseline"/>
                <w:lang w:val="en-US" w:eastAsia="zh-CN" w:bidi="ar-SA"/>
              </w:rPr>
            </w:pPr>
          </w:p>
        </w:tc>
        <w:tc>
          <w:tcPr>
            <w:tcW w:w="1860" w:type="dxa"/>
            <w:vAlign w:val="top"/>
          </w:tcPr>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1.形成正确的儿童观与教育观</w:t>
            </w:r>
          </w:p>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2.树立幼儿教育工作者的专业意识</w:t>
            </w:r>
          </w:p>
          <w:p>
            <w:pPr>
              <w:snapToGrid w:val="0"/>
              <w:spacing w:line="288" w:lineRule="auto"/>
              <w:ind w:right="26"/>
              <w:rPr>
                <w:rFonts w:hint="eastAsia" w:ascii="宋体" w:hAnsi="宋体"/>
                <w:sz w:val="20"/>
                <w:szCs w:val="20"/>
                <w:vertAlign w:val="baseline"/>
                <w:lang w:val="en-US" w:eastAsia="zh-CN"/>
              </w:rPr>
            </w:pPr>
            <w:r>
              <w:rPr>
                <w:rFonts w:hint="eastAsia"/>
                <w:sz w:val="20"/>
                <w:szCs w:val="20"/>
                <w:vertAlign w:val="baseline"/>
                <w:lang w:val="en-US" w:eastAsia="zh-CN"/>
              </w:rPr>
              <w:t>3.激发对幼儿教育工作的兴趣。</w:t>
            </w:r>
          </w:p>
        </w:tc>
        <w:tc>
          <w:tcPr>
            <w:tcW w:w="1862" w:type="dxa"/>
            <w:vAlign w:val="top"/>
          </w:tcPr>
          <w:p>
            <w:pPr>
              <w:numPr>
                <w:ilvl w:val="0"/>
                <w:numId w:val="34"/>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理解环境是重要的学前教育资源和儿童发展条件</w:t>
            </w:r>
          </w:p>
          <w:p>
            <w:pPr>
              <w:numPr>
                <w:ilvl w:val="0"/>
                <w:numId w:val="34"/>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分析创设适宜儿童学习与发展的环境的价值及策略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2"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学前教育中的合作与衔接</w:t>
            </w:r>
          </w:p>
          <w:p>
            <w:pPr>
              <w:snapToGrid w:val="0"/>
              <w:spacing w:line="288" w:lineRule="auto"/>
              <w:ind w:right="26"/>
              <w:rPr>
                <w:rFonts w:hint="eastAsia"/>
                <w:sz w:val="20"/>
                <w:szCs w:val="20"/>
                <w:vertAlign w:val="baseline"/>
                <w:lang w:val="en-US" w:eastAsia="zh-CN"/>
              </w:rPr>
            </w:pPr>
            <w:r>
              <w:rPr>
                <w:rFonts w:hint="eastAsia" w:ascii="宋体" w:hAnsi="宋体"/>
                <w:sz w:val="20"/>
                <w:szCs w:val="20"/>
                <w:vertAlign w:val="baseline"/>
                <w:lang w:val="en-US" w:eastAsia="zh-CN"/>
              </w:rPr>
              <w:t>（2课时）</w:t>
            </w:r>
          </w:p>
          <w:p>
            <w:pPr>
              <w:snapToGrid w:val="0"/>
              <w:spacing w:line="288" w:lineRule="auto"/>
              <w:ind w:right="26"/>
              <w:rPr>
                <w:rFonts w:hint="eastAsia"/>
                <w:sz w:val="20"/>
                <w:szCs w:val="20"/>
                <w:vertAlign w:val="baseline"/>
                <w:lang w:val="en-US" w:eastAsia="zh-CN"/>
              </w:rPr>
            </w:pPr>
          </w:p>
        </w:tc>
        <w:tc>
          <w:tcPr>
            <w:tcW w:w="1860" w:type="dxa"/>
            <w:vAlign w:val="top"/>
          </w:tcPr>
          <w:p>
            <w:pPr>
              <w:numPr>
                <w:ilvl w:val="0"/>
                <w:numId w:val="35"/>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知道家园合作的意义与方法</w:t>
            </w:r>
          </w:p>
          <w:p>
            <w:pPr>
              <w:numPr>
                <w:ilvl w:val="0"/>
                <w:numId w:val="35"/>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分析幼儿园与小学衔接存在的主要问题与策略</w:t>
            </w:r>
          </w:p>
        </w:tc>
        <w:tc>
          <w:tcPr>
            <w:tcW w:w="1860" w:type="dxa"/>
            <w:vAlign w:val="top"/>
          </w:tcPr>
          <w:p>
            <w:pPr>
              <w:numPr>
                <w:ilvl w:val="0"/>
                <w:numId w:val="36"/>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能够论述幼儿园与家庭获得意义与方法</w:t>
            </w:r>
          </w:p>
          <w:p>
            <w:pPr>
              <w:numPr>
                <w:ilvl w:val="0"/>
                <w:numId w:val="36"/>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能够正确分析与解读幼儿园与社区合作共育的方法</w:t>
            </w:r>
          </w:p>
          <w:p>
            <w:pPr>
              <w:numPr>
                <w:ilvl w:val="0"/>
                <w:numId w:val="36"/>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能够分析幼儿园幼小衔接工作的具体措施与错误做法</w:t>
            </w:r>
          </w:p>
        </w:tc>
        <w:tc>
          <w:tcPr>
            <w:tcW w:w="1860" w:type="dxa"/>
            <w:vAlign w:val="top"/>
          </w:tcPr>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1.形成正确的儿童观与教育观</w:t>
            </w:r>
          </w:p>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2.树立幼儿教育工作者的专业意识</w:t>
            </w:r>
          </w:p>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3.激发对幼儿教育工作的兴趣</w:t>
            </w:r>
          </w:p>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4.初步形成现代学前教育的新观念、新方法，形成全新的学前教育理论素养</w:t>
            </w:r>
          </w:p>
          <w:p>
            <w:pPr>
              <w:snapToGrid w:val="0"/>
              <w:spacing w:line="288" w:lineRule="auto"/>
              <w:ind w:right="26"/>
              <w:rPr>
                <w:rFonts w:hint="default"/>
                <w:sz w:val="20"/>
                <w:szCs w:val="20"/>
                <w:vertAlign w:val="baseline"/>
                <w:lang w:val="en-US" w:eastAsia="zh-CN"/>
              </w:rPr>
            </w:pPr>
          </w:p>
        </w:tc>
        <w:tc>
          <w:tcPr>
            <w:tcW w:w="1862" w:type="dxa"/>
            <w:vAlign w:val="top"/>
          </w:tcPr>
          <w:p>
            <w:pPr>
              <w:numPr>
                <w:ilvl w:val="0"/>
                <w:numId w:val="37"/>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理解幼儿园和家庭两者教育协调、合作的重要意义</w:t>
            </w:r>
          </w:p>
          <w:p>
            <w:pPr>
              <w:numPr>
                <w:ilvl w:val="0"/>
                <w:numId w:val="37"/>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分析学前教育中家园合作可采用的具体方法</w:t>
            </w:r>
          </w:p>
        </w:tc>
      </w:tr>
    </w:tbl>
    <w:p>
      <w:pPr>
        <w:snapToGrid w:val="0"/>
        <w:spacing w:line="288" w:lineRule="auto"/>
        <w:ind w:right="26"/>
        <w:rPr>
          <w:sz w:val="20"/>
          <w:szCs w:val="20"/>
        </w:rPr>
      </w:pPr>
    </w:p>
    <w:p>
      <w:pPr>
        <w:snapToGrid w:val="0"/>
        <w:spacing w:line="288" w:lineRule="auto"/>
        <w:ind w:right="2520" w:firstLine="480" w:firstLineChars="200"/>
        <w:rPr>
          <w:rFonts w:hint="eastAsia" w:ascii="黑体" w:hAnsi="宋体" w:eastAsia="黑体"/>
          <w:sz w:val="24"/>
          <w:lang w:val="en-US" w:eastAsia="zh-CN"/>
        </w:rPr>
      </w:pPr>
    </w:p>
    <w:p>
      <w:pPr>
        <w:snapToGrid w:val="0"/>
        <w:spacing w:line="288" w:lineRule="auto"/>
        <w:ind w:right="2520"/>
        <w:rPr>
          <w:rFonts w:hint="eastAsia" w:ascii="黑体" w:hAnsi="宋体" w:eastAsia="黑体"/>
          <w:sz w:val="24"/>
          <w:lang w:val="en-US" w:eastAsia="zh-CN"/>
        </w:rPr>
      </w:pPr>
    </w:p>
    <w:p>
      <w:pPr>
        <w:snapToGrid w:val="0"/>
        <w:spacing w:line="288" w:lineRule="auto"/>
        <w:ind w:right="2520" w:firstLine="480" w:firstLineChars="200"/>
        <w:rPr>
          <w:sz w:val="20"/>
          <w:szCs w:val="20"/>
        </w:rPr>
      </w:pPr>
      <w:r>
        <w:rPr>
          <w:rFonts w:hint="eastAsia" w:ascii="黑体" w:hAnsi="宋体" w:eastAsia="黑体"/>
          <w:sz w:val="24"/>
          <w:lang w:val="en-US" w:eastAsia="zh-CN"/>
        </w:rPr>
        <w:t>七</w:t>
      </w:r>
      <w:r>
        <w:rPr>
          <w:rFonts w:hint="eastAsia" w:ascii="黑体" w:hAnsi="宋体" w:eastAsia="黑体"/>
          <w:sz w:val="24"/>
        </w:rPr>
        <w:t>、评价方式与成绩</w:t>
      </w:r>
    </w:p>
    <w:tbl>
      <w:tblPr>
        <w:tblStyle w:val="4"/>
        <w:tblpPr w:leftFromText="180" w:rightFromText="180" w:vertAnchor="text" w:horzAnchor="page" w:tblpX="1853" w:tblpY="717"/>
        <w:tblOverlap w:val="never"/>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5103"/>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809" w:type="dxa"/>
            <w:shd w:val="clear" w:color="auto" w:fill="auto"/>
          </w:tcPr>
          <w:p>
            <w:pPr>
              <w:snapToGrid w:val="0"/>
              <w:spacing w:beforeLines="50" w:afterLines="50"/>
              <w:rPr>
                <w:rFonts w:ascii="宋体" w:hAnsi="宋体"/>
                <w:bCs/>
                <w:color w:val="000000"/>
                <w:szCs w:val="20"/>
                <w:highlight w:val="none"/>
              </w:rPr>
            </w:pPr>
            <w:r>
              <w:rPr>
                <w:rFonts w:hint="eastAsia" w:ascii="宋体" w:hAnsi="宋体"/>
                <w:bCs/>
                <w:color w:val="000000"/>
                <w:szCs w:val="20"/>
                <w:highlight w:val="none"/>
              </w:rPr>
              <w:t>总评构成（1+</w:t>
            </w:r>
            <w:r>
              <w:rPr>
                <w:rFonts w:ascii="宋体" w:hAnsi="宋体"/>
                <w:bCs/>
                <w:color w:val="000000"/>
                <w:szCs w:val="20"/>
                <w:highlight w:val="none"/>
              </w:rPr>
              <w:t>X</w:t>
            </w:r>
            <w:r>
              <w:rPr>
                <w:rFonts w:hint="eastAsia" w:ascii="宋体" w:hAnsi="宋体"/>
                <w:bCs/>
                <w:color w:val="000000"/>
                <w:szCs w:val="20"/>
                <w:highlight w:val="none"/>
              </w:rPr>
              <w:t>）</w:t>
            </w:r>
          </w:p>
        </w:tc>
        <w:tc>
          <w:tcPr>
            <w:tcW w:w="5103"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评价方式</w:t>
            </w:r>
          </w:p>
        </w:tc>
        <w:tc>
          <w:tcPr>
            <w:tcW w:w="1843"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shd w:val="clear"/>
              </w:rPr>
              <w:t>占比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1</w:t>
            </w:r>
          </w:p>
        </w:tc>
        <w:tc>
          <w:tcPr>
            <w:tcW w:w="5103" w:type="dxa"/>
            <w:shd w:val="clear" w:color="auto" w:fill="auto"/>
          </w:tcPr>
          <w:p>
            <w:pPr>
              <w:snapToGrid w:val="0"/>
              <w:spacing w:beforeLines="50" w:afterLines="50"/>
              <w:jc w:val="center"/>
              <w:rPr>
                <w:rFonts w:hint="eastAsia"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期终闭卷考（纸笔测试）</w:t>
            </w:r>
          </w:p>
        </w:tc>
        <w:tc>
          <w:tcPr>
            <w:tcW w:w="1843" w:type="dxa"/>
            <w:shd w:val="clear" w:color="auto" w:fill="auto"/>
          </w:tcPr>
          <w:p>
            <w:pPr>
              <w:snapToGrid w:val="0"/>
              <w:spacing w:beforeLines="50" w:afterLines="50"/>
              <w:jc w:val="center"/>
              <w:rPr>
                <w:rFonts w:hint="eastAsia"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X1</w:t>
            </w:r>
          </w:p>
        </w:tc>
        <w:tc>
          <w:tcPr>
            <w:tcW w:w="5103" w:type="dxa"/>
            <w:shd w:val="clear" w:color="auto" w:fill="auto"/>
          </w:tcPr>
          <w:p>
            <w:pPr>
              <w:snapToGrid w:val="0"/>
              <w:spacing w:beforeLines="50" w:afterLines="50"/>
              <w:jc w:val="center"/>
              <w:rPr>
                <w:rFonts w:hint="default"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平时表现</w:t>
            </w:r>
          </w:p>
        </w:tc>
        <w:tc>
          <w:tcPr>
            <w:tcW w:w="1843" w:type="dxa"/>
            <w:shd w:val="clear" w:color="auto" w:fill="auto"/>
          </w:tcPr>
          <w:p>
            <w:pPr>
              <w:snapToGrid w:val="0"/>
              <w:spacing w:beforeLines="50" w:afterLines="50"/>
              <w:jc w:val="center"/>
              <w:rPr>
                <w:rFonts w:hint="eastAsia"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X2</w:t>
            </w:r>
          </w:p>
        </w:tc>
        <w:tc>
          <w:tcPr>
            <w:tcW w:w="5103" w:type="dxa"/>
            <w:shd w:val="clear" w:color="auto" w:fill="auto"/>
          </w:tcPr>
          <w:p>
            <w:pPr>
              <w:snapToGrid w:val="0"/>
              <w:spacing w:beforeLines="50" w:afterLines="50"/>
              <w:jc w:val="center"/>
              <w:rPr>
                <w:rFonts w:hint="default"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课后作业</w:t>
            </w:r>
          </w:p>
        </w:tc>
        <w:tc>
          <w:tcPr>
            <w:tcW w:w="1843" w:type="dxa"/>
            <w:shd w:val="clear" w:color="auto" w:fill="auto"/>
          </w:tcPr>
          <w:p>
            <w:pPr>
              <w:snapToGrid w:val="0"/>
              <w:spacing w:beforeLines="50" w:afterLines="50"/>
              <w:jc w:val="center"/>
              <w:rPr>
                <w:rFonts w:hint="eastAsia"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X3</w:t>
            </w:r>
          </w:p>
        </w:tc>
        <w:tc>
          <w:tcPr>
            <w:tcW w:w="5103" w:type="dxa"/>
            <w:shd w:val="clear" w:color="auto" w:fill="auto"/>
          </w:tcPr>
          <w:p>
            <w:pPr>
              <w:snapToGrid w:val="0"/>
              <w:spacing w:beforeLines="50" w:afterLines="50"/>
              <w:jc w:val="center"/>
              <w:rPr>
                <w:rFonts w:hint="eastAsia"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读书报告</w:t>
            </w:r>
          </w:p>
        </w:tc>
        <w:tc>
          <w:tcPr>
            <w:tcW w:w="1843" w:type="dxa"/>
            <w:shd w:val="clear" w:color="auto" w:fill="auto"/>
          </w:tcPr>
          <w:p>
            <w:pPr>
              <w:snapToGrid w:val="0"/>
              <w:spacing w:beforeLines="50" w:afterLines="50"/>
              <w:jc w:val="center"/>
              <w:rPr>
                <w:rFonts w:hint="eastAsia"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15%</w:t>
            </w:r>
          </w:p>
        </w:tc>
      </w:tr>
    </w:tbl>
    <w:p>
      <w:pPr>
        <w:widowControl/>
        <w:spacing w:beforeLines="50" w:afterLines="50" w:line="288" w:lineRule="auto"/>
        <w:jc w:val="left"/>
        <w:rPr>
          <w:rFonts w:ascii="黑体" w:hAnsi="宋体" w:eastAsia="黑体"/>
          <w:sz w:val="24"/>
        </w:rPr>
      </w:pPr>
    </w:p>
    <w:p>
      <w:pPr>
        <w:snapToGrid w:val="0"/>
        <w:spacing w:before="120" w:after="120" w:line="288" w:lineRule="auto"/>
        <w:ind w:firstLine="400" w:firstLineChars="200"/>
        <w:rPr>
          <w:rFonts w:ascii="宋体" w:hAnsi="宋体"/>
          <w:sz w:val="20"/>
          <w:szCs w:val="20"/>
          <w:highlight w:val="yellow"/>
        </w:rPr>
      </w:pPr>
    </w:p>
    <w:p>
      <w:pPr>
        <w:snapToGrid w:val="0"/>
        <w:spacing w:line="288" w:lineRule="auto"/>
        <w:rPr>
          <w:rFonts w:hint="eastAsia"/>
          <w:sz w:val="28"/>
          <w:szCs w:val="28"/>
        </w:rPr>
      </w:pPr>
      <w:r>
        <w:rPr>
          <w:rFonts w:hint="eastAsia"/>
          <w:sz w:val="28"/>
          <w:szCs w:val="28"/>
        </w:rPr>
        <w:t>撰写人：</w:t>
      </w:r>
      <w:r>
        <w:rPr>
          <w:rFonts w:hint="eastAsia"/>
          <w:sz w:val="28"/>
          <w:szCs w:val="28"/>
          <w:lang w:val="en-US" w:eastAsia="zh-CN"/>
        </w:rPr>
        <w:t xml:space="preserve"> 马嘉玉                        </w:t>
      </w:r>
      <w:r>
        <w:rPr>
          <w:rFonts w:hint="eastAsia"/>
          <w:sz w:val="28"/>
          <w:szCs w:val="28"/>
        </w:rPr>
        <w:t>系主任审核签名：</w:t>
      </w:r>
    </w:p>
    <w:p>
      <w:pPr>
        <w:snapToGrid w:val="0"/>
        <w:spacing w:line="288" w:lineRule="auto"/>
      </w:pPr>
      <w:r>
        <w:rPr>
          <w:rFonts w:hint="eastAsia"/>
          <w:sz w:val="28"/>
          <w:szCs w:val="28"/>
        </w:rPr>
        <w:t>审核时间：</w:t>
      </w:r>
      <w:r>
        <w:rPr>
          <w:rFonts w:hint="eastAsia"/>
          <w:sz w:val="28"/>
          <w:szCs w:val="28"/>
          <w:lang w:val="en-US" w:eastAsia="zh-CN"/>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E02611"/>
    <w:multiLevelType w:val="singleLevel"/>
    <w:tmpl w:val="95E02611"/>
    <w:lvl w:ilvl="0" w:tentative="0">
      <w:start w:val="1"/>
      <w:numFmt w:val="decimal"/>
      <w:lvlText w:val="%1."/>
      <w:lvlJc w:val="left"/>
      <w:pPr>
        <w:tabs>
          <w:tab w:val="left" w:pos="312"/>
        </w:tabs>
      </w:pPr>
    </w:lvl>
  </w:abstractNum>
  <w:abstractNum w:abstractNumId="1">
    <w:nsid w:val="9BB04CC3"/>
    <w:multiLevelType w:val="singleLevel"/>
    <w:tmpl w:val="9BB04CC3"/>
    <w:lvl w:ilvl="0" w:tentative="0">
      <w:start w:val="4"/>
      <w:numFmt w:val="chineseCounting"/>
      <w:suff w:val="nothing"/>
      <w:lvlText w:val="%1、"/>
      <w:lvlJc w:val="left"/>
      <w:rPr>
        <w:rFonts w:hint="eastAsia"/>
      </w:rPr>
    </w:lvl>
  </w:abstractNum>
  <w:abstractNum w:abstractNumId="2">
    <w:nsid w:val="9C428A81"/>
    <w:multiLevelType w:val="singleLevel"/>
    <w:tmpl w:val="9C428A81"/>
    <w:lvl w:ilvl="0" w:tentative="0">
      <w:start w:val="2"/>
      <w:numFmt w:val="decimal"/>
      <w:lvlText w:val="%1."/>
      <w:lvlJc w:val="left"/>
      <w:pPr>
        <w:tabs>
          <w:tab w:val="left" w:pos="312"/>
        </w:tabs>
      </w:pPr>
    </w:lvl>
  </w:abstractNum>
  <w:abstractNum w:abstractNumId="3">
    <w:nsid w:val="A90E64E4"/>
    <w:multiLevelType w:val="singleLevel"/>
    <w:tmpl w:val="A90E64E4"/>
    <w:lvl w:ilvl="0" w:tentative="0">
      <w:start w:val="1"/>
      <w:numFmt w:val="decimal"/>
      <w:lvlText w:val="%1."/>
      <w:lvlJc w:val="left"/>
      <w:pPr>
        <w:tabs>
          <w:tab w:val="left" w:pos="312"/>
        </w:tabs>
      </w:pPr>
    </w:lvl>
  </w:abstractNum>
  <w:abstractNum w:abstractNumId="4">
    <w:nsid w:val="A955F3BE"/>
    <w:multiLevelType w:val="singleLevel"/>
    <w:tmpl w:val="A955F3BE"/>
    <w:lvl w:ilvl="0" w:tentative="0">
      <w:start w:val="1"/>
      <w:numFmt w:val="decimal"/>
      <w:lvlText w:val="%1."/>
      <w:lvlJc w:val="left"/>
      <w:pPr>
        <w:tabs>
          <w:tab w:val="left" w:pos="312"/>
        </w:tabs>
      </w:pPr>
    </w:lvl>
  </w:abstractNum>
  <w:abstractNum w:abstractNumId="5">
    <w:nsid w:val="B2D5DA7B"/>
    <w:multiLevelType w:val="singleLevel"/>
    <w:tmpl w:val="B2D5DA7B"/>
    <w:lvl w:ilvl="0" w:tentative="0">
      <w:start w:val="1"/>
      <w:numFmt w:val="decimal"/>
      <w:lvlText w:val="%1."/>
      <w:lvlJc w:val="left"/>
      <w:pPr>
        <w:tabs>
          <w:tab w:val="left" w:pos="312"/>
        </w:tabs>
      </w:pPr>
    </w:lvl>
  </w:abstractNum>
  <w:abstractNum w:abstractNumId="6">
    <w:nsid w:val="B3628731"/>
    <w:multiLevelType w:val="singleLevel"/>
    <w:tmpl w:val="B3628731"/>
    <w:lvl w:ilvl="0" w:tentative="0">
      <w:start w:val="1"/>
      <w:numFmt w:val="decimal"/>
      <w:lvlText w:val="%1."/>
      <w:lvlJc w:val="left"/>
      <w:pPr>
        <w:tabs>
          <w:tab w:val="left" w:pos="312"/>
        </w:tabs>
      </w:pPr>
    </w:lvl>
  </w:abstractNum>
  <w:abstractNum w:abstractNumId="7">
    <w:nsid w:val="C0803010"/>
    <w:multiLevelType w:val="singleLevel"/>
    <w:tmpl w:val="C0803010"/>
    <w:lvl w:ilvl="0" w:tentative="0">
      <w:start w:val="1"/>
      <w:numFmt w:val="decimal"/>
      <w:lvlText w:val="%1."/>
      <w:lvlJc w:val="left"/>
      <w:pPr>
        <w:tabs>
          <w:tab w:val="left" w:pos="312"/>
        </w:tabs>
      </w:pPr>
    </w:lvl>
  </w:abstractNum>
  <w:abstractNum w:abstractNumId="8">
    <w:nsid w:val="C37378E0"/>
    <w:multiLevelType w:val="singleLevel"/>
    <w:tmpl w:val="C37378E0"/>
    <w:lvl w:ilvl="0" w:tentative="0">
      <w:start w:val="1"/>
      <w:numFmt w:val="decimal"/>
      <w:lvlText w:val="%1."/>
      <w:lvlJc w:val="left"/>
      <w:pPr>
        <w:tabs>
          <w:tab w:val="left" w:pos="312"/>
        </w:tabs>
      </w:pPr>
    </w:lvl>
  </w:abstractNum>
  <w:abstractNum w:abstractNumId="9">
    <w:nsid w:val="C7087CE2"/>
    <w:multiLevelType w:val="singleLevel"/>
    <w:tmpl w:val="C7087CE2"/>
    <w:lvl w:ilvl="0" w:tentative="0">
      <w:start w:val="1"/>
      <w:numFmt w:val="decimal"/>
      <w:lvlText w:val="%1."/>
      <w:lvlJc w:val="left"/>
      <w:pPr>
        <w:tabs>
          <w:tab w:val="left" w:pos="312"/>
        </w:tabs>
      </w:pPr>
    </w:lvl>
  </w:abstractNum>
  <w:abstractNum w:abstractNumId="10">
    <w:nsid w:val="C7C10C72"/>
    <w:multiLevelType w:val="singleLevel"/>
    <w:tmpl w:val="C7C10C72"/>
    <w:lvl w:ilvl="0" w:tentative="0">
      <w:start w:val="1"/>
      <w:numFmt w:val="decimal"/>
      <w:lvlText w:val="%1."/>
      <w:lvlJc w:val="left"/>
      <w:pPr>
        <w:tabs>
          <w:tab w:val="left" w:pos="312"/>
        </w:tabs>
      </w:pPr>
    </w:lvl>
  </w:abstractNum>
  <w:abstractNum w:abstractNumId="11">
    <w:nsid w:val="CA5DACAE"/>
    <w:multiLevelType w:val="singleLevel"/>
    <w:tmpl w:val="CA5DACAE"/>
    <w:lvl w:ilvl="0" w:tentative="0">
      <w:start w:val="1"/>
      <w:numFmt w:val="decimal"/>
      <w:lvlText w:val="%1."/>
      <w:lvlJc w:val="left"/>
      <w:pPr>
        <w:tabs>
          <w:tab w:val="left" w:pos="312"/>
        </w:tabs>
      </w:pPr>
    </w:lvl>
  </w:abstractNum>
  <w:abstractNum w:abstractNumId="12">
    <w:nsid w:val="CC067A0D"/>
    <w:multiLevelType w:val="singleLevel"/>
    <w:tmpl w:val="CC067A0D"/>
    <w:lvl w:ilvl="0" w:tentative="0">
      <w:start w:val="1"/>
      <w:numFmt w:val="decimal"/>
      <w:lvlText w:val="%1."/>
      <w:lvlJc w:val="left"/>
      <w:pPr>
        <w:tabs>
          <w:tab w:val="left" w:pos="312"/>
        </w:tabs>
      </w:pPr>
    </w:lvl>
  </w:abstractNum>
  <w:abstractNum w:abstractNumId="13">
    <w:nsid w:val="CDFD0373"/>
    <w:multiLevelType w:val="singleLevel"/>
    <w:tmpl w:val="CDFD0373"/>
    <w:lvl w:ilvl="0" w:tentative="0">
      <w:start w:val="1"/>
      <w:numFmt w:val="decimal"/>
      <w:lvlText w:val="%1."/>
      <w:lvlJc w:val="left"/>
      <w:pPr>
        <w:tabs>
          <w:tab w:val="left" w:pos="312"/>
        </w:tabs>
      </w:pPr>
    </w:lvl>
  </w:abstractNum>
  <w:abstractNum w:abstractNumId="14">
    <w:nsid w:val="CE60EB77"/>
    <w:multiLevelType w:val="singleLevel"/>
    <w:tmpl w:val="CE60EB77"/>
    <w:lvl w:ilvl="0" w:tentative="0">
      <w:start w:val="1"/>
      <w:numFmt w:val="decimal"/>
      <w:lvlText w:val="%1."/>
      <w:lvlJc w:val="left"/>
      <w:pPr>
        <w:tabs>
          <w:tab w:val="left" w:pos="312"/>
        </w:tabs>
      </w:pPr>
    </w:lvl>
  </w:abstractNum>
  <w:abstractNum w:abstractNumId="15">
    <w:nsid w:val="D1B10162"/>
    <w:multiLevelType w:val="singleLevel"/>
    <w:tmpl w:val="D1B10162"/>
    <w:lvl w:ilvl="0" w:tentative="0">
      <w:start w:val="1"/>
      <w:numFmt w:val="decimal"/>
      <w:lvlText w:val="%1."/>
      <w:lvlJc w:val="left"/>
      <w:pPr>
        <w:tabs>
          <w:tab w:val="left" w:pos="312"/>
        </w:tabs>
      </w:pPr>
    </w:lvl>
  </w:abstractNum>
  <w:abstractNum w:abstractNumId="16">
    <w:nsid w:val="DEFBD9A0"/>
    <w:multiLevelType w:val="singleLevel"/>
    <w:tmpl w:val="DEFBD9A0"/>
    <w:lvl w:ilvl="0" w:tentative="0">
      <w:start w:val="1"/>
      <w:numFmt w:val="decimal"/>
      <w:lvlText w:val="%1."/>
      <w:lvlJc w:val="left"/>
      <w:pPr>
        <w:tabs>
          <w:tab w:val="left" w:pos="312"/>
        </w:tabs>
      </w:pPr>
    </w:lvl>
  </w:abstractNum>
  <w:abstractNum w:abstractNumId="17">
    <w:nsid w:val="EB1AE4CA"/>
    <w:multiLevelType w:val="singleLevel"/>
    <w:tmpl w:val="EB1AE4CA"/>
    <w:lvl w:ilvl="0" w:tentative="0">
      <w:start w:val="1"/>
      <w:numFmt w:val="decimal"/>
      <w:lvlText w:val="%1."/>
      <w:lvlJc w:val="left"/>
      <w:pPr>
        <w:tabs>
          <w:tab w:val="left" w:pos="312"/>
        </w:tabs>
      </w:pPr>
    </w:lvl>
  </w:abstractNum>
  <w:abstractNum w:abstractNumId="18">
    <w:nsid w:val="F96DCCDE"/>
    <w:multiLevelType w:val="singleLevel"/>
    <w:tmpl w:val="F96DCCDE"/>
    <w:lvl w:ilvl="0" w:tentative="0">
      <w:start w:val="1"/>
      <w:numFmt w:val="decimal"/>
      <w:lvlText w:val="%1."/>
      <w:lvlJc w:val="left"/>
      <w:pPr>
        <w:tabs>
          <w:tab w:val="left" w:pos="312"/>
        </w:tabs>
      </w:pPr>
    </w:lvl>
  </w:abstractNum>
  <w:abstractNum w:abstractNumId="19">
    <w:nsid w:val="FC87A262"/>
    <w:multiLevelType w:val="singleLevel"/>
    <w:tmpl w:val="FC87A262"/>
    <w:lvl w:ilvl="0" w:tentative="0">
      <w:start w:val="1"/>
      <w:numFmt w:val="decimal"/>
      <w:lvlText w:val="%1."/>
      <w:lvlJc w:val="left"/>
      <w:pPr>
        <w:tabs>
          <w:tab w:val="left" w:pos="312"/>
        </w:tabs>
      </w:pPr>
    </w:lvl>
  </w:abstractNum>
  <w:abstractNum w:abstractNumId="20">
    <w:nsid w:val="FE1AC40E"/>
    <w:multiLevelType w:val="singleLevel"/>
    <w:tmpl w:val="FE1AC40E"/>
    <w:lvl w:ilvl="0" w:tentative="0">
      <w:start w:val="1"/>
      <w:numFmt w:val="decimal"/>
      <w:lvlText w:val="%1."/>
      <w:lvlJc w:val="left"/>
      <w:pPr>
        <w:tabs>
          <w:tab w:val="left" w:pos="312"/>
        </w:tabs>
      </w:pPr>
    </w:lvl>
  </w:abstractNum>
  <w:abstractNum w:abstractNumId="21">
    <w:nsid w:val="FF2894ED"/>
    <w:multiLevelType w:val="singleLevel"/>
    <w:tmpl w:val="FF2894ED"/>
    <w:lvl w:ilvl="0" w:tentative="0">
      <w:start w:val="1"/>
      <w:numFmt w:val="decimal"/>
      <w:lvlText w:val="%1."/>
      <w:lvlJc w:val="left"/>
      <w:pPr>
        <w:tabs>
          <w:tab w:val="left" w:pos="312"/>
        </w:tabs>
      </w:pPr>
    </w:lvl>
  </w:abstractNum>
  <w:abstractNum w:abstractNumId="22">
    <w:nsid w:val="039B7231"/>
    <w:multiLevelType w:val="singleLevel"/>
    <w:tmpl w:val="039B7231"/>
    <w:lvl w:ilvl="0" w:tentative="0">
      <w:start w:val="1"/>
      <w:numFmt w:val="decimal"/>
      <w:lvlText w:val="%1."/>
      <w:lvlJc w:val="left"/>
      <w:pPr>
        <w:tabs>
          <w:tab w:val="left" w:pos="312"/>
        </w:tabs>
      </w:pPr>
    </w:lvl>
  </w:abstractNum>
  <w:abstractNum w:abstractNumId="23">
    <w:nsid w:val="0B53BB9A"/>
    <w:multiLevelType w:val="singleLevel"/>
    <w:tmpl w:val="0B53BB9A"/>
    <w:lvl w:ilvl="0" w:tentative="0">
      <w:start w:val="1"/>
      <w:numFmt w:val="decimal"/>
      <w:lvlText w:val="%1."/>
      <w:lvlJc w:val="left"/>
      <w:pPr>
        <w:tabs>
          <w:tab w:val="left" w:pos="312"/>
        </w:tabs>
      </w:pPr>
    </w:lvl>
  </w:abstractNum>
  <w:abstractNum w:abstractNumId="24">
    <w:nsid w:val="20450650"/>
    <w:multiLevelType w:val="singleLevel"/>
    <w:tmpl w:val="20450650"/>
    <w:lvl w:ilvl="0" w:tentative="0">
      <w:start w:val="1"/>
      <w:numFmt w:val="decimal"/>
      <w:lvlText w:val="%1."/>
      <w:lvlJc w:val="left"/>
      <w:pPr>
        <w:tabs>
          <w:tab w:val="left" w:pos="312"/>
        </w:tabs>
      </w:pPr>
    </w:lvl>
  </w:abstractNum>
  <w:abstractNum w:abstractNumId="25">
    <w:nsid w:val="2529422C"/>
    <w:multiLevelType w:val="singleLevel"/>
    <w:tmpl w:val="2529422C"/>
    <w:lvl w:ilvl="0" w:tentative="0">
      <w:start w:val="1"/>
      <w:numFmt w:val="decimal"/>
      <w:lvlText w:val="%1."/>
      <w:lvlJc w:val="left"/>
      <w:pPr>
        <w:tabs>
          <w:tab w:val="left" w:pos="312"/>
        </w:tabs>
      </w:pPr>
    </w:lvl>
  </w:abstractNum>
  <w:abstractNum w:abstractNumId="26">
    <w:nsid w:val="2A41A357"/>
    <w:multiLevelType w:val="singleLevel"/>
    <w:tmpl w:val="2A41A357"/>
    <w:lvl w:ilvl="0" w:tentative="0">
      <w:start w:val="1"/>
      <w:numFmt w:val="decimal"/>
      <w:lvlText w:val="%1."/>
      <w:lvlJc w:val="left"/>
      <w:pPr>
        <w:tabs>
          <w:tab w:val="left" w:pos="312"/>
        </w:tabs>
      </w:pPr>
    </w:lvl>
  </w:abstractNum>
  <w:abstractNum w:abstractNumId="27">
    <w:nsid w:val="383CAA18"/>
    <w:multiLevelType w:val="singleLevel"/>
    <w:tmpl w:val="383CAA18"/>
    <w:lvl w:ilvl="0" w:tentative="0">
      <w:start w:val="1"/>
      <w:numFmt w:val="decimal"/>
      <w:lvlText w:val="%1."/>
      <w:lvlJc w:val="left"/>
      <w:pPr>
        <w:tabs>
          <w:tab w:val="left" w:pos="312"/>
        </w:tabs>
      </w:pPr>
    </w:lvl>
  </w:abstractNum>
  <w:abstractNum w:abstractNumId="28">
    <w:nsid w:val="3F0EDA5E"/>
    <w:multiLevelType w:val="singleLevel"/>
    <w:tmpl w:val="3F0EDA5E"/>
    <w:lvl w:ilvl="0" w:tentative="0">
      <w:start w:val="1"/>
      <w:numFmt w:val="decimal"/>
      <w:lvlText w:val="%1."/>
      <w:lvlJc w:val="left"/>
      <w:pPr>
        <w:tabs>
          <w:tab w:val="left" w:pos="312"/>
        </w:tabs>
      </w:pPr>
    </w:lvl>
  </w:abstractNum>
  <w:abstractNum w:abstractNumId="29">
    <w:nsid w:val="47D5D0BD"/>
    <w:multiLevelType w:val="singleLevel"/>
    <w:tmpl w:val="47D5D0BD"/>
    <w:lvl w:ilvl="0" w:tentative="0">
      <w:start w:val="1"/>
      <w:numFmt w:val="decimal"/>
      <w:lvlText w:val="%1."/>
      <w:lvlJc w:val="left"/>
      <w:pPr>
        <w:tabs>
          <w:tab w:val="left" w:pos="312"/>
        </w:tabs>
      </w:pPr>
    </w:lvl>
  </w:abstractNum>
  <w:abstractNum w:abstractNumId="30">
    <w:nsid w:val="4B9DAC78"/>
    <w:multiLevelType w:val="singleLevel"/>
    <w:tmpl w:val="4B9DAC78"/>
    <w:lvl w:ilvl="0" w:tentative="0">
      <w:start w:val="1"/>
      <w:numFmt w:val="decimal"/>
      <w:lvlText w:val="%1."/>
      <w:lvlJc w:val="left"/>
      <w:pPr>
        <w:tabs>
          <w:tab w:val="left" w:pos="312"/>
        </w:tabs>
      </w:pPr>
    </w:lvl>
  </w:abstractNum>
  <w:abstractNum w:abstractNumId="31">
    <w:nsid w:val="53727B6B"/>
    <w:multiLevelType w:val="singleLevel"/>
    <w:tmpl w:val="53727B6B"/>
    <w:lvl w:ilvl="0" w:tentative="0">
      <w:start w:val="1"/>
      <w:numFmt w:val="decimal"/>
      <w:lvlText w:val="%1."/>
      <w:lvlJc w:val="left"/>
      <w:pPr>
        <w:tabs>
          <w:tab w:val="left" w:pos="312"/>
        </w:tabs>
      </w:pPr>
    </w:lvl>
  </w:abstractNum>
  <w:abstractNum w:abstractNumId="32">
    <w:nsid w:val="55990F42"/>
    <w:multiLevelType w:val="singleLevel"/>
    <w:tmpl w:val="55990F42"/>
    <w:lvl w:ilvl="0" w:tentative="0">
      <w:start w:val="1"/>
      <w:numFmt w:val="decimal"/>
      <w:lvlText w:val="%1."/>
      <w:lvlJc w:val="left"/>
      <w:pPr>
        <w:tabs>
          <w:tab w:val="left" w:pos="312"/>
        </w:tabs>
      </w:pPr>
    </w:lvl>
  </w:abstractNum>
  <w:abstractNum w:abstractNumId="33">
    <w:nsid w:val="62649742"/>
    <w:multiLevelType w:val="singleLevel"/>
    <w:tmpl w:val="62649742"/>
    <w:lvl w:ilvl="0" w:tentative="0">
      <w:start w:val="1"/>
      <w:numFmt w:val="decimal"/>
      <w:lvlText w:val="%1."/>
      <w:lvlJc w:val="left"/>
      <w:pPr>
        <w:tabs>
          <w:tab w:val="left" w:pos="312"/>
        </w:tabs>
      </w:pPr>
    </w:lvl>
  </w:abstractNum>
  <w:abstractNum w:abstractNumId="34">
    <w:nsid w:val="64A83DBB"/>
    <w:multiLevelType w:val="singleLevel"/>
    <w:tmpl w:val="64A83DBB"/>
    <w:lvl w:ilvl="0" w:tentative="0">
      <w:start w:val="1"/>
      <w:numFmt w:val="decimal"/>
      <w:lvlText w:val="%1."/>
      <w:lvlJc w:val="left"/>
      <w:pPr>
        <w:tabs>
          <w:tab w:val="left" w:pos="312"/>
        </w:tabs>
      </w:pPr>
    </w:lvl>
  </w:abstractNum>
  <w:abstractNum w:abstractNumId="35">
    <w:nsid w:val="6FAA299B"/>
    <w:multiLevelType w:val="singleLevel"/>
    <w:tmpl w:val="6FAA299B"/>
    <w:lvl w:ilvl="0" w:tentative="0">
      <w:start w:val="1"/>
      <w:numFmt w:val="decimal"/>
      <w:lvlText w:val="%1."/>
      <w:lvlJc w:val="left"/>
      <w:pPr>
        <w:tabs>
          <w:tab w:val="left" w:pos="312"/>
        </w:tabs>
      </w:pPr>
    </w:lvl>
  </w:abstractNum>
  <w:abstractNum w:abstractNumId="36">
    <w:nsid w:val="7856E279"/>
    <w:multiLevelType w:val="singleLevel"/>
    <w:tmpl w:val="7856E279"/>
    <w:lvl w:ilvl="0" w:tentative="0">
      <w:start w:val="1"/>
      <w:numFmt w:val="decimal"/>
      <w:lvlText w:val="%1."/>
      <w:lvlJc w:val="left"/>
      <w:pPr>
        <w:tabs>
          <w:tab w:val="left" w:pos="312"/>
        </w:tabs>
      </w:pPr>
    </w:lvl>
  </w:abstractNum>
  <w:num w:numId="1">
    <w:abstractNumId w:val="2"/>
  </w:num>
  <w:num w:numId="2">
    <w:abstractNumId w:val="1"/>
  </w:num>
  <w:num w:numId="3">
    <w:abstractNumId w:val="20"/>
  </w:num>
  <w:num w:numId="4">
    <w:abstractNumId w:val="23"/>
  </w:num>
  <w:num w:numId="5">
    <w:abstractNumId w:val="32"/>
  </w:num>
  <w:num w:numId="6">
    <w:abstractNumId w:val="17"/>
  </w:num>
  <w:num w:numId="7">
    <w:abstractNumId w:val="25"/>
  </w:num>
  <w:num w:numId="8">
    <w:abstractNumId w:val="22"/>
  </w:num>
  <w:num w:numId="9">
    <w:abstractNumId w:val="28"/>
  </w:num>
  <w:num w:numId="10">
    <w:abstractNumId w:val="26"/>
  </w:num>
  <w:num w:numId="11">
    <w:abstractNumId w:val="27"/>
  </w:num>
  <w:num w:numId="12">
    <w:abstractNumId w:val="6"/>
  </w:num>
  <w:num w:numId="13">
    <w:abstractNumId w:val="13"/>
  </w:num>
  <w:num w:numId="14">
    <w:abstractNumId w:val="36"/>
  </w:num>
  <w:num w:numId="15">
    <w:abstractNumId w:val="18"/>
  </w:num>
  <w:num w:numId="16">
    <w:abstractNumId w:val="4"/>
  </w:num>
  <w:num w:numId="17">
    <w:abstractNumId w:val="35"/>
  </w:num>
  <w:num w:numId="18">
    <w:abstractNumId w:val="16"/>
  </w:num>
  <w:num w:numId="19">
    <w:abstractNumId w:val="7"/>
  </w:num>
  <w:num w:numId="20">
    <w:abstractNumId w:val="5"/>
  </w:num>
  <w:num w:numId="21">
    <w:abstractNumId w:val="8"/>
  </w:num>
  <w:num w:numId="22">
    <w:abstractNumId w:val="10"/>
  </w:num>
  <w:num w:numId="23">
    <w:abstractNumId w:val="3"/>
  </w:num>
  <w:num w:numId="24">
    <w:abstractNumId w:val="31"/>
  </w:num>
  <w:num w:numId="25">
    <w:abstractNumId w:val="9"/>
  </w:num>
  <w:num w:numId="26">
    <w:abstractNumId w:val="14"/>
  </w:num>
  <w:num w:numId="27">
    <w:abstractNumId w:val="15"/>
  </w:num>
  <w:num w:numId="28">
    <w:abstractNumId w:val="24"/>
  </w:num>
  <w:num w:numId="29">
    <w:abstractNumId w:val="30"/>
  </w:num>
  <w:num w:numId="30">
    <w:abstractNumId w:val="34"/>
  </w:num>
  <w:num w:numId="31">
    <w:abstractNumId w:val="29"/>
  </w:num>
  <w:num w:numId="32">
    <w:abstractNumId w:val="19"/>
  </w:num>
  <w:num w:numId="33">
    <w:abstractNumId w:val="33"/>
  </w:num>
  <w:num w:numId="34">
    <w:abstractNumId w:val="11"/>
  </w:num>
  <w:num w:numId="35">
    <w:abstractNumId w:val="0"/>
  </w:num>
  <w:num w:numId="36">
    <w:abstractNumId w:val="21"/>
  </w:num>
  <w:num w:numId="3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651F"/>
    <w:rsid w:val="001072BC"/>
    <w:rsid w:val="00256B39"/>
    <w:rsid w:val="0026033C"/>
    <w:rsid w:val="002E3721"/>
    <w:rsid w:val="00313BBA"/>
    <w:rsid w:val="0032602E"/>
    <w:rsid w:val="003367AE"/>
    <w:rsid w:val="003B1258"/>
    <w:rsid w:val="004100B0"/>
    <w:rsid w:val="005467DC"/>
    <w:rsid w:val="00553D03"/>
    <w:rsid w:val="005B2B6D"/>
    <w:rsid w:val="005B4B4E"/>
    <w:rsid w:val="00624FE1"/>
    <w:rsid w:val="007208D6"/>
    <w:rsid w:val="008B397C"/>
    <w:rsid w:val="008B47F4"/>
    <w:rsid w:val="00900019"/>
    <w:rsid w:val="0099063E"/>
    <w:rsid w:val="00A769B1"/>
    <w:rsid w:val="00A837D5"/>
    <w:rsid w:val="00AC4C45"/>
    <w:rsid w:val="00B46F21"/>
    <w:rsid w:val="00B511A5"/>
    <w:rsid w:val="00B736A7"/>
    <w:rsid w:val="00B7651F"/>
    <w:rsid w:val="00C56E09"/>
    <w:rsid w:val="00CF096B"/>
    <w:rsid w:val="00E16D30"/>
    <w:rsid w:val="00E33169"/>
    <w:rsid w:val="00E70904"/>
    <w:rsid w:val="00EF44B1"/>
    <w:rsid w:val="00F35AA0"/>
    <w:rsid w:val="012847BC"/>
    <w:rsid w:val="016E63C2"/>
    <w:rsid w:val="022A077D"/>
    <w:rsid w:val="024B0C39"/>
    <w:rsid w:val="04142C9C"/>
    <w:rsid w:val="04F13E55"/>
    <w:rsid w:val="06633217"/>
    <w:rsid w:val="066423F7"/>
    <w:rsid w:val="096228B1"/>
    <w:rsid w:val="09CE002C"/>
    <w:rsid w:val="0A0D0503"/>
    <w:rsid w:val="0A8128A6"/>
    <w:rsid w:val="0ABB3925"/>
    <w:rsid w:val="0BBC2420"/>
    <w:rsid w:val="0BF32A1B"/>
    <w:rsid w:val="0CE968A8"/>
    <w:rsid w:val="0FF6417D"/>
    <w:rsid w:val="108A130A"/>
    <w:rsid w:val="10BD2C22"/>
    <w:rsid w:val="113A09B9"/>
    <w:rsid w:val="11487896"/>
    <w:rsid w:val="127C6368"/>
    <w:rsid w:val="12C548AD"/>
    <w:rsid w:val="13114B5D"/>
    <w:rsid w:val="15911390"/>
    <w:rsid w:val="16184C98"/>
    <w:rsid w:val="1668382B"/>
    <w:rsid w:val="16B4102C"/>
    <w:rsid w:val="17741D2C"/>
    <w:rsid w:val="17E01CA5"/>
    <w:rsid w:val="19FA062A"/>
    <w:rsid w:val="1B0508CD"/>
    <w:rsid w:val="1D0212BD"/>
    <w:rsid w:val="1FEC2FA0"/>
    <w:rsid w:val="200021DE"/>
    <w:rsid w:val="21087DDF"/>
    <w:rsid w:val="21A57500"/>
    <w:rsid w:val="22987C80"/>
    <w:rsid w:val="2365379F"/>
    <w:rsid w:val="23B50CB7"/>
    <w:rsid w:val="24192CCC"/>
    <w:rsid w:val="24CD65E6"/>
    <w:rsid w:val="2A0409D5"/>
    <w:rsid w:val="2A051F27"/>
    <w:rsid w:val="2F324994"/>
    <w:rsid w:val="310B05CA"/>
    <w:rsid w:val="3173663C"/>
    <w:rsid w:val="31A22B04"/>
    <w:rsid w:val="337C2017"/>
    <w:rsid w:val="33BD717B"/>
    <w:rsid w:val="34AC68CE"/>
    <w:rsid w:val="35FC4172"/>
    <w:rsid w:val="364D4495"/>
    <w:rsid w:val="36FA02AA"/>
    <w:rsid w:val="3739777F"/>
    <w:rsid w:val="37855E33"/>
    <w:rsid w:val="37B24DE0"/>
    <w:rsid w:val="37C11FE6"/>
    <w:rsid w:val="39A66CD4"/>
    <w:rsid w:val="39DF01FA"/>
    <w:rsid w:val="39DF4800"/>
    <w:rsid w:val="3C0172B6"/>
    <w:rsid w:val="3CD52CE1"/>
    <w:rsid w:val="3E7E52EE"/>
    <w:rsid w:val="3ED92BEC"/>
    <w:rsid w:val="3EE460A2"/>
    <w:rsid w:val="3EE662E5"/>
    <w:rsid w:val="3F0A2E4C"/>
    <w:rsid w:val="3FFB621F"/>
    <w:rsid w:val="407473E4"/>
    <w:rsid w:val="410F2E6A"/>
    <w:rsid w:val="422B05A6"/>
    <w:rsid w:val="42E1312C"/>
    <w:rsid w:val="43C27E39"/>
    <w:rsid w:val="4430136C"/>
    <w:rsid w:val="4572039E"/>
    <w:rsid w:val="46422EF1"/>
    <w:rsid w:val="46F574DD"/>
    <w:rsid w:val="46F604E3"/>
    <w:rsid w:val="47031D57"/>
    <w:rsid w:val="48F73EC5"/>
    <w:rsid w:val="4A5D7798"/>
    <w:rsid w:val="4AB0382B"/>
    <w:rsid w:val="4C5E0B92"/>
    <w:rsid w:val="4D874091"/>
    <w:rsid w:val="4EBC5FB2"/>
    <w:rsid w:val="52CB5D85"/>
    <w:rsid w:val="53630FA0"/>
    <w:rsid w:val="53CA39CC"/>
    <w:rsid w:val="543F7E64"/>
    <w:rsid w:val="5476230A"/>
    <w:rsid w:val="54AC72B0"/>
    <w:rsid w:val="55E87344"/>
    <w:rsid w:val="55FE0609"/>
    <w:rsid w:val="569868B5"/>
    <w:rsid w:val="56A35C30"/>
    <w:rsid w:val="58127DF0"/>
    <w:rsid w:val="5ACD53E1"/>
    <w:rsid w:val="5B263AA3"/>
    <w:rsid w:val="5D726444"/>
    <w:rsid w:val="5F342547"/>
    <w:rsid w:val="5F5270C3"/>
    <w:rsid w:val="606C496E"/>
    <w:rsid w:val="609F0454"/>
    <w:rsid w:val="611F6817"/>
    <w:rsid w:val="6551748B"/>
    <w:rsid w:val="65FF77BC"/>
    <w:rsid w:val="66CA1754"/>
    <w:rsid w:val="6752633D"/>
    <w:rsid w:val="684A3B8E"/>
    <w:rsid w:val="68893693"/>
    <w:rsid w:val="691D5F0B"/>
    <w:rsid w:val="69A27CE1"/>
    <w:rsid w:val="6B813322"/>
    <w:rsid w:val="6B9414EF"/>
    <w:rsid w:val="6BCF4F92"/>
    <w:rsid w:val="6C392CC4"/>
    <w:rsid w:val="6C79440B"/>
    <w:rsid w:val="6C8E4C25"/>
    <w:rsid w:val="6D284A49"/>
    <w:rsid w:val="6D6F32A4"/>
    <w:rsid w:val="6EA31FF7"/>
    <w:rsid w:val="6F1E65D4"/>
    <w:rsid w:val="6F230AF1"/>
    <w:rsid w:val="6F266C86"/>
    <w:rsid w:val="6F5042C2"/>
    <w:rsid w:val="705D3892"/>
    <w:rsid w:val="729442DE"/>
    <w:rsid w:val="733B72AF"/>
    <w:rsid w:val="73D6533A"/>
    <w:rsid w:val="74316312"/>
    <w:rsid w:val="75D477FF"/>
    <w:rsid w:val="76172145"/>
    <w:rsid w:val="769A1C35"/>
    <w:rsid w:val="76E77969"/>
    <w:rsid w:val="77457761"/>
    <w:rsid w:val="77940DA1"/>
    <w:rsid w:val="77A131E5"/>
    <w:rsid w:val="780F13C8"/>
    <w:rsid w:val="782A34EC"/>
    <w:rsid w:val="78EE203C"/>
    <w:rsid w:val="7C2A3E3C"/>
    <w:rsid w:val="7C385448"/>
    <w:rsid w:val="7CB3663D"/>
    <w:rsid w:val="7E6F3E6F"/>
    <w:rsid w:val="7EDB48EB"/>
    <w:rsid w:val="7F12324E"/>
    <w:rsid w:val="7F6B423A"/>
    <w:rsid w:val="7F761DD5"/>
    <w:rsid w:val="7FD5178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unhideWhenUsed/>
    <w:qFormat/>
    <w:uiPriority w:val="1"/>
  </w:style>
  <w:style w:type="table" w:default="1" w:styleId="4">
    <w:name w:val="Normal Table"/>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table" w:styleId="5">
    <w:name w:val="Table Grid"/>
    <w:basedOn w:val="4"/>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
    <w:name w:val="页眉 Char"/>
    <w:basedOn w:val="6"/>
    <w:link w:val="3"/>
    <w:semiHidden/>
    <w:qFormat/>
    <w:uiPriority w:val="99"/>
    <w:rPr>
      <w:sz w:val="18"/>
      <w:szCs w:val="18"/>
    </w:rPr>
  </w:style>
  <w:style w:type="character" w:customStyle="1" w:styleId="8">
    <w:name w:val="页脚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274</Words>
  <Characters>1563</Characters>
  <Lines>13</Lines>
  <Paragraphs>3</Paragraphs>
  <TotalTime>0</TotalTime>
  <ScaleCrop>false</ScaleCrop>
  <LinksUpToDate>false</LinksUpToDate>
  <CharactersWithSpaces>1834</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2016-12-19T07:34:00Z</dcterms:created>
  <dc:creator>juvg</dc:creator>
  <cp:lastModifiedBy>陌桑</cp:lastModifiedBy>
  <cp:lastPrinted>2021-03-31T04:49:00Z</cp:lastPrinted>
  <dcterms:modified xsi:type="dcterms:W3CDTF">2021-09-16T06:49:53Z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KSORubyTemplateID" linkTarget="0">
    <vt:lpwstr>6</vt:lpwstr>
  </property>
  <property fmtid="{D5CDD505-2E9C-101B-9397-08002B2CF9AE}" pid="4" name="ICV">
    <vt:lpwstr>3BA481FF332347C3BAC9FFEC10277D59</vt:lpwstr>
  </property>
</Properties>
</file>