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FD1A">
      <w:pPr>
        <w:jc w:val="center"/>
        <w:rPr>
          <w:rFonts w:ascii="SimHei" w:hAnsi="SimHei" w:eastAsia="SimHei"/>
          <w:bCs/>
          <w:sz w:val="32"/>
          <w:szCs w:val="32"/>
        </w:rPr>
      </w:pPr>
      <w:r>
        <w:rPr>
          <w:rFonts w:hint="eastAsia" w:ascii="SimHei" w:hAnsi="SimHei" w:eastAsia="SimHei"/>
          <w:bCs/>
          <w:sz w:val="32"/>
          <w:szCs w:val="32"/>
        </w:rPr>
        <w:t>《</w:t>
      </w:r>
      <w:r>
        <w:rPr>
          <w:rFonts w:hint="eastAsia"/>
          <w:b/>
          <w:sz w:val="28"/>
          <w:szCs w:val="30"/>
        </w:rPr>
        <w:t>围棋启蒙教学</w:t>
      </w:r>
      <w:r>
        <w:rPr>
          <w:rFonts w:hint="eastAsia" w:ascii="SimHei" w:hAnsi="SimHei" w:eastAsia="SimHei"/>
          <w:bCs/>
          <w:sz w:val="32"/>
          <w:szCs w:val="32"/>
        </w:rPr>
        <w:t>》本科课程教学大纲</w:t>
      </w:r>
    </w:p>
    <w:p w14:paraId="159B2BB5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ascii="SimHei" w:hAnsi="宋体"/>
        </w:rPr>
        <w:t>一</w:t>
      </w:r>
      <w:r>
        <w:rPr>
          <w:rFonts w:hint="eastAsia" w:ascii="SimHei" w:hAnsi="宋体"/>
        </w:rPr>
        <w:t>、课程</w:t>
      </w:r>
      <w:r>
        <w:rPr>
          <w:rFonts w:ascii="SimHei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4B3F0B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A3146B9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33705F">
            <w:pPr>
              <w:widowControl w:val="0"/>
              <w:jc w:val="left"/>
              <w:rPr>
                <w:rFonts w:hint="default" w:eastAsia="SimHe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（中文）围棋启蒙教学</w:t>
            </w:r>
          </w:p>
        </w:tc>
      </w:tr>
      <w:tr w14:paraId="6A61BA35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BE8851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FD2AC1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（英文）The Surrounding Game for Kids</w:t>
            </w:r>
          </w:p>
        </w:tc>
      </w:tr>
      <w:tr w14:paraId="7EBB132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A2913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EE0A34D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2135045</w:t>
            </w:r>
          </w:p>
        </w:tc>
        <w:tc>
          <w:tcPr>
            <w:tcW w:w="2126" w:type="dxa"/>
            <w:gridSpan w:val="2"/>
            <w:vAlign w:val="center"/>
          </w:tcPr>
          <w:p w14:paraId="1B6093E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204FF3B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C45A7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10290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1A2015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7664813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D91059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2900750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124DD9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92BC39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97E492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005F366">
            <w:pPr>
              <w:widowControl w:val="0"/>
              <w:jc w:val="center"/>
              <w:rPr>
                <w:rFonts w:hint="default" w:ascii="SimHei" w:hAnsi="SimHei" w:eastAsia="SimHe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126" w:type="dxa"/>
            <w:gridSpan w:val="2"/>
            <w:vAlign w:val="center"/>
          </w:tcPr>
          <w:p w14:paraId="540C054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F76A13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学前教育2、3年级</w:t>
            </w:r>
          </w:p>
        </w:tc>
      </w:tr>
      <w:tr w14:paraId="525EF01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5CB5F1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53430B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7E0A260E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1EE9E5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13FDAD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8D79C1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4C7EAC6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 Go Guide from a Beginner（电子版，自编） </w:t>
            </w:r>
          </w:p>
        </w:tc>
        <w:tc>
          <w:tcPr>
            <w:tcW w:w="1413" w:type="dxa"/>
            <w:gridSpan w:val="2"/>
            <w:vAlign w:val="center"/>
          </w:tcPr>
          <w:p w14:paraId="1FF4D78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1F354E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0EA81E3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C604C6A">
        <w:trPr>
          <w:trHeight w:val="44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8E3931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CFBE4E6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251E859">
        <w:trPr>
          <w:trHeight w:val="289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52E6E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D7409B6">
            <w:pPr>
              <w:widowControl w:val="0"/>
              <w:snapToGrid w:val="0"/>
              <w:spacing w:line="288" w:lineRule="auto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围棋起源于中国，是流传至今的、世界上最古老的益智游戏。它规则极其简单，但是变化极其复杂。它是一门易学难精的学问。古人称为“小数”，有许多成语与围棋有关，比如专心致志、举一反三、举棋不定等等。在中华传统文化中，围棋的黑白象征阴阳，蕴含了自然之道和许多人生哲理，它是优秀传统文化的典型代表之一。琴棋书画在古代，被认为是人们修身养性的基本方式，其中棋指围棋。围棋正在世界范围内流行，中华围棋文化走出去的时代要求需要有懂启蒙教育，又懂英语的围棋教师。因此我们开设该门课程，目的是带领大家初步体验这一古老而全新的游戏、增加一门教学技能，增强职业文化自信。</w:t>
            </w:r>
          </w:p>
        </w:tc>
      </w:tr>
      <w:tr w14:paraId="5A50DAC8">
        <w:trPr>
          <w:trHeight w:val="266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5CEB879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5F8D77C">
            <w:pPr>
              <w:widowControl/>
              <w:spacing w:before="156" w:beforeLines="50" w:after="156" w:afterLines="50" w:line="288" w:lineRule="auto"/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围棋有易学难精，充满智慧的特点，即能娱乐，又可提高素质，锻炼智力，是幼儿园大班孩子十分喜欢的游戏项目之一。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      </w:r>
          </w:p>
        </w:tc>
      </w:tr>
      <w:tr w14:paraId="468DB678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76C01C1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23BDA8A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孙德常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025F38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A0308BB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2024-03-02</w:t>
            </w:r>
          </w:p>
        </w:tc>
      </w:tr>
      <w:tr w14:paraId="1AE4A7F2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68CAFB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49E41D1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6740" cy="323215"/>
                  <wp:effectExtent l="0" t="0" r="22860" b="6985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E30B5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28E94F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3A92D38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58D00E6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1208367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1"/>
                <w:szCs w:val="21"/>
                <w:lang w:val="en-US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7C3A39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E67B9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6B8B2363">
      <w:pPr>
        <w:spacing w:line="100" w:lineRule="exact"/>
        <w:rPr>
          <w:rFonts w:ascii="Arial" w:hAnsi="Arial" w:eastAsia="SimHei"/>
        </w:rPr>
      </w:pPr>
      <w:r>
        <w:br w:type="page"/>
      </w:r>
    </w:p>
    <w:p w14:paraId="377CDAD6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二、课程目标与毕业要求</w:t>
      </w:r>
    </w:p>
    <w:p w14:paraId="312D5C7D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709FBC4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8D145C6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F9092F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77021BB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6350A9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95858A7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9BDDB1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938932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000000"/>
                <w:sz w:val="20"/>
              </w:rPr>
              <w:t>掌握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围棋的规则，了解围棋的起源和下法</w:t>
            </w:r>
            <w:r>
              <w:rPr>
                <w:rFonts w:hint="default"/>
                <w:color w:val="000000"/>
                <w:sz w:val="20"/>
                <w:lang w:eastAsia="zh-Hans"/>
              </w:rPr>
              <w:t>。</w:t>
            </w:r>
          </w:p>
        </w:tc>
      </w:tr>
      <w:tr w14:paraId="2711ACF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D3F9229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0BE079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37B541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了解棋子的价值和不同位置的差别。</w:t>
            </w:r>
          </w:p>
        </w:tc>
      </w:tr>
      <w:tr w14:paraId="34578AEE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FA96290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F21A31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2FE62D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掌握对弈基本技巧，理解围棋的生存条件与围地的基本方法。</w:t>
            </w:r>
          </w:p>
        </w:tc>
      </w:tr>
      <w:tr w14:paraId="0CE67795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A7C04D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BFB2DA2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EA3D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掌握基本基本的围棋英语术语、棋道和礼仪，能够开展国际交流。</w:t>
            </w:r>
          </w:p>
        </w:tc>
      </w:tr>
      <w:tr w14:paraId="133B6EF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0100F51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4AB09DD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DA528D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8978725">
            <w:pPr>
              <w:pStyle w:val="14"/>
              <w:jc w:val="left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学会尊重对手，坦然面对失败。</w:t>
            </w:r>
          </w:p>
        </w:tc>
      </w:tr>
      <w:tr w14:paraId="6717853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7D886F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4C6BB27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65F0A5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了解世界围棋传播简史和部分经典棋局，具有反思意识和国际视野。</w:t>
            </w:r>
          </w:p>
        </w:tc>
      </w:tr>
    </w:tbl>
    <w:p w14:paraId="576EF97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976794">
        <w:tc>
          <w:tcPr>
            <w:tcW w:w="8296" w:type="dxa"/>
          </w:tcPr>
          <w:p w14:paraId="2261D527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O7</w:t>
            </w:r>
            <w:r>
              <w:rPr>
                <w:rFonts w:hint="eastAsia"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：自主学习</w:t>
            </w:r>
            <w:r>
              <w:rPr>
                <w:rFonts w:hint="eastAsia" w:hAnsi="KaiTi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hAnsi="KaiT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具有终身学习与专业发展意识，具备一定的信息素养，并能在工作中应用信息技术和工具解决问题。</w:t>
            </w:r>
          </w:p>
        </w:tc>
      </w:tr>
      <w:tr w14:paraId="285A40BC">
        <w:tc>
          <w:tcPr>
            <w:tcW w:w="8296" w:type="dxa"/>
          </w:tcPr>
          <w:p w14:paraId="654FCBE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O8</w:t>
            </w:r>
            <w:r>
              <w:rPr>
                <w:rFonts w:hint="eastAsia"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：国际视野</w:t>
            </w:r>
            <w:r>
              <w:rPr>
                <w:rFonts w:hint="eastAsia" w:hAnsi="KaiTi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hAnsi="KaiT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具有全球意识和开放心态，具备外语表达沟通能力，达到本专业的要求，了解国外学前教育改革发展的趋势和前沿动态。</w:t>
            </w:r>
          </w:p>
        </w:tc>
      </w:tr>
      <w:tr w14:paraId="6BB7B429">
        <w:tc>
          <w:tcPr>
            <w:tcW w:w="8296" w:type="dxa"/>
          </w:tcPr>
          <w:p w14:paraId="11181D3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KaiT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  <w:r>
              <w:rPr>
                <w:rFonts w:hint="eastAsia" w:hAnsi="KaiTi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hAnsi="KaiT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</w:tr>
    </w:tbl>
    <w:p w14:paraId="20BED018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C12E541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38C456">
            <w:pPr>
              <w:pStyle w:val="13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2D8431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E7E120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6F5237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4E1F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7F3B4AD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F7E26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自主学习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36AC710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L07-1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3295882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51" w:type="dxa"/>
            <w:vAlign w:val="center"/>
          </w:tcPr>
          <w:p w14:paraId="3DC353D7">
            <w:pPr>
              <w:pStyle w:val="14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default" w:ascii="宋体" w:hAnsi="宋体"/>
                <w:bCs/>
              </w:rPr>
              <w:t>1.掌握围棋的规则，了解围棋的起源和下法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default" w:ascii="宋体" w:hAnsi="宋体"/>
                <w:bCs/>
              </w:rPr>
              <w:t>了解棋子的价值和不同位置的差别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55F653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中</w:t>
            </w:r>
          </w:p>
        </w:tc>
      </w:tr>
      <w:tr w14:paraId="7DD67892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9AF78D">
            <w:pPr>
              <w:pStyle w:val="14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501A8BF">
            <w:pPr>
              <w:pStyle w:val="14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7ED47B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E9455D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hint="default" w:ascii="宋体" w:hAnsi="宋体"/>
                <w:bCs/>
              </w:rPr>
              <w:t>.基本棋道和礼仪，让孩子尊重对手，懂得行棋的次序和方向。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E0763AB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2D19CB00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EE14F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国际视野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73A9D0C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L08-1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2BDC08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651" w:type="dxa"/>
            <w:vAlign w:val="center"/>
          </w:tcPr>
          <w:p w14:paraId="19A75855">
            <w:pPr>
              <w:pStyle w:val="14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  <w:r>
              <w:rPr>
                <w:rFonts w:hint="default" w:ascii="宋体" w:hAnsi="宋体"/>
                <w:bCs/>
              </w:rPr>
              <w:t>.了解世界围棋传播简史和经典棋局回顾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91D5DE3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高</w:t>
            </w:r>
          </w:p>
        </w:tc>
      </w:tr>
      <w:tr w14:paraId="6BCAC8CC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AA98F9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36CFE62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FC122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1779BFFD">
            <w:pPr>
              <w:pStyle w:val="14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default" w:ascii="宋体" w:hAnsi="宋体"/>
                <w:bCs/>
              </w:rPr>
              <w:t>掌握</w:t>
            </w:r>
            <w:r>
              <w:rPr>
                <w:rFonts w:hint="eastAsia" w:ascii="宋体" w:hAnsi="宋体"/>
                <w:bCs/>
                <w:lang w:val="en-US" w:eastAsia="zh-CN"/>
              </w:rPr>
              <w:t>基本的</w:t>
            </w:r>
            <w:r>
              <w:rPr>
                <w:rFonts w:hint="default" w:ascii="宋体" w:hAnsi="宋体"/>
                <w:bCs/>
              </w:rPr>
              <w:t>围棋英语术语</w:t>
            </w:r>
            <w:r>
              <w:rPr>
                <w:rFonts w:hint="eastAsia" w:ascii="宋体" w:hAnsi="宋体"/>
                <w:bCs/>
                <w:lang w:val="en-US" w:eastAsia="zh-CN"/>
              </w:rPr>
              <w:t>何国际交流策略。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12F017B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高</w:t>
            </w:r>
          </w:p>
        </w:tc>
      </w:tr>
      <w:tr w14:paraId="3F805406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5AA7DF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B732F28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DD014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5AF33EB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025AD1B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7D8E3E68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E3C8FB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反思研究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C000AAA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L09-3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CD10A81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31771816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default" w:ascii="宋体" w:hAnsi="宋体"/>
                <w:bCs/>
              </w:rPr>
              <w:t>了解围棋的生存条件与围地的基本方法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在围棋复盘中</w:t>
            </w:r>
            <w:r>
              <w:rPr>
                <w:rFonts w:hint="default" w:ascii="宋体" w:hAnsi="宋体"/>
                <w:bCs/>
              </w:rPr>
              <w:t>培养反思意识。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A3C8E5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高</w:t>
            </w:r>
          </w:p>
        </w:tc>
      </w:tr>
    </w:tbl>
    <w:p w14:paraId="586166B2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三、</w:t>
      </w:r>
      <w:r>
        <w:rPr>
          <w:rFonts w:ascii="SimHei" w:hAnsi="宋体"/>
        </w:rPr>
        <w:t>课程内容</w:t>
      </w:r>
      <w:r>
        <w:rPr>
          <w:rFonts w:hint="eastAsia" w:ascii="SimHei" w:hAnsi="宋体"/>
        </w:rPr>
        <w:t>与教学设计</w:t>
      </w:r>
    </w:p>
    <w:p w14:paraId="76FDD6F2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D8A6688">
        <w:tc>
          <w:tcPr>
            <w:tcW w:w="8296" w:type="dxa"/>
          </w:tcPr>
          <w:p w14:paraId="041DB7DB">
            <w:pPr>
              <w:widowControl w:val="0"/>
              <w:snapToGrid w:val="0"/>
              <w:spacing w:line="480" w:lineRule="auto"/>
              <w:ind w:firstLine="392" w:firstLineChars="196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第一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规则（the rules of go）</w:t>
            </w:r>
          </w:p>
          <w:p w14:paraId="58A5164D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教学目标：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Learning aims</w:t>
            </w:r>
          </w:p>
          <w:p w14:paraId="102E190C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初识围棋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to know the surrounding game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  <w:p w14:paraId="7E5CEB57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围棋规则（to master the rules of go）</w:t>
            </w:r>
          </w:p>
          <w:p w14:paraId="2D213C03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教学重点：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Key points</w:t>
            </w:r>
          </w:p>
          <w:p w14:paraId="5D57BA27">
            <w:pPr>
              <w:widowControl w:val="0"/>
              <w:numPr>
                <w:ilvl w:val="0"/>
                <w:numId w:val="1"/>
              </w:numPr>
              <w:snapToGrid w:val="0"/>
              <w:spacing w:line="480" w:lineRule="auto"/>
              <w:ind w:firstLine="792" w:firstLineChars="396"/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规则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the rules</w:t>
            </w:r>
          </w:p>
          <w:p w14:paraId="2E8F649A">
            <w:pPr>
              <w:widowControl w:val="0"/>
              <w:numPr>
                <w:ilvl w:val="0"/>
                <w:numId w:val="1"/>
              </w:numPr>
              <w:snapToGrid w:val="0"/>
              <w:spacing w:line="480" w:lineRule="auto"/>
              <w:ind w:firstLine="792" w:firstLineChars="396"/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儿童棋具介绍 Basic Equipment for Kids</w:t>
            </w:r>
          </w:p>
          <w:p w14:paraId="7528784C">
            <w:pPr>
              <w:widowControl w:val="0"/>
              <w:numPr>
                <w:ilvl w:val="0"/>
                <w:numId w:val="1"/>
              </w:numPr>
              <w:snapToGrid w:val="0"/>
              <w:spacing w:line="480" w:lineRule="auto"/>
              <w:ind w:firstLine="792" w:firstLineChars="396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吃子技巧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capturing technologies</w:t>
            </w:r>
          </w:p>
          <w:p w14:paraId="08D5F957">
            <w:pPr>
              <w:widowControl w:val="0"/>
              <w:numPr>
                <w:ilvl w:val="0"/>
                <w:numId w:val="0"/>
              </w:numPr>
              <w:snapToGrid w:val="0"/>
              <w:spacing w:line="480" w:lineRule="auto"/>
              <w:ind w:firstLine="400" w:firstLineChars="200"/>
              <w:jc w:val="both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第二单元 围棋行棋常规</w:t>
            </w:r>
          </w:p>
          <w:p w14:paraId="53C205F0">
            <w:pPr>
              <w:widowControl w:val="0"/>
              <w:numPr>
                <w:ilvl w:val="0"/>
                <w:numId w:val="2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死活基础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life and death problem（puzzles）</w:t>
            </w:r>
          </w:p>
          <w:p w14:paraId="75CDA966">
            <w:pPr>
              <w:widowControl w:val="0"/>
              <w:numPr>
                <w:ilvl w:val="0"/>
                <w:numId w:val="2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布局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opening styles</w:t>
            </w:r>
          </w:p>
          <w:p w14:paraId="16984A0A">
            <w:pPr>
              <w:widowControl w:val="0"/>
              <w:numPr>
                <w:ilvl w:val="0"/>
                <w:numId w:val="2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战法  fighting </w:t>
            </w:r>
          </w:p>
          <w:p w14:paraId="798F034C">
            <w:pPr>
              <w:widowControl w:val="0"/>
              <w:numPr>
                <w:ilvl w:val="0"/>
                <w:numId w:val="2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官子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endgame</w:t>
            </w:r>
          </w:p>
          <w:p w14:paraId="2224E04E">
            <w:pPr>
              <w:widowControl w:val="0"/>
              <w:snapToGrid w:val="0"/>
              <w:spacing w:line="480" w:lineRule="auto"/>
              <w:ind w:firstLine="392" w:firstLineChars="196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三单元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围棋历史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the brief history of go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  <w:p w14:paraId="5BDDFE0D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教学目标：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Learning Aims</w:t>
            </w:r>
          </w:p>
          <w:p w14:paraId="2AB09BE9">
            <w:pPr>
              <w:widowControl w:val="0"/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认识各国围棋发展历史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（to know the brief history of go）</w:t>
            </w:r>
          </w:p>
          <w:p w14:paraId="6290379D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教学重点：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Key Points</w:t>
            </w:r>
          </w:p>
          <w:p w14:paraId="75562D50">
            <w:pPr>
              <w:widowControl w:val="0"/>
              <w:numPr>
                <w:ilvl w:val="0"/>
                <w:numId w:val="3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中国历代围棋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Chinese Go History </w:t>
            </w:r>
          </w:p>
          <w:p w14:paraId="50E487C2">
            <w:pPr>
              <w:widowControl w:val="0"/>
              <w:numPr>
                <w:ilvl w:val="0"/>
                <w:numId w:val="3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日本围棋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Japanese Go History</w:t>
            </w:r>
          </w:p>
          <w:p w14:paraId="7AD461A2">
            <w:pPr>
              <w:widowControl w:val="0"/>
              <w:numPr>
                <w:ilvl w:val="0"/>
                <w:numId w:val="3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韩国围棋 Korean Go History</w:t>
            </w:r>
          </w:p>
          <w:p w14:paraId="7655C4C1">
            <w:pPr>
              <w:widowControl w:val="0"/>
              <w:numPr>
                <w:ilvl w:val="0"/>
                <w:numId w:val="3"/>
              </w:numPr>
              <w:snapToGrid w:val="0"/>
              <w:spacing w:line="480" w:lineRule="auto"/>
              <w:ind w:firstLine="800" w:firstLineChars="400"/>
              <w:jc w:val="both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世界围棋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Go Promotion Worldwide</w:t>
            </w:r>
          </w:p>
          <w:p w14:paraId="4C8B0DA1">
            <w:pPr>
              <w:widowControl w:val="0"/>
              <w:snapToGrid w:val="0"/>
              <w:spacing w:line="480" w:lineRule="auto"/>
              <w:ind w:firstLine="392" w:firstLineChars="1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四单元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启蒙教学（Teaching the Game for Kids）</w:t>
            </w:r>
          </w:p>
          <w:p w14:paraId="1C32A871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教学目标：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Learning Aims</w:t>
            </w:r>
          </w:p>
          <w:p w14:paraId="5CE755CC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了解启蒙教学的基本原则 the principles of learning</w:t>
            </w:r>
          </w:p>
          <w:p w14:paraId="6D4F8CBA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掌握启蒙教学的基本方法 the methods of playing together</w:t>
            </w:r>
          </w:p>
          <w:p w14:paraId="55C7E930">
            <w:pPr>
              <w:widowControl w:val="0"/>
              <w:snapToGrid w:val="0"/>
              <w:spacing w:line="480" w:lineRule="auto"/>
              <w:ind w:firstLine="792" w:firstLineChars="396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教学重点：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key points</w:t>
            </w:r>
          </w:p>
          <w:p w14:paraId="0C0D27A0">
            <w:pPr>
              <w:widowControl w:val="0"/>
              <w:numPr>
                <w:ilvl w:val="0"/>
                <w:numId w:val="4"/>
              </w:numPr>
              <w:snapToGrid w:val="0"/>
              <w:spacing w:line="480" w:lineRule="auto"/>
              <w:ind w:firstLine="792" w:firstLineChars="396"/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How to prepare the game before starting</w:t>
            </w:r>
          </w:p>
          <w:p w14:paraId="68FFC476">
            <w:pPr>
              <w:widowControl w:val="0"/>
              <w:numPr>
                <w:ilvl w:val="0"/>
                <w:numId w:val="4"/>
              </w:numPr>
              <w:snapToGrid w:val="0"/>
              <w:spacing w:line="480" w:lineRule="auto"/>
              <w:ind w:firstLine="792" w:firstLineChars="396"/>
              <w:jc w:val="both"/>
              <w:rPr>
                <w:rFonts w:ascii="FangSong" w:hAnsi="FangSong" w:eastAsia="FangSong" w:cs="FangSong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Learning the game in a natural way</w:t>
            </w:r>
          </w:p>
        </w:tc>
      </w:tr>
      <w:bookmarkEnd w:id="0"/>
      <w:bookmarkEnd w:id="1"/>
    </w:tbl>
    <w:p w14:paraId="11D59F0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12DDAED6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CAAB7B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FD0729F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2B37659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4835E1D2">
            <w:pPr>
              <w:pStyle w:val="13"/>
              <w:rPr>
                <w:rFonts w:hint="eastAsia" w:eastAsia="SimHei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7719B2F">
            <w:pPr>
              <w:pStyle w:val="13"/>
              <w:rPr>
                <w:rFonts w:hint="eastAsia" w:eastAsia="SimHei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4007A811">
            <w:pPr>
              <w:pStyle w:val="13"/>
              <w:rPr>
                <w:rFonts w:hint="eastAsia" w:eastAsia="SimHei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6CC3E6C">
            <w:pPr>
              <w:pStyle w:val="13"/>
              <w:rPr>
                <w:rFonts w:hint="eastAsia" w:eastAsia="SimHei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1D9A67EA">
            <w:pPr>
              <w:pStyle w:val="13"/>
              <w:rPr>
                <w:rFonts w:hint="eastAsia" w:eastAsia="SimHei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DBCCF60">
            <w:pPr>
              <w:pStyle w:val="13"/>
              <w:rPr>
                <w:szCs w:val="16"/>
              </w:rPr>
            </w:pPr>
          </w:p>
        </w:tc>
      </w:tr>
      <w:tr w14:paraId="22368C7F">
        <w:trPr>
          <w:trHeight w:val="447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E2D5A85">
            <w:pPr>
              <w:snapToGrid w:val="0"/>
              <w:spacing w:line="480" w:lineRule="auto"/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第一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规则</w:t>
            </w:r>
          </w:p>
        </w:tc>
        <w:tc>
          <w:tcPr>
            <w:tcW w:w="1074" w:type="dxa"/>
            <w:vAlign w:val="center"/>
          </w:tcPr>
          <w:p w14:paraId="3C52BCFE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30889DC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84DB1A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6CF2AD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4FCE5140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304DB26">
            <w:pPr>
              <w:pStyle w:val="14"/>
            </w:pPr>
          </w:p>
        </w:tc>
      </w:tr>
      <w:tr w14:paraId="2E4FC152">
        <w:trPr>
          <w:trHeight w:val="46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9643FA8">
            <w:pPr>
              <w:numPr>
                <w:ilvl w:val="0"/>
                <w:numId w:val="0"/>
              </w:numPr>
              <w:snapToGrid w:val="0"/>
              <w:spacing w:line="480" w:lineRule="auto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第二单元行棋常规</w:t>
            </w:r>
          </w:p>
        </w:tc>
        <w:tc>
          <w:tcPr>
            <w:tcW w:w="1074" w:type="dxa"/>
            <w:vAlign w:val="center"/>
          </w:tcPr>
          <w:p w14:paraId="555C902D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CD0952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0D1C9F0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B5C4B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B6A0F8C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04966D6">
            <w:pPr>
              <w:pStyle w:val="14"/>
            </w:pPr>
          </w:p>
        </w:tc>
      </w:tr>
      <w:tr w14:paraId="4C5A5298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211663C">
            <w:pPr>
              <w:pStyle w:val="14"/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三单元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围棋历史</w:t>
            </w:r>
          </w:p>
        </w:tc>
        <w:tc>
          <w:tcPr>
            <w:tcW w:w="1074" w:type="dxa"/>
            <w:vAlign w:val="center"/>
          </w:tcPr>
          <w:p w14:paraId="490941C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1B4D7B2D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215290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18192F4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1A7C74A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DC87E14">
            <w:pPr>
              <w:pStyle w:val="14"/>
            </w:pPr>
          </w:p>
        </w:tc>
      </w:tr>
      <w:tr w14:paraId="34AC762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40509A55">
            <w:pPr>
              <w:pStyle w:val="14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四单元启蒙教学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339BEC04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8B60D8B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727006E4">
            <w:pPr>
              <w:pStyle w:val="14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5652DF46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4C8FB5A4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C813E8">
            <w:pPr>
              <w:pStyle w:val="14"/>
            </w:pPr>
          </w:p>
        </w:tc>
      </w:tr>
    </w:tbl>
    <w:p w14:paraId="7AD049AD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3529"/>
        <w:gridCol w:w="964"/>
        <w:gridCol w:w="725"/>
        <w:gridCol w:w="669"/>
        <w:gridCol w:w="717"/>
      </w:tblGrid>
      <w:tr w14:paraId="6CBFD822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B8126DE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3529" w:type="dxa"/>
            <w:vMerge w:val="restart"/>
            <w:tcBorders>
              <w:top w:val="single" w:color="auto" w:sz="12" w:space="0"/>
            </w:tcBorders>
            <w:vAlign w:val="center"/>
          </w:tcPr>
          <w:p w14:paraId="32B9850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964" w:type="dxa"/>
            <w:vMerge w:val="restart"/>
            <w:tcBorders>
              <w:top w:val="single" w:color="auto" w:sz="12" w:space="0"/>
            </w:tcBorders>
            <w:vAlign w:val="center"/>
          </w:tcPr>
          <w:p w14:paraId="5BDD7544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75BF4F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543D4705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E763AC5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3529" w:type="dxa"/>
            <w:vMerge w:val="continue"/>
          </w:tcPr>
          <w:p w14:paraId="7706C13E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</w:tcPr>
          <w:p w14:paraId="4475733B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308DAB8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90326F0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D48F4C2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095229D8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86A3E1F">
            <w:pPr>
              <w:widowControl w:val="0"/>
              <w:snapToGrid w:val="0"/>
              <w:spacing w:line="48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第一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围棋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规则</w:t>
            </w:r>
          </w:p>
        </w:tc>
        <w:tc>
          <w:tcPr>
            <w:tcW w:w="3529" w:type="dxa"/>
            <w:vAlign w:val="center"/>
          </w:tcPr>
          <w:p w14:paraId="326296E0">
            <w:pPr>
              <w:widowControl w:val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现场演示及</w:t>
            </w:r>
            <w:r>
              <w:rPr>
                <w:rFonts w:hint="eastAsia"/>
                <w:color w:val="000000"/>
                <w:sz w:val="20"/>
              </w:rPr>
              <w:t>课堂讲授</w:t>
            </w:r>
          </w:p>
        </w:tc>
        <w:tc>
          <w:tcPr>
            <w:tcW w:w="964" w:type="dxa"/>
            <w:vAlign w:val="center"/>
          </w:tcPr>
          <w:p w14:paraId="49FFA42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4BFDE0E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9FAEB9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97687D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CF5568E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C3DC014">
            <w:pPr>
              <w:widowControl w:val="0"/>
              <w:numPr>
                <w:ilvl w:val="0"/>
                <w:numId w:val="0"/>
              </w:numPr>
              <w:snapToGrid w:val="0"/>
              <w:spacing w:line="48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第二单元行棋常规</w:t>
            </w:r>
          </w:p>
        </w:tc>
        <w:tc>
          <w:tcPr>
            <w:tcW w:w="3529" w:type="dxa"/>
            <w:vAlign w:val="center"/>
          </w:tcPr>
          <w:p w14:paraId="19D4DE40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分组对弈练习和讲解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64" w:type="dxa"/>
            <w:vAlign w:val="center"/>
          </w:tcPr>
          <w:p w14:paraId="2C60FBA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07D1CF9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803D40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788821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1C1E32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CAA5F74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三单元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围棋历史</w:t>
            </w:r>
          </w:p>
        </w:tc>
        <w:tc>
          <w:tcPr>
            <w:tcW w:w="3529" w:type="dxa"/>
            <w:vAlign w:val="center"/>
          </w:tcPr>
          <w:p w14:paraId="3E1624AC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围棋礼仪展示，课堂试讲练习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64" w:type="dxa"/>
            <w:vAlign w:val="center"/>
          </w:tcPr>
          <w:p w14:paraId="13AAB5E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136F0DE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A8F125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59F6DB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4527B2A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63AF639">
            <w:pPr>
              <w:pStyle w:val="14"/>
              <w:widowControl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四单元启蒙教学</w:t>
            </w:r>
          </w:p>
        </w:tc>
        <w:tc>
          <w:tcPr>
            <w:tcW w:w="3529" w:type="dxa"/>
            <w:vAlign w:val="center"/>
          </w:tcPr>
          <w:p w14:paraId="16545FF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经典棋局赏析，小组复盘交流。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default" w:ascii="Times New Roman" w:hAnsi="Times New Roman"/>
                <w:bCs/>
                <w:sz w:val="21"/>
                <w:szCs w:val="21"/>
              </w:rPr>
              <w:t>运用英语讲解围棋。</w:t>
            </w:r>
          </w:p>
        </w:tc>
        <w:tc>
          <w:tcPr>
            <w:tcW w:w="964" w:type="dxa"/>
            <w:vAlign w:val="center"/>
          </w:tcPr>
          <w:p w14:paraId="7F5A4AE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49E4CFB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70CF9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0A5418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F18FBD5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E94133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A4CA6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5D12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E596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83A8F2E">
      <w:pPr>
        <w:pStyle w:val="17"/>
        <w:spacing w:before="326" w:beforeLines="100" w:after="163"/>
      </w:pPr>
      <w:r>
        <w:rPr>
          <w:rFonts w:hint="eastAsia"/>
        </w:rPr>
        <w:t>（四）课内实</w:t>
      </w:r>
      <w:r>
        <w:rPr>
          <w:rFonts w:hint="eastAsia"/>
          <w:lang w:val="en-US" w:eastAsia="zh-CN"/>
        </w:rPr>
        <w:t>训</w:t>
      </w:r>
      <w:r>
        <w:rPr>
          <w:rFonts w:hint="eastAsia"/>
        </w:rPr>
        <w:t>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841B32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7CB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D27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1AAB">
            <w:pPr>
              <w:pStyle w:val="13"/>
              <w:rPr>
                <w:szCs w:val="16"/>
              </w:rPr>
            </w:pPr>
            <w:r>
              <w:rPr>
                <w:rFonts w:hint="eastAsia" w:ascii="SimHei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7B6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69049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A68766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2123C2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3F3A633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0D6D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AC6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围棋礼仪和规则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49DD">
            <w:pPr>
              <w:ind w:right="-50" w:rightChars="0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围棋执子手势和坐姿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训练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068E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FFB29B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演示型</w:t>
            </w:r>
          </w:p>
        </w:tc>
      </w:tr>
      <w:tr w14:paraId="28457F6C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DDDA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D43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9路棋盘对弈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9F3D"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练习基本的行棋方法和死活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FA7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F6794C0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实战训练</w:t>
            </w:r>
          </w:p>
        </w:tc>
      </w:tr>
      <w:tr w14:paraId="74422A91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7176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D42C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围棋历史文化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496B">
            <w:pPr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学生课堂活动设计与展示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EA5F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8ECA43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设计型</w:t>
            </w:r>
          </w:p>
        </w:tc>
      </w:tr>
      <w:tr w14:paraId="516A2A2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2E07">
            <w:pPr>
              <w:pStyle w:val="14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2C0D">
            <w:pPr>
              <w:snapToGrid w:val="0"/>
              <w:spacing w:before="156" w:beforeLines="50" w:after="156" w:afterLines="50" w:line="288" w:lineRule="auto"/>
              <w:jc w:val="both"/>
              <w:rPr>
                <w:rFonts w:cs="宋体" w:asciiTheme="minorEastAsia" w:hAnsiTheme="minorEastAsia" w:eastAsiaTheme="minorEastAsia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试讲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训练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5ACF">
            <w:pPr>
              <w:snapToGrid w:val="0"/>
              <w:spacing w:before="156" w:beforeLines="50" w:after="156" w:afterLines="50" w:line="288" w:lineRule="auto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围棋入门课的试讲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F82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A4D42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演示型</w:t>
            </w:r>
          </w:p>
        </w:tc>
      </w:tr>
      <w:tr w14:paraId="74C1021A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2CD3">
            <w:pPr>
              <w:pStyle w:val="13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eastAsia"/>
              </w:rPr>
              <w:t xml:space="preserve">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F262367">
      <w:pPr>
        <w:pStyle w:val="16"/>
        <w:spacing w:before="326" w:beforeLines="100" w:line="360" w:lineRule="auto"/>
        <w:ind w:firstLine="140" w:firstLineChars="50"/>
        <w:rPr>
          <w:rFonts w:ascii="SimHei" w:hAnsi="宋体"/>
        </w:rPr>
      </w:pPr>
      <w:bookmarkStart w:id="2" w:name="OLE_LINK1"/>
      <w:bookmarkStart w:id="3" w:name="OLE_LINK2"/>
      <w:r>
        <w:rPr>
          <w:rFonts w:hint="eastAsia" w:ascii="SimHei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B0FCE2A">
        <w:trPr>
          <w:trHeight w:val="1128" w:hRule="atLeast"/>
        </w:trPr>
        <w:tc>
          <w:tcPr>
            <w:tcW w:w="8276" w:type="dxa"/>
            <w:vAlign w:val="center"/>
          </w:tcPr>
          <w:p w14:paraId="7590302D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《棋经十三篇》自序中，张靖引用桓谭《新论》：“世有围棋之戏，或言是兵法之类。上者，远其疏张，置以会围，因而成得道之胜；中者，则务相绝遮要，以争便求利，故胜负狐疑，须计数以定；下者，则守边隅，趍作罫以自生于小地。”可谓旗帜鲜明地强调围棋的全局和大局，重视围棋的中腹。桓谭是东汉哲学家。他通音律，善鼓琴，博学多通，遍习五经。从语言学的角度看，语篇的首句和末句往往都是关键句。将所引用的经典话语放在段落最后一句，往往是为了突出主题和思想。</w:t>
            </w:r>
          </w:p>
          <w:p w14:paraId="0F7B62A8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《新论》道賦第十二諺曰：侏儒見一節，而長短可知。孔子言：“舉一隅足以三隅反”。可见把孔子这句话用在围棋上，也特别合适。《棋经十三篇》中所引用的儒家经典，说明宋代儒学对围棋的理解和态度。值得注意的是，琴道第十六有“昔神農氏繼宓義而王天下，亦上觀法於天，下取法於地，近取諸身，遠取諸物，於是始削桐為琴，繩絲為弦，以通神明之德，合天地之和焉。（琴長）三尺六寸有六分，象期之數。厚寸有八，象三六數。廣六寸，象六律。上圓而斂，法天。下方而平，法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0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”。这里描述古琴的说法与围棋的象征极为一致，用棋盘模拟世界。可以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大胆推测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围棋棋盘19路至少不晚于这个时期。</w:t>
            </w:r>
          </w:p>
          <w:p w14:paraId="2F288E0D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“日日新”是棋局篇中篇未引用的典故，此句出自《礼记》第四十二篇。宋代二程兄弟从《礼记》中把《大学》单独选出来。宋代《大学》、《论语》、《孟子》、《中庸》为“四书”，必读教科书。作者曾参(前505年-435年) 十六岁拜孔子为师。他的修齐治平的政治观，省身慎独的修养观，以孝为本的孝道观有广泛而深远的影响。</w:t>
            </w:r>
          </w:p>
          <w:p w14:paraId="21A2AB3F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原句为：汤之盘铭曰：“苟日新，日日新，又日新”。意思是：商汤王刻在洗澡盆上的箴言说“如果能够一天新，就应保持天天新，新了还要更新”。从日常生活中的洗澡引申到精神和品德上的修炼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1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。这里可以看出作者引用“日日新”绝不是简单讲围棋的复杂变化和千古无同局的一层含义。修身养性更是围棋之道。正如当今中国，是正在发生深刻变革的国家。我们的先人早就提出了“天行健，君子以自强不息”的思想，强调要“苟日新，日日新，又日新”。在激烈的国际竞争中前行，就如同逆水行舟，不进则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2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。</w:t>
            </w:r>
          </w:p>
          <w:p w14:paraId="549B05F9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权舆篇第三引用“先于四隅分定势子”与《論語》子曰“不愤不启，不悱不发。举一隅不以三隅反，则不复也”。孔子认为：“培养学生，不到他想弄明白而不得的时候，不去开导他；不到他想出来却说不出来的时候，不去启发他。在围棋复盘中教给他一个角部的变化，他如果不能由此而推知其他三个角部，那就不要继续复盘了。”孔子注重启发教育，同时也强调学习者的主动性。运用棋盘上的道理，阐述他的教育理念。不仅说明孔子会下围棋，而且孔子的棋艺水平一定不低。从“尧造围棋”的传说中，我们可以理解为围棋是一种教育工具或教育活动。“举一隅不以三隅反”在围棋棋盘上更加显得生动。</w:t>
            </w:r>
          </w:p>
          <w:p w14:paraId="66F5E075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得算篇第二“少算不胜”出自《孙子兵法·始计第一》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。孙子曰：夫未战而庙算胜者，得算多也；未战而庙算不胜者，得算少也。多算胜，少算不胜，而况于无算乎！吾以此观之，胜负见矣。《孙子兵法》被译成英文“The Art of War”，是中国古典军事文化遗产和中国优秀文化传统的重要组成部分，与克劳塞维茨《战争论》和宫本武藏《五轮书》合称世界三大兵书。句中“庙算”指古代兴师作战之前，通常要在庙堂里商议谋划，分析战争的利害得失，制定作战方略。当今日常生活居家过日子，也有流传甚广的古语：“吃不穷，花不穷，就怕算不到”。长远的规划和全球视野也是我们今天所缺的。眼下中国经济转型期，短期行为和急功近利还比较普遍。</w:t>
            </w:r>
          </w:p>
          <w:p w14:paraId="38500638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权舆篇未句用“靡不有初，鲜克有终 ”。中国古代第一部诗歌总集《诗经·大雅·荡》全诗八章，每章八句，每句四或五字。此句出自第一章“荡荡上帝，下民之辟。疾威上帝，其命多辟。天生烝民，其命匪谌。靡不有初，鲜克有终”。意思是：刚开始做的时候都能有一个好的开始，但很少有人能坚持到最后。多用以告诫人们为人要善始至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4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。</w:t>
            </w:r>
          </w:p>
          <w:p w14:paraId="71A61B8C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合战篇第四“惴惴小心，如临于谷”出自《诗经·小雅·小宛》。这是一首父母离世后劝告兄弟小心避祸的诗歌。全诗六章，每章六句，每句四字。此句出自第六章“温温恭人，如集于木。惴惴小心，如临于谷。战战兢兢，如履薄冰”。意思是：温和恭谨那些人，就像站在高树上。担心害怕真警惕，就像身临深谷旁。心惊胆战太不安，如踩薄冰恐沦丧。朱熹《集传》认为这是一首“大夫遭时之乱，而兄弟相戒以免祸之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5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”。</w:t>
            </w:r>
          </w:p>
          <w:p w14:paraId="7D44CC93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虚实篇第五“见可而行，知难而退，军之善政也。”出自《左传·宣公十二年》。春秋时期，晋国和楚国为争夺霸权相互进行战争，郑国处于他们之间，他依附晋国，楚国就派兵征服它。原指作战时根据机遇而行动，不要去做客观上是不可能的或很难完成的，但是后来被误解为是指因为遇到某些事情而不愿意去完成的借口，目前是经常是用后者含义。北宋时期军事上消极防御，照搬古代阵法，不能随机而动的弊端。虽在谈棋，但读者自然可以联想到时政的弊端。</w:t>
            </w:r>
          </w:p>
          <w:p w14:paraId="4A301CF4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自知篇第六引用“自知者明”出自老子《道德经》第三十三章“知人者智，自知者明。胜人者有力，自胜者强。知足者富。强行者有志。不失其所者久。死而不亡者寿” 这也道出了修身养性的极高境界。</w:t>
            </w:r>
          </w:p>
          <w:p w14:paraId="46A00D1F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审局篇第七的“穷则变，变则通，通则久”出自《周易·系辞下》。中国古代朴素唯物主义思想的发源地。其意思是指事物在时间上是不以人的意志为转移而发生变化的。即为“变通”。“变通”当今仍然极具通用性。告诫人们遇事不必死钻牛角，而应该懂得通融、屈伸。正如《敦煌棋经》中的“棋有弃一之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6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”。</w:t>
            </w:r>
          </w:p>
          <w:p w14:paraId="732047D4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度情篇第八“他人有心，予忖度之” 出自《诗经·小雅·巧言》别人有什麽心思，我能揣测出。讽刺周幽王听信谗言，小人厚颜无耻，搬弄是非，酿成祸乱。全诗六章，每章八句，每句四字。此句出自第四章“奕奕寝庙，君子作之。秩秩大猷，圣人莫之。他人有心，予忖度之。跃跃毚兔，遇犬获之。” 第五章为“荏染柔木，君子树之。往来行言，心焉数之。蛇蛇硕言，出自口矣。巧言如簧，颜之厚矣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7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”。可喻忠良被奸臣所害，宋代“一朝天子一朝臣”的现象。</w:t>
            </w:r>
          </w:p>
          <w:p w14:paraId="76BC7759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斜正篇第九引用“正而不谲”出自孔子《论语·宪问》。子曰“晋文公谲而不正，齐桓公正而不谲”。晋文公（公元前636-前628年）和齐桓公（公元前685-前643年）都是春秋时期的政治家，著名的霸主。孔子主张“礼乐征伐自天子出”。晋文公称霸后违反礼制召见周天子，而齐桓公以“尊王”的旗号称霸符合礼制。孔子认为“谲”为欺诈和玩弄手段，是不可以被接受的。宋代士大夫们在围棋上也认为“正而不谲”是重要的。其实这是人类进步的表现。不仅注重目的的正当性，而且注重所用手段的正当性。这在当今看来，也是极具积极意义的。</w:t>
            </w:r>
          </w:p>
          <w:p w14:paraId="70558D4F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洞微篇第十“非天下之至精，其孰能与于此”出自《易经·系辞》五十六 “无有远近幽深遂知来物， 非天下之至精，其孰能与于此”。指精微的人或事物无论处在什么样的空间和时间、都将把求问的结果告知。因为《易经》所阐述的道，使人类对未知的世界有了预知的可能。“非天下之至精，其孰能与于此”者，围棋自然是道。如果不是道，精微如此，还有什么可以做到呢?</w:t>
            </w:r>
          </w:p>
          <w:p w14:paraId="7961F4C3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名数篇第十一“必也，名正乎！”出于《论语.子路篇第十三》，子路曰“卫君待子而为政，子将奚先?”子曰“必也，正名乎！” 子路曰“有是哉?子之迂也！奚其正?”子曰“野哉，由也！君子于其所不知，盖阙如也。名不正,则言不顺；言不顺,则事不成；事不成,则礼乐不兴；礼乐不兴，则刑罚不中；刑罚不中，则民无所措手足。故君子名之必可言也，言之必可行也。君子于其言，无所苟而已矣！”</w:t>
            </w:r>
          </w:p>
          <w:p w14:paraId="0E25D541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品格篇第十二引用孔子的：“生而知之者，上也；学而知之者，次也；困而学之，又其次也；困而不学，民斯为下矣。” 孔子的意思是说：“天生就懂得的人最聪明，通过学习而懂得的人次一等，遇到困难才去学习的人又次一等。遇到困难还不学习，就是下等的愚民。” 但是他承认自己是经过学习之后才知道的。他希望人们勤奋好学，不要等遇到困难再去学习。</w:t>
            </w:r>
          </w:p>
          <w:p w14:paraId="63C59A5E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杂说篇第十三引用《周易·系辞下》“君子安而不忘危，存而不忘亡，治而不忘乱，是以身安而国家可保业。”这句话就是说一个有道德有修养的人在安稳、安定的时候不能够忘记危险、危机的时刻。居安思危，在情况好的时候要随时想着不好的时候,这样才能让人随时保持一种警惕意识,和一种不断向前进的动力。</w:t>
            </w:r>
          </w:p>
          <w:p w14:paraId="764BA8DC">
            <w:pPr>
              <w:widowControl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跋用“犹盘中走圆，横斜曲直，系于临时，不尽可知。而必可知者，是圆不能出于盘也。”参考杜牧《樊川文集》卷十《注孙子序》“犹盘中走丸，横斜曲直，计于临时，不尽可知。其必可知者，是知丸不能出于盘也。”“走丸”比喻事势发展顺利而快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"/>
              </w:rPr>
              <w:footnoteReference w:id="8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总之，围棋与修身养性密切联系在一起，围棋之道就是养生知性的方法。《棋经十三篇》不仅仅是一篇关于对弈理论的集大成者。正如其跋所说的那样，人人能诵此十三篇，并被历代棋家视为圭皋。因棋与修身养性有关，当今亦有十分深远的人生指导意义。</w:t>
            </w:r>
          </w:p>
          <w:p w14:paraId="400482D8">
            <w:pPr>
              <w:pStyle w:val="14"/>
              <w:widowControl w:val="0"/>
              <w:jc w:val="left"/>
            </w:pPr>
          </w:p>
          <w:p w14:paraId="62A0E708">
            <w:pPr>
              <w:pStyle w:val="14"/>
              <w:widowControl w:val="0"/>
              <w:jc w:val="left"/>
            </w:pPr>
          </w:p>
          <w:p w14:paraId="33DF0B0B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757F249C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E2DBCFB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CC50B5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67007A4C">
            <w:pPr>
              <w:pStyle w:val="16"/>
              <w:widowControl w:val="0"/>
              <w:spacing w:line="240" w:lineRule="auto"/>
              <w:jc w:val="center"/>
              <w:rPr>
                <w:rFonts w:ascii="SimHei" w:hAnsi="宋体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65DA407">
            <w:pPr>
              <w:pStyle w:val="16"/>
              <w:widowControl w:val="0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78A01CD">
            <w:pPr>
              <w:pStyle w:val="16"/>
              <w:widowControl w:val="0"/>
              <w:spacing w:line="240" w:lineRule="auto"/>
              <w:jc w:val="center"/>
              <w:rPr>
                <w:rFonts w:ascii="SimHei" w:hAnsi="宋体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6AAC3C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</w:p>
        </w:tc>
      </w:tr>
      <w:tr w14:paraId="798752BB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69D3ED6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654D563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00A38F9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13B00E6">
            <w:pPr>
              <w:pStyle w:val="16"/>
              <w:widowControl w:val="0"/>
              <w:spacing w:line="240" w:lineRule="auto"/>
              <w:jc w:val="center"/>
              <w:rPr>
                <w:rFonts w:hint="eastAsia" w:ascii="SimHei" w:hAnsi="SimHei"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B3FA71B">
            <w:pPr>
              <w:pStyle w:val="16"/>
              <w:widowControl w:val="0"/>
              <w:spacing w:line="240" w:lineRule="auto"/>
              <w:jc w:val="center"/>
              <w:rPr>
                <w:rFonts w:hint="eastAsia" w:ascii="SimHei" w:hAnsi="SimHei"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7F831D91">
            <w:pPr>
              <w:pStyle w:val="16"/>
              <w:widowControl w:val="0"/>
              <w:spacing w:line="240" w:lineRule="auto"/>
              <w:jc w:val="center"/>
              <w:rPr>
                <w:rFonts w:hint="eastAsia" w:ascii="SimHei" w:hAnsi="SimHei"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05A5F0F0">
            <w:pPr>
              <w:pStyle w:val="16"/>
              <w:widowControl w:val="0"/>
              <w:spacing w:line="240" w:lineRule="auto"/>
              <w:jc w:val="center"/>
              <w:rPr>
                <w:rFonts w:hint="eastAsia" w:ascii="SimHei" w:hAnsi="SimHei"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3C79CF9C">
            <w:pPr>
              <w:pStyle w:val="16"/>
              <w:widowControl w:val="0"/>
              <w:spacing w:line="240" w:lineRule="auto"/>
              <w:jc w:val="center"/>
              <w:rPr>
                <w:rFonts w:hint="eastAsia" w:ascii="SimHei" w:hAnsi="SimHei"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5A28A6B0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AA22EE3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14:paraId="7331A07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BA40E9E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23321D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6CB4CC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24232E">
            <w:pPr>
              <w:pStyle w:val="14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C77731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A9390C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AE741E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7C8F782">
            <w:pPr>
              <w:pStyle w:val="14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10FD3A9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DD78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05F598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2270174">
            <w:pPr>
              <w:widowControl w:val="0"/>
              <w:snapToGrid w:val="0"/>
              <w:jc w:val="center"/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6101BC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70558AA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作业2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4F48D8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228EA57">
            <w:pPr>
              <w:pStyle w:val="14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3AB2805">
            <w:pPr>
              <w:pStyle w:val="14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165AE8D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E206BD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C9F4F90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E623F8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074F0A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70B9ACB">
            <w:pPr>
              <w:widowControl w:val="0"/>
              <w:snapToGrid w:val="0"/>
              <w:jc w:val="center"/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07AE7B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F647B61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作业3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01FD9F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33FBF33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4E4F32E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520E6FA">
            <w:pPr>
              <w:pStyle w:val="14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4C1D0F1D">
            <w:pPr>
              <w:pStyle w:val="14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09E7E2A7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0BC67D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4C12F7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F251AD1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A1E729">
            <w:pPr>
              <w:pStyle w:val="14"/>
              <w:widowControl w:val="0"/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B0E21F1">
            <w:pPr>
              <w:pStyle w:val="14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96D3E9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06C39C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FF26FE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D660F7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BCC13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66E52B0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A263CFA">
            <w:pPr>
              <w:pStyle w:val="14"/>
              <w:widowControl w:val="0"/>
            </w:pPr>
          </w:p>
        </w:tc>
      </w:tr>
      <w:tr w14:paraId="01033CE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76A6C13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02B20A0">
            <w:pPr>
              <w:pStyle w:val="14"/>
              <w:widowControl w:val="0"/>
            </w:pP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4B29B327">
            <w:pPr>
              <w:pStyle w:val="14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9516D3A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CD5255E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E6CC248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C58E29B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05FB358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40221A9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1D8AFF3">
            <w:pPr>
              <w:pStyle w:val="14"/>
              <w:widowControl w:val="0"/>
            </w:pPr>
          </w:p>
        </w:tc>
      </w:tr>
      <w:tr w14:paraId="380A8F3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458502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6905E38">
            <w:pPr>
              <w:pStyle w:val="14"/>
              <w:widowControl w:val="0"/>
            </w:pP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6361319A">
            <w:pPr>
              <w:pStyle w:val="14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6A9CF44A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D74C95C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D617D4D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4A670B2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20FFF78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10AE66A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CA9DFF">
            <w:pPr>
              <w:pStyle w:val="14"/>
              <w:widowControl w:val="0"/>
            </w:pPr>
          </w:p>
        </w:tc>
      </w:tr>
    </w:tbl>
    <w:p w14:paraId="12CDC8DA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53C71A1">
        <w:tc>
          <w:tcPr>
            <w:tcW w:w="8296" w:type="dxa"/>
          </w:tcPr>
          <w:p w14:paraId="7E33BEA7">
            <w:pPr>
              <w:widowControl/>
              <w:numPr>
                <w:ilvl w:val="0"/>
                <w:numId w:val="0"/>
              </w:numPr>
              <w:spacing w:line="276" w:lineRule="auto"/>
              <w:ind w:leftChars="0" w:firstLine="2523" w:firstLineChars="1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1"/>
                <w:szCs w:val="21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围棋的本质及其教育属性</w:t>
            </w:r>
          </w:p>
          <w:p w14:paraId="10A7C1A7">
            <w:pPr>
              <w:widowControl/>
              <w:numPr>
                <w:ilvl w:val="0"/>
                <w:numId w:val="0"/>
              </w:numPr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从本质上讲，围棋是一种探索世界与认识自己的工具和方式。这里的世界不仅仅指我们每个人之外的大千世界，而且包含自己的内部世界。这一工具可以帮助我们发现外部世界和内部世界的各种现象，以及他们之间的关系。有人说，人们在对弈的过程中，可以体会到七情六欲，可以感概世事无常，可以体会到矛盾无处不在，变化莫测。它模拟了一个我们的真实世界，并用最小的代价，帮我们认识自我、认识世界，从而学会从容面对未知世界的挑战。从这个意义上讲，围棋也是一种关于生命的教育。黑白轮流，是一种直观的昼夜更替，它是一个时间的维度。19路棋盘虽然是一个二维的平面，加上时间的维度，就构成了一个特殊的三维世界。对弈者的加入，这一重要维度，就完全模拟了一个我们所处的四维空间的世界。</w:t>
            </w:r>
          </w:p>
          <w:p w14:paraId="3862632D">
            <w:pPr>
              <w:widowControl/>
              <w:numPr>
                <w:ilvl w:val="0"/>
                <w:numId w:val="0"/>
              </w:numPr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育的过程就是教师与学生一起学习和进步的过程，而且彼此能够互相欣赏。这种境界是我们所追求的。其判段的标准应该是我们自身的修身境界的提高，也就是我们体悟的加深。面临一个新时代，慢慢学会真真了解自己的一切。这其实也就是我国传统教育理念所强调的教学相长。教师首先需要抱着一种欣赏的眼光参与到学生的学习活动中，哪怕是一种不符合规范的行为或者习惯，或者态度。教师坚持用一种欣赏的眼光和心境对待教育过程中的一切，正如我们传统所强调的“不宜执意”，不必过于看重胜负。怀有一种“无心”的境界，真心地投入这种学习的过程。然而这种道理说起来容易，做起来总是不知不觉随着棋局的进展，慢慢地忘记了自己的初衷，慢慢陷入棋局之中，而做不到旁观者清的境界。反复的陷入和跳出，这样的过程九可以让一个人更加认识自己。</w:t>
            </w:r>
          </w:p>
          <w:p w14:paraId="424D97FC">
            <w:pPr>
              <w:widowControl/>
              <w:numPr>
                <w:ilvl w:val="0"/>
                <w:numId w:val="0"/>
              </w:numPr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EE11B55">
            <w:pPr>
              <w:pStyle w:val="14"/>
              <w:widowControl w:val="0"/>
              <w:jc w:val="left"/>
              <w:rPr>
                <w:rFonts w:ascii="SimHei"/>
              </w:rPr>
            </w:pPr>
          </w:p>
        </w:tc>
      </w:tr>
    </w:tbl>
    <w:p w14:paraId="1CCF2F5D">
      <w:pPr>
        <w:pStyle w:val="16"/>
        <w:rPr>
          <w:rFonts w:hint="eastAsia" w:ascii="SimHei" w:hAnsi="宋体"/>
          <w:sz w:val="18"/>
          <w:szCs w:val="16"/>
        </w:rPr>
      </w:pPr>
    </w:p>
    <w:sectPr>
      <w:head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ungsuh">
    <w:altName w:val="Apple SD Gothic Neo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1ED93F27">
      <w:pPr>
        <w:rPr>
          <w:rFonts w:cs="Times New Roman" w:asciiTheme="minorEastAsia" w:hAnsiTheme="minorEastAsia"/>
          <w:szCs w:val="21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cs="Gungsuh" w:asciiTheme="minorEastAsia" w:hAnsiTheme="minorEastAsia"/>
          <w:szCs w:val="21"/>
        </w:rPr>
        <w:t>[汉]桓谭，黄霖和李力，校点，《新论》上海：上海人民出版社，1977年，</w:t>
      </w:r>
      <w:r>
        <w:rPr>
          <w:rFonts w:cs="Times New Roman" w:asciiTheme="minorEastAsia" w:hAnsiTheme="minorEastAsia"/>
          <w:szCs w:val="21"/>
        </w:rPr>
        <w:t>p63</w:t>
      </w:r>
    </w:p>
  </w:footnote>
  <w:footnote w:id="1">
    <w:p w14:paraId="17CFE010">
      <w:pPr>
        <w:rPr>
          <w:rFonts w:cs="Times New Roman" w:asciiTheme="minorEastAsia" w:hAnsiTheme="minorEastAsia"/>
          <w:szCs w:val="21"/>
        </w:rPr>
      </w:pPr>
      <w:r>
        <w:rPr>
          <w:rFonts w:asciiTheme="minorEastAsia" w:hAnsiTheme="minorEastAsia"/>
          <w:szCs w:val="21"/>
          <w:vertAlign w:val="superscript"/>
        </w:rPr>
        <w:footnoteRef/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Gungsuh" w:asciiTheme="minorEastAsia" w:hAnsiTheme="minorEastAsia"/>
          <w:szCs w:val="21"/>
        </w:rPr>
        <w:t>古诗文网 http://www.gushiwen.org</w:t>
      </w:r>
    </w:p>
  </w:footnote>
  <w:footnote w:id="2">
    <w:p w14:paraId="743B7D40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Theme="minorEastAsia" w:hAnsiTheme="minorEastAsia"/>
          <w:szCs w:val="21"/>
          <w:vertAlign w:val="superscript"/>
        </w:rPr>
        <w:footnoteRef/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Gungsuh" w:asciiTheme="minorEastAsia" w:hAnsiTheme="minorEastAsia"/>
          <w:szCs w:val="21"/>
        </w:rPr>
        <w:t>习近平，《在布鲁日欧洲学院的演讲》，新华网，http://news.xinhuanet.com，2014年4月</w:t>
      </w:r>
    </w:p>
  </w:footnote>
  <w:footnote w:id="3">
    <w:p w14:paraId="04443D73">
      <w:pPr>
        <w:rPr>
          <w:rFonts w:cs="Times New Roman" w:asciiTheme="minorEastAsia" w:hAnsiTheme="minorEastAsia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cs="Gungsuh" w:asciiTheme="minorEastAsia" w:hAnsiTheme="minorEastAsia"/>
          <w:sz w:val="20"/>
          <w:szCs w:val="20"/>
        </w:rPr>
        <w:t>陈才俊主编，《孙子兵法全集》，北京：海潮出版社，2007年5月</w:t>
      </w:r>
    </w:p>
  </w:footnote>
  <w:footnote w:id="4">
    <w:p w14:paraId="57A873C1">
      <w:pPr>
        <w:rPr>
          <w:rFonts w:cs="Times New Roman" w:asciiTheme="minorEastAsia" w:hAnsiTheme="minorEastAsia"/>
          <w:sz w:val="20"/>
          <w:szCs w:val="20"/>
        </w:rPr>
      </w:pPr>
      <w:r>
        <w:rPr>
          <w:rFonts w:asciiTheme="minorEastAsia" w:hAnsiTheme="minorEastAsia"/>
          <w:vertAlign w:val="superscript"/>
        </w:rPr>
        <w:footnoteRef/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cs="Gungsuh" w:asciiTheme="minorEastAsia" w:hAnsiTheme="minorEastAsia"/>
          <w:sz w:val="20"/>
          <w:szCs w:val="20"/>
        </w:rPr>
        <w:t>向熹 译注，《诗经》，北京：高等教育出版社，2008年12月，p311</w:t>
      </w:r>
    </w:p>
  </w:footnote>
  <w:footnote w:id="5">
    <w:p w14:paraId="4D441E9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vertAlign w:val="superscript"/>
        </w:rPr>
        <w:footnoteRef/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cs="Gungsuh" w:asciiTheme="minorEastAsia" w:hAnsiTheme="minorEastAsia"/>
          <w:sz w:val="20"/>
          <w:szCs w:val="20"/>
        </w:rPr>
        <w:t>向熹 译注，《诗经》，北京：高等教育出版社，2008年12月，p211</w:t>
      </w:r>
    </w:p>
  </w:footnote>
  <w:footnote w:id="6">
    <w:p w14:paraId="3934D36B">
      <w:pPr>
        <w:rPr>
          <w:sz w:val="20"/>
          <w:szCs w:val="20"/>
        </w:rPr>
      </w:pPr>
      <w:r>
        <w:rPr>
          <w:rFonts w:asciiTheme="minorEastAsia" w:hAnsiTheme="minorEastAsia"/>
          <w:vertAlign w:val="superscript"/>
        </w:rPr>
        <w:footnoteRef/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cs="Calibri" w:asciiTheme="minorEastAsia" w:hAnsiTheme="minorEastAsia"/>
          <w:szCs w:val="21"/>
        </w:rPr>
        <w:t>成恩元，《敦煌棋经笺证》成都：蜀蓉棋艺出版社，1990年4月，p237</w:t>
      </w:r>
    </w:p>
  </w:footnote>
  <w:footnote w:id="7">
    <w:p w14:paraId="6D5BCD0A">
      <w:pPr>
        <w:rPr>
          <w:rFonts w:asciiTheme="minorEastAsia" w:hAnsiTheme="minorEastAs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hAnsi="Arial Unicode MS" w:eastAsia="Arial Unicode MS" w:cs="Arial Unicode MS"/>
          <w:sz w:val="20"/>
          <w:szCs w:val="20"/>
        </w:rPr>
        <w:t xml:space="preserve"> </w:t>
      </w:r>
      <w:r>
        <w:rPr>
          <w:rFonts w:cs="Arial Unicode MS" w:asciiTheme="minorEastAsia" w:hAnsiTheme="minorEastAsia"/>
          <w:sz w:val="20"/>
          <w:szCs w:val="20"/>
        </w:rPr>
        <w:t>向熹译注，《诗经》北京：高等教育出版社，2008年12月，p216</w:t>
      </w:r>
    </w:p>
  </w:footnote>
  <w:footnote w:id="8">
    <w:p w14:paraId="2DB6C13B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Theme="minorEastAsia" w:hAnsiTheme="minorEastAsia"/>
          <w:vertAlign w:val="superscript"/>
        </w:rPr>
        <w:footnoteRef/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cs="Gungsuh" w:asciiTheme="minorEastAsia" w:hAnsiTheme="minorEastAsia"/>
          <w:sz w:val="20"/>
          <w:szCs w:val="20"/>
        </w:rPr>
        <w:t>此处将“丸”字改为“圆”字，可能属于北宋钦宗赵桓的避讳。值得注意的是，宋本刊印时将桓谭《新论》改为用“言谭”，疑似类同。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8148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6C431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46C431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CD21D"/>
    <w:multiLevelType w:val="singleLevel"/>
    <w:tmpl w:val="150CD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CFFB54"/>
    <w:multiLevelType w:val="singleLevel"/>
    <w:tmpl w:val="2DCFFB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6691B6F"/>
    <w:multiLevelType w:val="singleLevel"/>
    <w:tmpl w:val="66691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7BCA77"/>
    <w:multiLevelType w:val="singleLevel"/>
    <w:tmpl w:val="6F7BCA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18"/>
    <w:footnote w:id="1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B580837"/>
    <w:rsid w:val="39A66CD4"/>
    <w:rsid w:val="3CD52CE1"/>
    <w:rsid w:val="410F2E6A"/>
    <w:rsid w:val="4430136C"/>
    <w:rsid w:val="4AB0382B"/>
    <w:rsid w:val="569868B5"/>
    <w:rsid w:val="611F6817"/>
    <w:rsid w:val="66CA1754"/>
    <w:rsid w:val="6A565CFB"/>
    <w:rsid w:val="6F1E65D4"/>
    <w:rsid w:val="6F266C86"/>
    <w:rsid w:val="6F5042C2"/>
    <w:rsid w:val="74316312"/>
    <w:rsid w:val="780F13C8"/>
    <w:rsid w:val="7B17796C"/>
    <w:rsid w:val="7C385448"/>
    <w:rsid w:val="7CB3663D"/>
    <w:rsid w:val="7CC731AE"/>
    <w:rsid w:val="FFDBD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2024-10-13T11:06:40Z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6732810561C04D15810DAD3AACFBD882_13</vt:lpwstr>
  </property>
</Properties>
</file>