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4771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会计学B25-3;会计学B25-5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二教307、三教304、二教308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  <w:t>云班课：3570270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张静昕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618A5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46914E1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467971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1363</Words>
  <Characters>1606</Characters>
  <Lines>2</Lines>
  <Paragraphs>1</Paragraphs>
  <TotalTime>3</TotalTime>
  <ScaleCrop>false</ScaleCrop>
  <LinksUpToDate>false</LinksUpToDate>
  <CharactersWithSpaces>1665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2025-09-12T02:39:13Z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3624DB69C40C41509980E6639B5C0FE7_13</vt:lpwstr>
  </property>
</Properties>
</file>