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B2881">
      <w:pPr>
        <w:jc w:val="center"/>
        <w:rPr>
          <w:rFonts w:ascii="Times New Roman" w:hAnsi="Times New Roman" w:eastAsia="黑体" w:cs="Times New Roman"/>
          <w:bCs/>
          <w:sz w:val="32"/>
          <w:szCs w:val="32"/>
        </w:rPr>
      </w:pPr>
      <w:r>
        <w:rPr>
          <w:rFonts w:ascii="Times New Roman" w:hAnsi="Times New Roman" w:eastAsia="黑体" w:cs="Times New Roman"/>
          <w:bCs/>
          <w:sz w:val="32"/>
          <w:szCs w:val="32"/>
        </w:rPr>
        <w:t>《高等数学(2)理工类》本科课程教学大纲</w:t>
      </w:r>
    </w:p>
    <w:p w14:paraId="6D45002C">
      <w:pPr>
        <w:pStyle w:val="17"/>
        <w:rPr>
          <w:rFonts w:ascii="Times New Roman" w:hAnsi="Times New Roman" w:cs="Times New Roman"/>
        </w:rPr>
      </w:pPr>
      <w:r>
        <w:rPr>
          <w:rFonts w:ascii="Times New Roman" w:hAnsi="Times New Roman" w:cs="Times New Roman"/>
        </w:rPr>
        <w:t>一、课程基本信息</w:t>
      </w:r>
    </w:p>
    <w:tbl>
      <w:tblPr>
        <w:tblStyle w:val="9"/>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503"/>
        <w:gridCol w:w="2448"/>
        <w:gridCol w:w="1272"/>
        <w:gridCol w:w="854"/>
        <w:gridCol w:w="571"/>
        <w:gridCol w:w="842"/>
        <w:gridCol w:w="1242"/>
      </w:tblGrid>
      <w:tr w14:paraId="679E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03" w:type="dxa"/>
            <w:vMerge w:val="restart"/>
            <w:tcBorders>
              <w:top w:val="single" w:color="auto" w:sz="12" w:space="0"/>
              <w:left w:val="single" w:color="auto" w:sz="12" w:space="0"/>
            </w:tcBorders>
            <w:shd w:val="clear" w:color="auto" w:fill="auto"/>
            <w:vAlign w:val="center"/>
          </w:tcPr>
          <w:p w14:paraId="652E744D">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课程名称</w:t>
            </w:r>
          </w:p>
        </w:tc>
        <w:tc>
          <w:tcPr>
            <w:tcW w:w="7229" w:type="dxa"/>
            <w:gridSpan w:val="6"/>
            <w:tcBorders>
              <w:top w:val="single" w:color="auto" w:sz="12" w:space="0"/>
              <w:right w:val="single" w:color="auto" w:sz="12" w:space="0"/>
            </w:tcBorders>
            <w:vAlign w:val="center"/>
          </w:tcPr>
          <w:p w14:paraId="227CA496">
            <w:pPr>
              <w:widowControl w:val="0"/>
              <w:jc w:val="left"/>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高等数学(2)理工类</w:t>
            </w:r>
          </w:p>
        </w:tc>
      </w:tr>
      <w:tr w14:paraId="1AE4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03" w:type="dxa"/>
            <w:vMerge w:val="continue"/>
            <w:tcBorders>
              <w:left w:val="single" w:color="auto" w:sz="12" w:space="0"/>
            </w:tcBorders>
            <w:shd w:val="clear" w:color="auto" w:fill="auto"/>
            <w:vAlign w:val="center"/>
          </w:tcPr>
          <w:p w14:paraId="1961EA1C">
            <w:pPr>
              <w:widowControl w:val="0"/>
              <w:jc w:val="center"/>
              <w:rPr>
                <w:rFonts w:ascii="Times New Roman" w:hAnsi="Times New Roman" w:eastAsia="黑体" w:cs="Times New Roman"/>
                <w:color w:val="000000" w:themeColor="text1"/>
                <w:sz w:val="21"/>
                <w:szCs w:val="18"/>
                <w14:textFill>
                  <w14:solidFill>
                    <w14:schemeClr w14:val="tx1"/>
                  </w14:solidFill>
                </w14:textFill>
              </w:rPr>
            </w:pPr>
          </w:p>
        </w:tc>
        <w:tc>
          <w:tcPr>
            <w:tcW w:w="7229" w:type="dxa"/>
            <w:gridSpan w:val="6"/>
            <w:tcBorders>
              <w:right w:val="single" w:color="auto" w:sz="12" w:space="0"/>
            </w:tcBorders>
            <w:vAlign w:val="center"/>
          </w:tcPr>
          <w:p w14:paraId="04FADD33">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sz w:val="28"/>
                <w:szCs w:val="30"/>
              </w:rPr>
              <w:t>Advanced Calculus (II)</w:t>
            </w:r>
          </w:p>
        </w:tc>
      </w:tr>
      <w:tr w14:paraId="5440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03" w:type="dxa"/>
            <w:tcBorders>
              <w:left w:val="single" w:color="auto" w:sz="12" w:space="0"/>
            </w:tcBorders>
            <w:shd w:val="clear" w:color="auto" w:fill="auto"/>
            <w:vAlign w:val="center"/>
          </w:tcPr>
          <w:p w14:paraId="62E03E5C">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课程代码</w:t>
            </w:r>
          </w:p>
        </w:tc>
        <w:tc>
          <w:tcPr>
            <w:tcW w:w="2448" w:type="dxa"/>
            <w:vAlign w:val="center"/>
          </w:tcPr>
          <w:p w14:paraId="2F91F98C">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2100061</w:t>
            </w:r>
          </w:p>
        </w:tc>
        <w:tc>
          <w:tcPr>
            <w:tcW w:w="2126" w:type="dxa"/>
            <w:gridSpan w:val="2"/>
            <w:vAlign w:val="center"/>
          </w:tcPr>
          <w:p w14:paraId="0CA13E48">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课程学分</w:t>
            </w:r>
          </w:p>
        </w:tc>
        <w:tc>
          <w:tcPr>
            <w:tcW w:w="2655" w:type="dxa"/>
            <w:gridSpan w:val="3"/>
            <w:tcBorders>
              <w:right w:val="single" w:color="auto" w:sz="12" w:space="0"/>
            </w:tcBorders>
            <w:vAlign w:val="center"/>
          </w:tcPr>
          <w:p w14:paraId="4818B374">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4</w:t>
            </w:r>
          </w:p>
        </w:tc>
      </w:tr>
      <w:tr w14:paraId="252A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03" w:type="dxa"/>
            <w:tcBorders>
              <w:left w:val="single" w:color="auto" w:sz="12" w:space="0"/>
            </w:tcBorders>
            <w:shd w:val="clear" w:color="auto" w:fill="auto"/>
            <w:vAlign w:val="center"/>
          </w:tcPr>
          <w:p w14:paraId="4C826E77">
            <w:pPr>
              <w:widowControl w:val="0"/>
              <w:jc w:val="center"/>
              <w:rPr>
                <w:rFonts w:ascii="Times New Roman" w:hAnsi="Times New Roman" w:cs="Times New Roman"/>
                <w:sz w:val="21"/>
                <w:szCs w:val="18"/>
              </w:rPr>
            </w:pPr>
            <w:r>
              <w:rPr>
                <w:rFonts w:ascii="Times New Roman" w:hAnsi="Times New Roman" w:eastAsia="黑体" w:cs="Times New Roman"/>
                <w:color w:val="000000" w:themeColor="text1"/>
                <w:sz w:val="21"/>
                <w:szCs w:val="18"/>
                <w14:textFill>
                  <w14:solidFill>
                    <w14:schemeClr w14:val="tx1"/>
                  </w14:solidFill>
                </w14:textFill>
              </w:rPr>
              <w:t>课程学时</w:t>
            </w:r>
            <w:r>
              <w:rPr>
                <w:rFonts w:ascii="Times New Roman" w:hAnsi="Times New Roman" w:cs="Times New Roman"/>
                <w:sz w:val="21"/>
                <w:szCs w:val="18"/>
              </w:rPr>
              <w:t xml:space="preserve"> </w:t>
            </w:r>
          </w:p>
        </w:tc>
        <w:tc>
          <w:tcPr>
            <w:tcW w:w="2448" w:type="dxa"/>
            <w:vAlign w:val="center"/>
          </w:tcPr>
          <w:p w14:paraId="2B5C15DC">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64</w:t>
            </w:r>
          </w:p>
        </w:tc>
        <w:tc>
          <w:tcPr>
            <w:tcW w:w="1272" w:type="dxa"/>
            <w:vAlign w:val="center"/>
          </w:tcPr>
          <w:p w14:paraId="11E14422">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理论学时</w:t>
            </w:r>
          </w:p>
        </w:tc>
        <w:tc>
          <w:tcPr>
            <w:tcW w:w="854" w:type="dxa"/>
            <w:vAlign w:val="center"/>
          </w:tcPr>
          <w:p w14:paraId="071A1FD0">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64</w:t>
            </w:r>
          </w:p>
        </w:tc>
        <w:tc>
          <w:tcPr>
            <w:tcW w:w="1413" w:type="dxa"/>
            <w:gridSpan w:val="2"/>
            <w:vAlign w:val="center"/>
          </w:tcPr>
          <w:p w14:paraId="692164D0">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实践学时</w:t>
            </w:r>
          </w:p>
        </w:tc>
        <w:tc>
          <w:tcPr>
            <w:tcW w:w="1242" w:type="dxa"/>
            <w:tcBorders>
              <w:right w:val="single" w:color="auto" w:sz="12" w:space="0"/>
            </w:tcBorders>
            <w:vAlign w:val="center"/>
          </w:tcPr>
          <w:p w14:paraId="005BE574">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0</w:t>
            </w:r>
          </w:p>
        </w:tc>
      </w:tr>
      <w:tr w14:paraId="7CDB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03" w:type="dxa"/>
            <w:tcBorders>
              <w:left w:val="single" w:color="auto" w:sz="12" w:space="0"/>
            </w:tcBorders>
            <w:shd w:val="clear" w:color="auto" w:fill="auto"/>
            <w:vAlign w:val="center"/>
          </w:tcPr>
          <w:p w14:paraId="08834508">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开课学院</w:t>
            </w:r>
          </w:p>
        </w:tc>
        <w:tc>
          <w:tcPr>
            <w:tcW w:w="2448" w:type="dxa"/>
            <w:vAlign w:val="center"/>
          </w:tcPr>
          <w:p w14:paraId="5645DDE4">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教育学院</w:t>
            </w:r>
          </w:p>
        </w:tc>
        <w:tc>
          <w:tcPr>
            <w:tcW w:w="2126" w:type="dxa"/>
            <w:gridSpan w:val="2"/>
            <w:vAlign w:val="center"/>
          </w:tcPr>
          <w:p w14:paraId="4D397A4D">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适用专业与年级</w:t>
            </w:r>
          </w:p>
        </w:tc>
        <w:tc>
          <w:tcPr>
            <w:tcW w:w="2655" w:type="dxa"/>
            <w:gridSpan w:val="3"/>
            <w:tcBorders>
              <w:right w:val="single" w:color="auto" w:sz="12" w:space="0"/>
            </w:tcBorders>
            <w:vAlign w:val="center"/>
          </w:tcPr>
          <w:p w14:paraId="585EBF9F">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大一理工类专业</w:t>
            </w:r>
          </w:p>
        </w:tc>
      </w:tr>
      <w:tr w14:paraId="2B60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503" w:type="dxa"/>
            <w:tcBorders>
              <w:left w:val="single" w:color="auto" w:sz="12" w:space="0"/>
            </w:tcBorders>
            <w:shd w:val="clear" w:color="auto" w:fill="auto"/>
            <w:vAlign w:val="center"/>
          </w:tcPr>
          <w:p w14:paraId="77756142">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课程类别与性质</w:t>
            </w:r>
          </w:p>
        </w:tc>
        <w:tc>
          <w:tcPr>
            <w:tcW w:w="2448" w:type="dxa"/>
            <w:vAlign w:val="center"/>
          </w:tcPr>
          <w:p w14:paraId="293F6CBA">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公共基础课</w:t>
            </w:r>
          </w:p>
        </w:tc>
        <w:tc>
          <w:tcPr>
            <w:tcW w:w="2126" w:type="dxa"/>
            <w:gridSpan w:val="2"/>
            <w:vAlign w:val="center"/>
          </w:tcPr>
          <w:p w14:paraId="4E589947">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考核方式</w:t>
            </w:r>
          </w:p>
        </w:tc>
        <w:tc>
          <w:tcPr>
            <w:tcW w:w="2655" w:type="dxa"/>
            <w:gridSpan w:val="3"/>
            <w:tcBorders>
              <w:right w:val="single" w:color="auto" w:sz="12" w:space="0"/>
            </w:tcBorders>
            <w:vAlign w:val="center"/>
          </w:tcPr>
          <w:p w14:paraId="491AA2F7">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考试</w:t>
            </w:r>
          </w:p>
        </w:tc>
      </w:tr>
      <w:tr w14:paraId="733F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503" w:type="dxa"/>
            <w:tcBorders>
              <w:left w:val="single" w:color="auto" w:sz="12" w:space="0"/>
            </w:tcBorders>
            <w:shd w:val="clear" w:color="auto" w:fill="auto"/>
            <w:vAlign w:val="center"/>
          </w:tcPr>
          <w:p w14:paraId="27DE8E94">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选用教材</w:t>
            </w:r>
          </w:p>
        </w:tc>
        <w:tc>
          <w:tcPr>
            <w:tcW w:w="4574" w:type="dxa"/>
            <w:gridSpan w:val="3"/>
            <w:vAlign w:val="center"/>
          </w:tcPr>
          <w:p w14:paraId="004AACB3">
            <w:pPr>
              <w:widowControl w:val="0"/>
              <w:jc w:val="left"/>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高等数学（下册）（第八版）</w:t>
            </w:r>
          </w:p>
          <w:p w14:paraId="1F1B4BB0">
            <w:pPr>
              <w:widowControl w:val="0"/>
              <w:jc w:val="left"/>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ISBN：978-7-04-058868-2</w:t>
            </w:r>
          </w:p>
          <w:p w14:paraId="5BD33858">
            <w:pPr>
              <w:widowControl w:val="0"/>
              <w:jc w:val="left"/>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 xml:space="preserve">同济大学数学科学学院主编 </w:t>
            </w:r>
          </w:p>
          <w:p w14:paraId="7EC57FAC">
            <w:pPr>
              <w:widowControl w:val="0"/>
              <w:jc w:val="left"/>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高等教育出版社</w:t>
            </w:r>
          </w:p>
        </w:tc>
        <w:tc>
          <w:tcPr>
            <w:tcW w:w="1413" w:type="dxa"/>
            <w:gridSpan w:val="2"/>
            <w:vAlign w:val="center"/>
          </w:tcPr>
          <w:p w14:paraId="18E10A5C">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是否为</w:t>
            </w:r>
          </w:p>
          <w:p w14:paraId="33D7E03F">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马工程教材</w:t>
            </w:r>
          </w:p>
        </w:tc>
        <w:tc>
          <w:tcPr>
            <w:tcW w:w="1242" w:type="dxa"/>
            <w:tcBorders>
              <w:right w:val="single" w:color="auto" w:sz="12" w:space="0"/>
            </w:tcBorders>
            <w:vAlign w:val="center"/>
          </w:tcPr>
          <w:p w14:paraId="2B438D47">
            <w:pPr>
              <w:widowControl w:val="0"/>
              <w:ind w:left="120" w:leftChars="50"/>
              <w:jc w:val="left"/>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否</w:t>
            </w:r>
          </w:p>
        </w:tc>
      </w:tr>
      <w:tr w14:paraId="1BE6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503" w:type="dxa"/>
            <w:tcBorders>
              <w:left w:val="single" w:color="auto" w:sz="12" w:space="0"/>
            </w:tcBorders>
            <w:shd w:val="clear" w:color="auto" w:fill="auto"/>
            <w:vAlign w:val="center"/>
          </w:tcPr>
          <w:p w14:paraId="07362AF5">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先修课程</w:t>
            </w:r>
          </w:p>
        </w:tc>
        <w:tc>
          <w:tcPr>
            <w:tcW w:w="7229" w:type="dxa"/>
            <w:gridSpan w:val="6"/>
            <w:tcBorders>
              <w:right w:val="single" w:color="auto" w:sz="12" w:space="0"/>
            </w:tcBorders>
            <w:vAlign w:val="center"/>
          </w:tcPr>
          <w:p w14:paraId="600254DB">
            <w:pPr>
              <w:pStyle w:val="15"/>
              <w:rPr>
                <w:rFonts w:ascii="Times New Roman" w:hAnsi="Times New Roman"/>
              </w:rPr>
            </w:pPr>
            <w:r>
              <w:rPr>
                <w:rFonts w:ascii="Times New Roman" w:hAnsi="Times New Roman"/>
              </w:rPr>
              <w:t xml:space="preserve">高等数学(1)理工类  2100013 </w:t>
            </w:r>
          </w:p>
        </w:tc>
      </w:tr>
      <w:tr w14:paraId="5318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503" w:type="dxa"/>
            <w:tcBorders>
              <w:left w:val="single" w:color="auto" w:sz="12" w:space="0"/>
            </w:tcBorders>
            <w:shd w:val="clear" w:color="auto" w:fill="auto"/>
            <w:vAlign w:val="center"/>
          </w:tcPr>
          <w:p w14:paraId="054539C7">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课程简介</w:t>
            </w:r>
          </w:p>
        </w:tc>
        <w:tc>
          <w:tcPr>
            <w:tcW w:w="7229" w:type="dxa"/>
            <w:gridSpan w:val="6"/>
            <w:tcBorders>
              <w:right w:val="single" w:color="auto" w:sz="12" w:space="0"/>
            </w:tcBorders>
          </w:tcPr>
          <w:p w14:paraId="6FFB61F6">
            <w:pPr>
              <w:pStyle w:val="15"/>
              <w:rPr>
                <w:rFonts w:ascii="Times New Roman" w:hAnsi="Times New Roman"/>
              </w:rPr>
            </w:pPr>
            <w:r>
              <w:rPr>
                <w:rFonts w:ascii="Times New Roman" w:hAnsi="Times New Roman"/>
                <w:kern w:val="2"/>
              </w:rPr>
              <w:t xml:space="preserve">   </w:t>
            </w:r>
            <w:r>
              <w:rPr>
                <w:rFonts w:ascii="Times New Roman" w:hAnsi="Times New Roman"/>
              </w:rPr>
              <w:t>高等数学包含了微积分及高等微积分的部分预备知识，教科书通常分上、下册。高等数学（2）为教科书下册内容。本课程主要内容</w:t>
            </w:r>
            <w:r>
              <w:rPr>
                <w:rFonts w:ascii="Times New Roman" w:hAnsi="Times New Roman"/>
                <w:kern w:val="2"/>
              </w:rPr>
              <w:t>是空间解析几何与向量代数及多元函数微积分和无穷级数等。</w:t>
            </w:r>
            <w:r>
              <w:rPr>
                <w:rFonts w:ascii="Times New Roman" w:hAnsi="Times New Roman"/>
              </w:rPr>
              <w:t>通过本课程的学习，使学生获得有关</w:t>
            </w:r>
            <w:r>
              <w:rPr>
                <w:rFonts w:ascii="Times New Roman" w:hAnsi="Times New Roman"/>
                <w:kern w:val="2"/>
              </w:rPr>
              <w:t>空间解析几何与向量代数及多元函数微积分和无穷级数</w:t>
            </w:r>
            <w:r>
              <w:rPr>
                <w:rFonts w:ascii="Times New Roman" w:hAnsi="Times New Roman"/>
              </w:rPr>
              <w:t>的基础知识，掌握必要的理论和常用的运算方法，培养学生的抽象思维、逻辑推理、空间想象能力以及综合分析和运算能力，为学生的后继课程奠定必要的数学基础，提高学生运用数学知识解决实际问题的能力。</w:t>
            </w:r>
          </w:p>
          <w:p w14:paraId="3C992F5B">
            <w:pPr>
              <w:widowControl w:val="0"/>
              <w:snapToGrid w:val="0"/>
              <w:spacing w:line="288" w:lineRule="auto"/>
              <w:jc w:val="both"/>
              <w:rPr>
                <w:rFonts w:ascii="Times New Roman" w:hAnsi="Times New Roman" w:eastAsia="黑体" w:cs="Times New Roman"/>
                <w:color w:val="000000" w:themeColor="text1"/>
                <w:kern w:val="2"/>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本课程将思政元素融入其中，通过各个教学环节逐步培养学生空间想象能力、处理多因素的抽象思维能力、逻辑推理能力、运算能力和适度的论证说明问题的能力，让学生自己发现问题、分析问题并最终解决问题，培养学生独立思考合作学习的习惯和诚实守信质疑创新的素养以及爱党爱国奉献社会的信念，体会辩证唯物主义的思想理念，用科学正确的态度来认识客观事物，提升运用所学知识去分析和解决问题的能力，逐步培养学生的创新精神和创新能力。</w:t>
            </w:r>
          </w:p>
        </w:tc>
      </w:tr>
      <w:tr w14:paraId="32FD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trPr>
        <w:tc>
          <w:tcPr>
            <w:tcW w:w="1503" w:type="dxa"/>
            <w:tcBorders>
              <w:left w:val="single" w:color="auto" w:sz="12" w:space="0"/>
              <w:bottom w:val="double" w:color="auto" w:sz="4" w:space="0"/>
            </w:tcBorders>
            <w:shd w:val="clear" w:color="auto" w:fill="auto"/>
            <w:vAlign w:val="center"/>
          </w:tcPr>
          <w:p w14:paraId="3E2F90AD">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选课建议与学习要求</w:t>
            </w:r>
          </w:p>
        </w:tc>
        <w:tc>
          <w:tcPr>
            <w:tcW w:w="7229" w:type="dxa"/>
            <w:gridSpan w:val="6"/>
            <w:tcBorders>
              <w:bottom w:val="double" w:color="auto" w:sz="4" w:space="0"/>
              <w:right w:val="single" w:color="auto" w:sz="12" w:space="0"/>
            </w:tcBorders>
          </w:tcPr>
          <w:p w14:paraId="28123ADC">
            <w:pPr>
              <w:widowControl w:val="0"/>
              <w:snapToGrid w:val="0"/>
              <w:spacing w:line="288" w:lineRule="auto"/>
              <w:jc w:val="both"/>
              <w:rPr>
                <w:rFonts w:ascii="Times New Roman" w:hAnsi="Times New Roman" w:eastAsia="黑体" w:cs="Times New Roman"/>
              </w:rPr>
            </w:pPr>
            <w:r>
              <w:rPr>
                <w:rFonts w:ascii="Times New Roman" w:hAnsi="Times New Roman" w:eastAsia="黑体" w:cs="Times New Roman"/>
                <w:color w:val="000000" w:themeColor="text1"/>
                <w:sz w:val="21"/>
                <w:szCs w:val="21"/>
                <w14:textFill>
                  <w14:solidFill>
                    <w14:schemeClr w14:val="tx1"/>
                  </w14:solidFill>
                </w14:textFill>
              </w:rPr>
              <w:t>本课程适合理工类各专业学生在修完高等数学(1)以后再进行学习。</w:t>
            </w:r>
          </w:p>
        </w:tc>
      </w:tr>
      <w:tr w14:paraId="6C84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11" w:hRule="atLeast"/>
        </w:trPr>
        <w:tc>
          <w:tcPr>
            <w:tcW w:w="1503" w:type="dxa"/>
            <w:tcBorders>
              <w:top w:val="double" w:color="auto" w:sz="4" w:space="0"/>
              <w:left w:val="single" w:color="auto" w:sz="12" w:space="0"/>
            </w:tcBorders>
            <w:shd w:val="clear" w:color="auto" w:fill="auto"/>
            <w:vAlign w:val="center"/>
          </w:tcPr>
          <w:p w14:paraId="1FF72E8E">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大纲编写人</w:t>
            </w:r>
          </w:p>
        </w:tc>
        <w:tc>
          <w:tcPr>
            <w:tcW w:w="3720" w:type="dxa"/>
            <w:gridSpan w:val="2"/>
            <w:tcBorders>
              <w:top w:val="double" w:color="auto" w:sz="4" w:space="0"/>
            </w:tcBorders>
            <w:vAlign w:val="center"/>
          </w:tcPr>
          <w:p w14:paraId="0356A37C">
            <w:pPr>
              <w:widowControl w:val="0"/>
              <w:ind w:right="420"/>
              <w:jc w:val="right"/>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drawing>
                <wp:inline distT="0" distB="0" distL="0" distR="0">
                  <wp:extent cx="1050290" cy="283845"/>
                  <wp:effectExtent l="0" t="0" r="0" b="1905"/>
                  <wp:docPr id="2" name="图片 2" descr="E:\U盘20250517\private2025\华玉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U盘20250517\private2025\华玉爱电子签名.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123638" cy="303757"/>
                          </a:xfrm>
                          <a:prstGeom prst="rect">
                            <a:avLst/>
                          </a:prstGeom>
                          <a:noFill/>
                          <a:ln>
                            <a:noFill/>
                          </a:ln>
                        </pic:spPr>
                      </pic:pic>
                    </a:graphicData>
                  </a:graphic>
                </wp:inline>
              </w:drawing>
            </w:r>
            <w:r>
              <w:rPr>
                <w:rFonts w:ascii="Times New Roman" w:hAnsi="Times New Roman" w:cs="Times New Roman"/>
                <w:sz w:val="21"/>
                <w:szCs w:val="21"/>
              </w:rPr>
              <w:t>（签名）</w:t>
            </w:r>
          </w:p>
        </w:tc>
        <w:tc>
          <w:tcPr>
            <w:tcW w:w="1425" w:type="dxa"/>
            <w:gridSpan w:val="2"/>
            <w:tcBorders>
              <w:top w:val="double" w:color="auto" w:sz="4" w:space="0"/>
            </w:tcBorders>
            <w:vAlign w:val="center"/>
          </w:tcPr>
          <w:p w14:paraId="3E1EF3B4">
            <w:pPr>
              <w:widowControl w:val="0"/>
              <w:jc w:val="center"/>
              <w:rPr>
                <w:rFonts w:ascii="Times New Roman" w:hAnsi="Times New Roman" w:cs="Times New Roman"/>
                <w:sz w:val="21"/>
                <w:szCs w:val="21"/>
              </w:rPr>
            </w:pPr>
            <w:r>
              <w:rPr>
                <w:rFonts w:ascii="Times New Roman" w:hAnsi="Times New Roman" w:eastAsia="黑体" w:cs="Times New Roman"/>
                <w:color w:val="000000" w:themeColor="text1"/>
                <w:sz w:val="21"/>
                <w:szCs w:val="21"/>
                <w14:textFill>
                  <w14:solidFill>
                    <w14:schemeClr w14:val="tx1"/>
                  </w14:solidFill>
                </w14:textFill>
              </w:rPr>
              <w:t>制/修订时间</w:t>
            </w:r>
          </w:p>
        </w:tc>
        <w:tc>
          <w:tcPr>
            <w:tcW w:w="2084" w:type="dxa"/>
            <w:gridSpan w:val="2"/>
            <w:tcBorders>
              <w:top w:val="double" w:color="auto" w:sz="4" w:space="0"/>
              <w:right w:val="single" w:color="auto" w:sz="12" w:space="0"/>
            </w:tcBorders>
            <w:vAlign w:val="center"/>
          </w:tcPr>
          <w:p w14:paraId="73792DE3">
            <w:pPr>
              <w:widowControl w:val="0"/>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2026年3月</w:t>
            </w:r>
          </w:p>
        </w:tc>
      </w:tr>
      <w:tr w14:paraId="4C9D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2" w:hRule="atLeast"/>
        </w:trPr>
        <w:tc>
          <w:tcPr>
            <w:tcW w:w="1503" w:type="dxa"/>
            <w:tcBorders>
              <w:left w:val="single" w:color="auto" w:sz="12" w:space="0"/>
            </w:tcBorders>
            <w:shd w:val="clear" w:color="auto" w:fill="auto"/>
            <w:vAlign w:val="center"/>
          </w:tcPr>
          <w:p w14:paraId="6AD479BC">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专业负责人</w:t>
            </w:r>
          </w:p>
        </w:tc>
        <w:tc>
          <w:tcPr>
            <w:tcW w:w="3720" w:type="dxa"/>
            <w:gridSpan w:val="2"/>
            <w:vAlign w:val="center"/>
          </w:tcPr>
          <w:p w14:paraId="779CA7C7">
            <w:pPr>
              <w:widowControl w:val="0"/>
              <w:ind w:right="420"/>
              <w:jc w:val="right"/>
              <w:rPr>
                <w:rFonts w:ascii="Times New Roman" w:hAnsi="Times New Roman" w:eastAsia="黑体" w:cs="Times New Roman"/>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drawing>
                <wp:inline distT="0" distB="0" distL="0" distR="0">
                  <wp:extent cx="476250" cy="19812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8346" cy="219965"/>
                          </a:xfrm>
                          <a:prstGeom prst="rect">
                            <a:avLst/>
                          </a:prstGeom>
                        </pic:spPr>
                      </pic:pic>
                    </a:graphicData>
                  </a:graphic>
                </wp:inline>
              </w:drawing>
            </w:r>
            <w:r>
              <w:rPr>
                <w:rFonts w:ascii="Times New Roman" w:hAnsi="Times New Roman" w:cs="Times New Roman"/>
                <w:sz w:val="21"/>
                <w:szCs w:val="21"/>
              </w:rPr>
              <w:t>（签名）</w:t>
            </w:r>
          </w:p>
        </w:tc>
        <w:tc>
          <w:tcPr>
            <w:tcW w:w="1425" w:type="dxa"/>
            <w:gridSpan w:val="2"/>
            <w:vAlign w:val="center"/>
          </w:tcPr>
          <w:p w14:paraId="48F4350C">
            <w:pPr>
              <w:widowControl w:val="0"/>
              <w:jc w:val="center"/>
              <w:rPr>
                <w:rFonts w:ascii="Times New Roman" w:hAnsi="Times New Roman" w:cs="Times New Roman"/>
                <w:sz w:val="21"/>
                <w:szCs w:val="21"/>
              </w:rPr>
            </w:pPr>
            <w:r>
              <w:rPr>
                <w:rFonts w:ascii="Times New Roman" w:hAnsi="Times New Roman" w:eastAsia="黑体" w:cs="Times New Roman"/>
                <w:color w:val="000000" w:themeColor="text1"/>
                <w:sz w:val="21"/>
                <w:szCs w:val="21"/>
                <w14:textFill>
                  <w14:solidFill>
                    <w14:schemeClr w14:val="tx1"/>
                  </w14:solidFill>
                </w14:textFill>
              </w:rPr>
              <w:t>审定时间</w:t>
            </w:r>
          </w:p>
        </w:tc>
        <w:tc>
          <w:tcPr>
            <w:tcW w:w="2084" w:type="dxa"/>
            <w:gridSpan w:val="2"/>
            <w:tcBorders>
              <w:right w:val="single" w:color="auto" w:sz="12" w:space="0"/>
            </w:tcBorders>
            <w:vAlign w:val="center"/>
          </w:tcPr>
          <w:p w14:paraId="0F7934E5">
            <w:pPr>
              <w:widowControl w:val="0"/>
              <w:jc w:val="center"/>
              <w:rPr>
                <w:rFonts w:ascii="Times New Roman" w:hAnsi="Times New Roman" w:cs="Times New Roman"/>
                <w:color w:val="000000"/>
                <w:sz w:val="21"/>
                <w:szCs w:val="21"/>
              </w:rPr>
            </w:pPr>
            <w:r>
              <w:rPr>
                <w:rFonts w:ascii="Times New Roman" w:hAnsi="Times New Roman" w:eastAsia="黑体" w:cs="Times New Roman"/>
                <w:color w:val="000000"/>
                <w:sz w:val="21"/>
                <w:szCs w:val="21"/>
              </w:rPr>
              <w:t>2026年3月</w:t>
            </w:r>
            <w:bookmarkStart w:id="6" w:name="_GoBack"/>
            <w:bookmarkEnd w:id="6"/>
          </w:p>
        </w:tc>
      </w:tr>
      <w:tr w14:paraId="6627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66" w:hRule="atLeast"/>
        </w:trPr>
        <w:tc>
          <w:tcPr>
            <w:tcW w:w="1503" w:type="dxa"/>
            <w:tcBorders>
              <w:left w:val="single" w:color="auto" w:sz="12" w:space="0"/>
              <w:bottom w:val="single" w:color="auto" w:sz="12" w:space="0"/>
            </w:tcBorders>
            <w:shd w:val="clear" w:color="auto" w:fill="auto"/>
            <w:vAlign w:val="center"/>
          </w:tcPr>
          <w:p w14:paraId="1852D8F1">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学院负责人</w:t>
            </w:r>
          </w:p>
        </w:tc>
        <w:tc>
          <w:tcPr>
            <w:tcW w:w="3720" w:type="dxa"/>
            <w:gridSpan w:val="2"/>
            <w:tcBorders>
              <w:bottom w:val="single" w:color="auto" w:sz="12" w:space="0"/>
            </w:tcBorders>
            <w:vAlign w:val="center"/>
          </w:tcPr>
          <w:p w14:paraId="10558549">
            <w:pPr>
              <w:widowControl w:val="0"/>
              <w:jc w:val="right"/>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cs="Times New Roman"/>
                <w:sz w:val="21"/>
                <w:szCs w:val="21"/>
              </w:rPr>
              <w:t>（签名）</w:t>
            </w:r>
          </w:p>
        </w:tc>
        <w:tc>
          <w:tcPr>
            <w:tcW w:w="1425" w:type="dxa"/>
            <w:gridSpan w:val="2"/>
            <w:tcBorders>
              <w:bottom w:val="single" w:color="auto" w:sz="12" w:space="0"/>
            </w:tcBorders>
            <w:vAlign w:val="center"/>
          </w:tcPr>
          <w:p w14:paraId="1590AA6C">
            <w:pPr>
              <w:widowControl w:val="0"/>
              <w:jc w:val="center"/>
              <w:rPr>
                <w:rFonts w:ascii="Times New Roman" w:hAnsi="Times New Roman" w:cs="Times New Roman"/>
                <w:sz w:val="21"/>
                <w:szCs w:val="21"/>
              </w:rPr>
            </w:pPr>
            <w:r>
              <w:rPr>
                <w:rFonts w:ascii="Times New Roman" w:hAnsi="Times New Roman" w:eastAsia="黑体" w:cs="Times New Roman"/>
                <w:color w:val="000000" w:themeColor="text1"/>
                <w:sz w:val="21"/>
                <w:szCs w:val="21"/>
                <w14:textFill>
                  <w14:solidFill>
                    <w14:schemeClr w14:val="tx1"/>
                  </w14:solidFill>
                </w14:textFill>
              </w:rPr>
              <w:t>批准时间</w:t>
            </w:r>
          </w:p>
        </w:tc>
        <w:tc>
          <w:tcPr>
            <w:tcW w:w="2084" w:type="dxa"/>
            <w:gridSpan w:val="2"/>
            <w:tcBorders>
              <w:bottom w:val="single" w:color="auto" w:sz="12" w:space="0"/>
              <w:right w:val="single" w:color="auto" w:sz="12" w:space="0"/>
            </w:tcBorders>
            <w:vAlign w:val="center"/>
          </w:tcPr>
          <w:p w14:paraId="35EE21CA">
            <w:pPr>
              <w:widowControl w:val="0"/>
              <w:jc w:val="center"/>
              <w:rPr>
                <w:rFonts w:ascii="Times New Roman" w:hAnsi="Times New Roman" w:cs="Times New Roman"/>
                <w:color w:val="000000"/>
                <w:sz w:val="21"/>
                <w:szCs w:val="21"/>
              </w:rPr>
            </w:pPr>
          </w:p>
        </w:tc>
      </w:tr>
    </w:tbl>
    <w:p w14:paraId="12BDD6A7">
      <w:pPr>
        <w:spacing w:line="100" w:lineRule="exact"/>
        <w:rPr>
          <w:rFonts w:ascii="Times New Roman" w:hAnsi="Times New Roman" w:eastAsia="黑体" w:cs="Times New Roman"/>
        </w:rPr>
      </w:pPr>
      <w:r>
        <w:rPr>
          <w:rFonts w:ascii="Times New Roman" w:hAnsi="Times New Roman" w:cs="Times New Roman"/>
        </w:rPr>
        <w:br w:type="page"/>
      </w:r>
    </w:p>
    <w:p w14:paraId="7F684BDA">
      <w:pPr>
        <w:pStyle w:val="17"/>
        <w:rPr>
          <w:rFonts w:ascii="Times New Roman" w:hAnsi="Times New Roman" w:cs="Times New Roman"/>
        </w:rPr>
      </w:pPr>
      <w:r>
        <w:rPr>
          <w:rFonts w:ascii="Times New Roman" w:hAnsi="Times New Roman" w:cs="Times New Roman"/>
        </w:rPr>
        <w:t>二、课程目标与毕业要求</w:t>
      </w:r>
    </w:p>
    <w:p w14:paraId="100CBD07">
      <w:pPr>
        <w:pStyle w:val="18"/>
        <w:rPr>
          <w:rFonts w:ascii="Times New Roman" w:hAnsi="Times New Roman" w:cs="Times New Roman"/>
        </w:rPr>
      </w:pPr>
      <w:r>
        <w:rPr>
          <w:rFonts w:ascii="Times New Roman" w:hAnsi="Times New Roman" w:cs="Times New Roman"/>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708C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6C4F71E9">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类型</w:t>
            </w:r>
          </w:p>
        </w:tc>
        <w:tc>
          <w:tcPr>
            <w:tcW w:w="782" w:type="dxa"/>
            <w:shd w:val="clear" w:color="auto" w:fill="auto"/>
            <w:vAlign w:val="center"/>
          </w:tcPr>
          <w:p w14:paraId="3264D348">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序号</w:t>
            </w:r>
          </w:p>
        </w:tc>
        <w:tc>
          <w:tcPr>
            <w:tcW w:w="6459" w:type="dxa"/>
            <w:vAlign w:val="center"/>
          </w:tcPr>
          <w:p w14:paraId="752CC6BF">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内容</w:t>
            </w:r>
          </w:p>
        </w:tc>
      </w:tr>
      <w:tr w14:paraId="48421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620D5D7E">
            <w:pPr>
              <w:snapToGrid w:val="0"/>
              <w:jc w:val="center"/>
              <w:rPr>
                <w:rFonts w:ascii="Times New Roman" w:hAnsi="Times New Roman" w:cs="Times New Roman"/>
              </w:rPr>
            </w:pPr>
            <w:r>
              <w:rPr>
                <w:rFonts w:ascii="Times New Roman" w:hAnsi="Times New Roman" w:eastAsia="黑体" w:cs="Times New Roman"/>
                <w:bCs/>
                <w:color w:val="000000"/>
                <w:sz w:val="21"/>
                <w:szCs w:val="18"/>
              </w:rPr>
              <w:t>知识目标</w:t>
            </w:r>
          </w:p>
        </w:tc>
        <w:tc>
          <w:tcPr>
            <w:tcW w:w="782" w:type="dxa"/>
            <w:shd w:val="clear" w:color="auto" w:fill="auto"/>
            <w:vAlign w:val="center"/>
          </w:tcPr>
          <w:p w14:paraId="72134D1A">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1</w:t>
            </w:r>
          </w:p>
        </w:tc>
        <w:tc>
          <w:tcPr>
            <w:tcW w:w="6459" w:type="dxa"/>
            <w:vAlign w:val="center"/>
          </w:tcPr>
          <w:p w14:paraId="489990C6">
            <w:pPr>
              <w:pStyle w:val="15"/>
              <w:rPr>
                <w:rFonts w:ascii="Times New Roman" w:hAnsi="Times New Roman"/>
              </w:rPr>
            </w:pPr>
            <w:r>
              <w:rPr>
                <w:rFonts w:ascii="Times New Roman" w:hAnsi="Times New Roman"/>
              </w:rPr>
              <w:t>掌握基本概念、性质和定理并会进行相应计算。</w:t>
            </w:r>
          </w:p>
        </w:tc>
      </w:tr>
      <w:tr w14:paraId="3B3D6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1B937E44">
            <w:pPr>
              <w:snapToGrid w:val="0"/>
              <w:jc w:val="center"/>
              <w:rPr>
                <w:rFonts w:ascii="Times New Roman" w:hAnsi="Times New Roman" w:cs="Times New Roman"/>
              </w:rPr>
            </w:pPr>
            <w:r>
              <w:rPr>
                <w:rFonts w:ascii="Times New Roman" w:hAnsi="Times New Roman" w:eastAsia="黑体" w:cs="Times New Roman"/>
                <w:bCs/>
                <w:color w:val="000000"/>
                <w:sz w:val="21"/>
                <w:szCs w:val="18"/>
              </w:rPr>
              <w:t>技能目标</w:t>
            </w:r>
          </w:p>
        </w:tc>
        <w:tc>
          <w:tcPr>
            <w:tcW w:w="782" w:type="dxa"/>
            <w:shd w:val="clear" w:color="auto" w:fill="auto"/>
            <w:vAlign w:val="center"/>
          </w:tcPr>
          <w:p w14:paraId="55CB0BE9">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2</w:t>
            </w:r>
          </w:p>
        </w:tc>
        <w:tc>
          <w:tcPr>
            <w:tcW w:w="6459" w:type="dxa"/>
            <w:vAlign w:val="center"/>
          </w:tcPr>
          <w:p w14:paraId="6FC715E1">
            <w:pPr>
              <w:pStyle w:val="15"/>
              <w:rPr>
                <w:rFonts w:ascii="Times New Roman" w:hAnsi="Times New Roman"/>
              </w:rPr>
            </w:pPr>
            <w:r>
              <w:rPr>
                <w:rFonts w:ascii="Times New Roman" w:hAnsi="Times New Roman"/>
              </w:rPr>
              <w:t>具有一定运算能力、逻辑推理和抽象思维能力。</w:t>
            </w:r>
          </w:p>
        </w:tc>
      </w:tr>
      <w:tr w14:paraId="11793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68F4977">
            <w:pPr>
              <w:pStyle w:val="15"/>
              <w:rPr>
                <w:rFonts w:ascii="Times New Roman" w:hAnsi="Times New Roman"/>
              </w:rPr>
            </w:pPr>
          </w:p>
        </w:tc>
        <w:tc>
          <w:tcPr>
            <w:tcW w:w="782" w:type="dxa"/>
            <w:shd w:val="clear" w:color="auto" w:fill="auto"/>
            <w:vAlign w:val="center"/>
          </w:tcPr>
          <w:p w14:paraId="001E04E8">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3</w:t>
            </w:r>
          </w:p>
        </w:tc>
        <w:tc>
          <w:tcPr>
            <w:tcW w:w="6459" w:type="dxa"/>
            <w:vAlign w:val="center"/>
          </w:tcPr>
          <w:p w14:paraId="7D2F92F2">
            <w:pPr>
              <w:pStyle w:val="15"/>
              <w:rPr>
                <w:rFonts w:ascii="Times New Roman" w:hAnsi="Times New Roman"/>
              </w:rPr>
            </w:pPr>
            <w:r>
              <w:rPr>
                <w:rFonts w:ascii="Times New Roman" w:hAnsi="Times New Roman"/>
              </w:rPr>
              <w:t>综合运用所学知识分析和解决问题的能力。</w:t>
            </w:r>
          </w:p>
        </w:tc>
      </w:tr>
      <w:tr w14:paraId="016E50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B4C99D4">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素养目标</w:t>
            </w:r>
          </w:p>
          <w:p w14:paraId="1D31C808">
            <w:pPr>
              <w:snapToGrid w:val="0"/>
              <w:jc w:val="center"/>
              <w:rPr>
                <w:rFonts w:ascii="Times New Roman" w:hAnsi="Times New Roman" w:cs="Times New Roman"/>
              </w:rPr>
            </w:pPr>
            <w:r>
              <w:rPr>
                <w:rFonts w:ascii="Times New Roman" w:hAnsi="Times New Roman" w:eastAsia="黑体" w:cs="Times New Roman"/>
                <w:bCs/>
                <w:color w:val="000000"/>
                <w:sz w:val="21"/>
                <w:szCs w:val="18"/>
              </w:rPr>
              <w:t>(含课程思政目标)</w:t>
            </w:r>
          </w:p>
        </w:tc>
        <w:tc>
          <w:tcPr>
            <w:tcW w:w="782" w:type="dxa"/>
            <w:shd w:val="clear" w:color="auto" w:fill="auto"/>
            <w:vAlign w:val="center"/>
          </w:tcPr>
          <w:p w14:paraId="190F5998">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4</w:t>
            </w:r>
          </w:p>
        </w:tc>
        <w:tc>
          <w:tcPr>
            <w:tcW w:w="6459" w:type="dxa"/>
            <w:vAlign w:val="center"/>
          </w:tcPr>
          <w:p w14:paraId="054603C5">
            <w:pPr>
              <w:pStyle w:val="15"/>
              <w:rPr>
                <w:rFonts w:ascii="Times New Roman" w:hAnsi="Times New Roman"/>
              </w:rPr>
            </w:pPr>
            <w:r>
              <w:rPr>
                <w:rFonts w:ascii="Times New Roman" w:hAnsi="Times New Roman"/>
              </w:rPr>
              <w:t>建立数学思维，培养学生严谨科学的学习习惯，较强的自主学习能力。</w:t>
            </w:r>
          </w:p>
        </w:tc>
      </w:tr>
      <w:tr w14:paraId="2AED7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52A74488">
            <w:pPr>
              <w:pStyle w:val="15"/>
              <w:rPr>
                <w:rFonts w:ascii="Times New Roman" w:hAnsi="Times New Roman"/>
              </w:rPr>
            </w:pPr>
          </w:p>
        </w:tc>
        <w:tc>
          <w:tcPr>
            <w:tcW w:w="782" w:type="dxa"/>
            <w:shd w:val="clear" w:color="auto" w:fill="auto"/>
            <w:vAlign w:val="center"/>
          </w:tcPr>
          <w:p w14:paraId="0C11C80B">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5</w:t>
            </w:r>
          </w:p>
        </w:tc>
        <w:tc>
          <w:tcPr>
            <w:tcW w:w="6459" w:type="dxa"/>
            <w:vAlign w:val="center"/>
          </w:tcPr>
          <w:p w14:paraId="2EC0575C">
            <w:pPr>
              <w:tabs>
                <w:tab w:val="left" w:pos="4200"/>
              </w:tabs>
              <w:spacing w:line="440" w:lineRule="exact"/>
              <w:outlineLvl w:val="0"/>
              <w:rPr>
                <w:rFonts w:ascii="Times New Roman" w:hAnsi="Times New Roman" w:cs="Times New Roman"/>
                <w:bCs/>
                <w:color w:val="000000"/>
                <w:sz w:val="21"/>
                <w:szCs w:val="21"/>
              </w:rPr>
            </w:pPr>
            <w:r>
              <w:rPr>
                <w:rFonts w:ascii="Times New Roman" w:hAnsi="Times New Roman" w:cs="Times New Roman"/>
                <w:bCs/>
                <w:color w:val="000000"/>
                <w:sz w:val="21"/>
                <w:szCs w:val="21"/>
              </w:rPr>
              <w:t>基础知识与德育元素结合，明确爱国、诚信、敬业、友爱的精神，建立符合社会主义道德要求的价值观和爱党爱国奉献社会的理想信念。</w:t>
            </w:r>
          </w:p>
        </w:tc>
      </w:tr>
    </w:tbl>
    <w:p w14:paraId="1ACDC91E">
      <w:pPr>
        <w:pStyle w:val="18"/>
        <w:rPr>
          <w:rFonts w:ascii="Times New Roman" w:hAnsi="Times New Roman" w:cs="Times New Roman"/>
        </w:rPr>
      </w:pPr>
      <w:r>
        <w:rPr>
          <w:rFonts w:ascii="Times New Roman" w:hAnsi="Times New Roman" w:cs="Times New Roman"/>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548C44F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93" w:hRule="atLeast"/>
        </w:trPr>
        <w:tc>
          <w:tcPr>
            <w:tcW w:w="8296" w:type="dxa"/>
          </w:tcPr>
          <w:p w14:paraId="7E8B5B85">
            <w:pPr>
              <w:pStyle w:val="15"/>
              <w:rPr>
                <w:rFonts w:ascii="Times New Roman" w:hAnsi="Times New Roman"/>
              </w:rPr>
            </w:pPr>
            <w:r>
              <w:rPr>
                <w:rFonts w:ascii="Times New Roman" w:hAnsi="Times New Roman"/>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42CCF905">
            <w:pPr>
              <w:pStyle w:val="15"/>
              <w:rPr>
                <w:rFonts w:ascii="Times New Roman" w:hAnsi="Times New Roman"/>
                <w:bCs/>
              </w:rPr>
            </w:pPr>
            <w:r>
              <w:rPr>
                <w:rFonts w:hint="eastAsia" w:ascii="宋体" w:hAnsi="宋体" w:eastAsia="宋体" w:cs="宋体"/>
              </w:rPr>
              <w:t>④</w:t>
            </w:r>
            <w:r>
              <w:rPr>
                <w:rFonts w:ascii="Times New Roman" w:hAnsi="Times New Roman"/>
              </w:rPr>
              <w:t>诚信尽责，为人诚实，信守承诺，勤奋努力，精益求精，勇于担责。</w:t>
            </w:r>
          </w:p>
        </w:tc>
      </w:tr>
      <w:tr w14:paraId="4A57F51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3D2C9C8">
            <w:pPr>
              <w:pStyle w:val="15"/>
              <w:rPr>
                <w:rFonts w:ascii="Times New Roman" w:hAnsi="Times New Roman"/>
              </w:rPr>
            </w:pPr>
            <w:r>
              <w:rPr>
                <w:rFonts w:ascii="Times New Roman" w:hAnsi="Times New Roman"/>
              </w:rPr>
              <w:t>LO2专业能力：具有人文科学素养，具备从事某项工作或专业的理论知识、实践能力。</w:t>
            </w:r>
          </w:p>
          <w:p w14:paraId="2B98A705">
            <w:pPr>
              <w:pStyle w:val="15"/>
              <w:rPr>
                <w:rFonts w:ascii="Times New Roman" w:hAnsi="Times New Roman"/>
                <w:bCs/>
              </w:rPr>
            </w:pPr>
            <w:r>
              <w:rPr>
                <w:rFonts w:hint="eastAsia" w:ascii="宋体" w:hAnsi="宋体" w:eastAsia="宋体" w:cs="宋体"/>
              </w:rPr>
              <w:t>①</w:t>
            </w:r>
            <w:r>
              <w:rPr>
                <w:rFonts w:ascii="Times New Roman" w:hAnsi="Times New Roman"/>
              </w:rPr>
              <w:t>具有专业所需的人文科学素养。</w:t>
            </w:r>
          </w:p>
        </w:tc>
      </w:tr>
      <w:tr w14:paraId="2A9E007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FBC4035">
            <w:pPr>
              <w:pStyle w:val="15"/>
              <w:rPr>
                <w:rFonts w:ascii="Times New Roman" w:hAnsi="Times New Roman"/>
              </w:rPr>
            </w:pPr>
            <w:r>
              <w:rPr>
                <w:rFonts w:ascii="Times New Roman" w:hAnsi="Times New Roman"/>
              </w:rPr>
              <w:t>LO4自主学习：能根据环境需要确定自己的学习目标，并主动地通过搜集信息、分析信息、讨论、实践、质疑、创造等方法来实现学习目标。</w:t>
            </w:r>
          </w:p>
          <w:p w14:paraId="385EB4E7">
            <w:pPr>
              <w:pStyle w:val="15"/>
              <w:rPr>
                <w:rFonts w:ascii="Times New Roman" w:hAnsi="Times New Roman"/>
                <w:bCs/>
              </w:rPr>
            </w:pPr>
            <w:r>
              <w:rPr>
                <w:rFonts w:hint="eastAsia" w:ascii="宋体" w:hAnsi="宋体" w:eastAsia="宋体" w:cs="宋体"/>
              </w:rPr>
              <w:t>②</w:t>
            </w:r>
            <w:r>
              <w:rPr>
                <w:rFonts w:ascii="Times New Roman" w:hAnsi="Times New Roman"/>
              </w:rPr>
              <w:t>能搜集、获取达到目标所需要的学习资源，实施学习计划、反思学习计划、持续改进，达到学习目标。</w:t>
            </w:r>
          </w:p>
        </w:tc>
      </w:tr>
    </w:tbl>
    <w:p w14:paraId="6B970EEA">
      <w:pPr>
        <w:pStyle w:val="18"/>
        <w:rPr>
          <w:rFonts w:ascii="Times New Roman" w:hAnsi="Times New Roman" w:cs="Times New Roman"/>
        </w:rPr>
      </w:pPr>
      <w:r>
        <w:rPr>
          <w:rFonts w:ascii="Times New Roman" w:hAnsi="Times New Roman" w:cs="Times New Roman"/>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66"/>
        <w:gridCol w:w="800"/>
        <w:gridCol w:w="799"/>
        <w:gridCol w:w="4763"/>
        <w:gridCol w:w="1348"/>
      </w:tblGrid>
      <w:tr w14:paraId="42BA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6" w:type="dxa"/>
            <w:tcBorders>
              <w:top w:val="single" w:color="auto" w:sz="12" w:space="0"/>
              <w:left w:val="single" w:color="auto" w:sz="12" w:space="0"/>
              <w:right w:val="single" w:color="auto" w:sz="4" w:space="0"/>
            </w:tcBorders>
            <w:shd w:val="clear" w:color="auto" w:fill="auto"/>
            <w:vAlign w:val="center"/>
          </w:tcPr>
          <w:p w14:paraId="23D4302B">
            <w:pPr>
              <w:pStyle w:val="14"/>
              <w:rPr>
                <w:rFonts w:ascii="Times New Roman" w:hAnsi="Times New Roman" w:cs="Times New Roman"/>
                <w:szCs w:val="16"/>
              </w:rPr>
            </w:pPr>
            <w:r>
              <w:rPr>
                <w:rFonts w:ascii="Times New Roman" w:hAnsi="Times New Roman" w:cs="Times New Roman"/>
                <w:szCs w:val="18"/>
              </w:rPr>
              <w:t>毕业要求</w:t>
            </w:r>
          </w:p>
        </w:tc>
        <w:tc>
          <w:tcPr>
            <w:tcW w:w="800" w:type="dxa"/>
            <w:tcBorders>
              <w:top w:val="single" w:color="auto" w:sz="12" w:space="0"/>
              <w:left w:val="single" w:color="auto" w:sz="4" w:space="0"/>
            </w:tcBorders>
            <w:vAlign w:val="center"/>
          </w:tcPr>
          <w:p w14:paraId="6EAAAA8E">
            <w:pPr>
              <w:pStyle w:val="14"/>
              <w:rPr>
                <w:rFonts w:ascii="Times New Roman" w:hAnsi="Times New Roman" w:cs="Times New Roman"/>
                <w:szCs w:val="16"/>
              </w:rPr>
            </w:pPr>
            <w:r>
              <w:rPr>
                <w:rFonts w:ascii="Times New Roman" w:hAnsi="Times New Roman" w:cs="Times New Roman"/>
                <w:szCs w:val="16"/>
              </w:rPr>
              <w:t>指标点</w:t>
            </w:r>
          </w:p>
        </w:tc>
        <w:tc>
          <w:tcPr>
            <w:tcW w:w="799" w:type="dxa"/>
            <w:tcBorders>
              <w:top w:val="single" w:color="auto" w:sz="12" w:space="0"/>
              <w:right w:val="double" w:color="auto" w:sz="4" w:space="0"/>
            </w:tcBorders>
            <w:shd w:val="clear" w:color="auto" w:fill="auto"/>
            <w:vAlign w:val="center"/>
          </w:tcPr>
          <w:p w14:paraId="47428B91">
            <w:pPr>
              <w:pStyle w:val="14"/>
              <w:rPr>
                <w:rFonts w:ascii="Times New Roman" w:hAnsi="Times New Roman" w:cs="Times New Roman"/>
                <w:szCs w:val="16"/>
              </w:rPr>
            </w:pPr>
            <w:r>
              <w:rPr>
                <w:rFonts w:ascii="Times New Roman" w:hAnsi="Times New Roman" w:cs="Times New Roman"/>
                <w:szCs w:val="16"/>
              </w:rPr>
              <w:t>支撑度</w:t>
            </w:r>
          </w:p>
        </w:tc>
        <w:tc>
          <w:tcPr>
            <w:tcW w:w="4763" w:type="dxa"/>
            <w:tcBorders>
              <w:top w:val="single" w:color="auto" w:sz="12" w:space="0"/>
            </w:tcBorders>
            <w:vAlign w:val="center"/>
          </w:tcPr>
          <w:p w14:paraId="491A56EF">
            <w:pPr>
              <w:pStyle w:val="14"/>
              <w:rPr>
                <w:rFonts w:ascii="Times New Roman" w:hAnsi="Times New Roman" w:cs="Times New Roman"/>
                <w:szCs w:val="16"/>
              </w:rPr>
            </w:pPr>
            <w:r>
              <w:rPr>
                <w:rFonts w:ascii="Times New Roman" w:hAnsi="Times New Roman" w:cs="Times New Roman"/>
                <w:szCs w:val="16"/>
              </w:rPr>
              <w:t>课程目标</w:t>
            </w:r>
          </w:p>
        </w:tc>
        <w:tc>
          <w:tcPr>
            <w:tcW w:w="1348" w:type="dxa"/>
            <w:tcBorders>
              <w:top w:val="single" w:color="auto" w:sz="12" w:space="0"/>
              <w:right w:val="single" w:color="auto" w:sz="12" w:space="0"/>
            </w:tcBorders>
            <w:vAlign w:val="center"/>
          </w:tcPr>
          <w:p w14:paraId="379E095C">
            <w:pPr>
              <w:pStyle w:val="14"/>
              <w:rPr>
                <w:rFonts w:ascii="Times New Roman" w:hAnsi="Times New Roman" w:cs="Times New Roman"/>
                <w:szCs w:val="16"/>
              </w:rPr>
            </w:pPr>
            <w:r>
              <w:rPr>
                <w:rFonts w:ascii="Times New Roman" w:hAnsi="Times New Roman" w:cs="Times New Roman"/>
                <w:szCs w:val="16"/>
              </w:rPr>
              <w:t>对指标点的贡献度</w:t>
            </w:r>
          </w:p>
        </w:tc>
      </w:tr>
      <w:tr w14:paraId="0F97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6" w:type="dxa"/>
            <w:tcBorders>
              <w:left w:val="single" w:color="auto" w:sz="12" w:space="0"/>
              <w:right w:val="single" w:color="auto" w:sz="4" w:space="0"/>
            </w:tcBorders>
            <w:shd w:val="clear" w:color="auto" w:fill="auto"/>
            <w:vAlign w:val="center"/>
          </w:tcPr>
          <w:p w14:paraId="3A9D38A1">
            <w:pPr>
              <w:pStyle w:val="15"/>
              <w:rPr>
                <w:rFonts w:ascii="Times New Roman" w:hAnsi="Times New Roman"/>
                <w:b/>
              </w:rPr>
            </w:pPr>
            <w:r>
              <w:rPr>
                <w:rFonts w:ascii="Times New Roman" w:hAnsi="Times New Roman"/>
              </w:rPr>
              <w:t>LO1</w:t>
            </w:r>
          </w:p>
        </w:tc>
        <w:tc>
          <w:tcPr>
            <w:tcW w:w="800" w:type="dxa"/>
            <w:tcBorders>
              <w:left w:val="single" w:color="auto" w:sz="4" w:space="0"/>
            </w:tcBorders>
            <w:vAlign w:val="center"/>
          </w:tcPr>
          <w:p w14:paraId="493D3870">
            <w:pPr>
              <w:pStyle w:val="15"/>
              <w:rPr>
                <w:rFonts w:ascii="Times New Roman" w:hAnsi="Times New Roman"/>
              </w:rPr>
            </w:pPr>
            <w:r>
              <w:rPr>
                <w:rFonts w:hint="eastAsia" w:ascii="宋体" w:hAnsi="宋体" w:eastAsia="宋体" w:cs="宋体"/>
              </w:rPr>
              <w:t>④</w:t>
            </w:r>
          </w:p>
        </w:tc>
        <w:tc>
          <w:tcPr>
            <w:tcW w:w="799" w:type="dxa"/>
            <w:tcBorders>
              <w:right w:val="double" w:color="auto" w:sz="4" w:space="0"/>
            </w:tcBorders>
            <w:shd w:val="clear" w:color="auto" w:fill="auto"/>
            <w:vAlign w:val="center"/>
          </w:tcPr>
          <w:p w14:paraId="53BBCFCC">
            <w:pPr>
              <w:pStyle w:val="15"/>
              <w:rPr>
                <w:rFonts w:ascii="Times New Roman" w:hAnsi="Times New Roman"/>
              </w:rPr>
            </w:pPr>
            <w:r>
              <w:rPr>
                <w:rFonts w:ascii="Times New Roman" w:hAnsi="Times New Roman"/>
              </w:rPr>
              <w:t>M</w:t>
            </w:r>
          </w:p>
        </w:tc>
        <w:tc>
          <w:tcPr>
            <w:tcW w:w="4763" w:type="dxa"/>
            <w:vAlign w:val="center"/>
          </w:tcPr>
          <w:p w14:paraId="41CC342C">
            <w:pPr>
              <w:pStyle w:val="15"/>
              <w:rPr>
                <w:rFonts w:ascii="Times New Roman" w:hAnsi="Times New Roman"/>
              </w:rPr>
            </w:pPr>
            <w:r>
              <w:rPr>
                <w:rFonts w:ascii="Times New Roman" w:hAnsi="Times New Roman"/>
              </w:rPr>
              <w:t>5.基础知识与德育元素结合，明确爱国、诚信、敬业、友爱的精神，建立符合社会主义道德要求的价值观和爱党爱国奉献社会的理想信念。</w:t>
            </w:r>
          </w:p>
        </w:tc>
        <w:tc>
          <w:tcPr>
            <w:tcW w:w="1348" w:type="dxa"/>
            <w:tcBorders>
              <w:right w:val="single" w:color="auto" w:sz="12" w:space="0"/>
            </w:tcBorders>
            <w:vAlign w:val="center"/>
          </w:tcPr>
          <w:p w14:paraId="3283D8A5">
            <w:pPr>
              <w:pStyle w:val="15"/>
              <w:rPr>
                <w:rFonts w:ascii="Times New Roman" w:hAnsi="Times New Roman"/>
              </w:rPr>
            </w:pPr>
            <w:r>
              <w:rPr>
                <w:rFonts w:ascii="Times New Roman" w:hAnsi="Times New Roman"/>
              </w:rPr>
              <w:t>100%</w:t>
            </w:r>
          </w:p>
        </w:tc>
      </w:tr>
      <w:tr w14:paraId="4223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6" w:type="dxa"/>
            <w:vMerge w:val="restart"/>
            <w:tcBorders>
              <w:left w:val="single" w:color="auto" w:sz="12" w:space="0"/>
              <w:right w:val="double" w:color="auto" w:sz="4" w:space="0"/>
            </w:tcBorders>
            <w:shd w:val="clear" w:color="auto" w:fill="auto"/>
            <w:vAlign w:val="center"/>
          </w:tcPr>
          <w:p w14:paraId="0C375E79">
            <w:pPr>
              <w:pStyle w:val="15"/>
              <w:rPr>
                <w:rFonts w:ascii="Times New Roman" w:hAnsi="Times New Roman"/>
              </w:rPr>
            </w:pPr>
          </w:p>
          <w:p w14:paraId="38CFE9C9">
            <w:pPr>
              <w:pStyle w:val="15"/>
              <w:rPr>
                <w:rFonts w:ascii="Times New Roman" w:hAnsi="Times New Roman"/>
              </w:rPr>
            </w:pPr>
            <w:r>
              <w:rPr>
                <w:rFonts w:ascii="Times New Roman" w:hAnsi="Times New Roman"/>
              </w:rPr>
              <w:t>LO2</w:t>
            </w:r>
          </w:p>
          <w:p w14:paraId="64EB933B">
            <w:pPr>
              <w:pStyle w:val="15"/>
              <w:rPr>
                <w:rFonts w:ascii="Times New Roman" w:hAnsi="Times New Roman"/>
              </w:rPr>
            </w:pPr>
          </w:p>
        </w:tc>
        <w:tc>
          <w:tcPr>
            <w:tcW w:w="800" w:type="dxa"/>
            <w:vMerge w:val="restart"/>
            <w:tcBorders>
              <w:left w:val="single" w:color="auto" w:sz="12" w:space="0"/>
              <w:right w:val="double" w:color="auto" w:sz="4" w:space="0"/>
            </w:tcBorders>
            <w:shd w:val="clear" w:color="auto" w:fill="auto"/>
            <w:vAlign w:val="center"/>
          </w:tcPr>
          <w:p w14:paraId="37890E85">
            <w:pPr>
              <w:pStyle w:val="15"/>
              <w:rPr>
                <w:rFonts w:ascii="Times New Roman" w:hAnsi="Times New Roman"/>
              </w:rPr>
            </w:pPr>
          </w:p>
          <w:p w14:paraId="6BEC056D">
            <w:pPr>
              <w:pStyle w:val="15"/>
              <w:rPr>
                <w:rFonts w:ascii="Times New Roman" w:hAnsi="Times New Roman"/>
              </w:rPr>
            </w:pPr>
            <w:r>
              <w:rPr>
                <w:rFonts w:hint="eastAsia" w:ascii="宋体" w:hAnsi="宋体" w:eastAsia="宋体" w:cs="宋体"/>
              </w:rPr>
              <w:t>①</w:t>
            </w:r>
          </w:p>
          <w:p w14:paraId="013C49E0">
            <w:pPr>
              <w:pStyle w:val="15"/>
              <w:rPr>
                <w:rFonts w:ascii="Times New Roman" w:hAnsi="Times New Roman"/>
              </w:rPr>
            </w:pPr>
          </w:p>
        </w:tc>
        <w:tc>
          <w:tcPr>
            <w:tcW w:w="799" w:type="dxa"/>
            <w:vMerge w:val="restart"/>
            <w:tcBorders>
              <w:left w:val="single" w:color="auto" w:sz="12" w:space="0"/>
              <w:right w:val="double" w:color="auto" w:sz="4" w:space="0"/>
            </w:tcBorders>
            <w:shd w:val="clear" w:color="auto" w:fill="auto"/>
            <w:vAlign w:val="center"/>
          </w:tcPr>
          <w:p w14:paraId="040437A5">
            <w:pPr>
              <w:pStyle w:val="15"/>
              <w:rPr>
                <w:rFonts w:ascii="Times New Roman" w:hAnsi="Times New Roman"/>
              </w:rPr>
            </w:pPr>
            <w:r>
              <w:rPr>
                <w:rFonts w:ascii="Times New Roman" w:hAnsi="Times New Roman"/>
              </w:rPr>
              <w:t>M</w:t>
            </w:r>
          </w:p>
        </w:tc>
        <w:tc>
          <w:tcPr>
            <w:tcW w:w="4763" w:type="dxa"/>
            <w:vAlign w:val="center"/>
          </w:tcPr>
          <w:p w14:paraId="620D0B65">
            <w:pPr>
              <w:pStyle w:val="15"/>
              <w:rPr>
                <w:rFonts w:ascii="Times New Roman" w:hAnsi="Times New Roman"/>
              </w:rPr>
            </w:pPr>
            <w:r>
              <w:rPr>
                <w:rFonts w:ascii="Times New Roman" w:hAnsi="Times New Roman"/>
              </w:rPr>
              <w:t>1.掌握基本概念、性质和定理并会进行相应计算。</w:t>
            </w:r>
          </w:p>
        </w:tc>
        <w:tc>
          <w:tcPr>
            <w:tcW w:w="1348" w:type="dxa"/>
            <w:tcBorders>
              <w:right w:val="single" w:color="auto" w:sz="12" w:space="0"/>
            </w:tcBorders>
            <w:vAlign w:val="center"/>
          </w:tcPr>
          <w:p w14:paraId="4C907B6C">
            <w:pPr>
              <w:pStyle w:val="15"/>
              <w:rPr>
                <w:rFonts w:ascii="Times New Roman" w:hAnsi="Times New Roman"/>
              </w:rPr>
            </w:pPr>
            <w:r>
              <w:rPr>
                <w:rFonts w:ascii="Times New Roman" w:hAnsi="Times New Roman"/>
              </w:rPr>
              <w:t>60%</w:t>
            </w:r>
          </w:p>
        </w:tc>
      </w:tr>
      <w:tr w14:paraId="78DB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6" w:type="dxa"/>
            <w:vMerge w:val="continue"/>
            <w:tcBorders>
              <w:left w:val="single" w:color="auto" w:sz="12" w:space="0"/>
              <w:right w:val="double" w:color="auto" w:sz="4" w:space="0"/>
            </w:tcBorders>
            <w:shd w:val="clear" w:color="auto" w:fill="auto"/>
            <w:vAlign w:val="center"/>
          </w:tcPr>
          <w:p w14:paraId="33BD63C8">
            <w:pPr>
              <w:pStyle w:val="15"/>
              <w:rPr>
                <w:rFonts w:ascii="Times New Roman" w:hAnsi="Times New Roman"/>
              </w:rPr>
            </w:pPr>
          </w:p>
        </w:tc>
        <w:tc>
          <w:tcPr>
            <w:tcW w:w="800" w:type="dxa"/>
            <w:vMerge w:val="continue"/>
            <w:tcBorders>
              <w:left w:val="single" w:color="auto" w:sz="12" w:space="0"/>
              <w:right w:val="double" w:color="auto" w:sz="4" w:space="0"/>
            </w:tcBorders>
            <w:shd w:val="clear" w:color="auto" w:fill="auto"/>
            <w:vAlign w:val="center"/>
          </w:tcPr>
          <w:p w14:paraId="5FAF01E3">
            <w:pPr>
              <w:pStyle w:val="15"/>
              <w:rPr>
                <w:rFonts w:ascii="Times New Roman" w:hAnsi="Times New Roman"/>
              </w:rPr>
            </w:pPr>
          </w:p>
        </w:tc>
        <w:tc>
          <w:tcPr>
            <w:tcW w:w="799" w:type="dxa"/>
            <w:vMerge w:val="continue"/>
            <w:tcBorders>
              <w:left w:val="single" w:color="auto" w:sz="12" w:space="0"/>
              <w:right w:val="double" w:color="auto" w:sz="4" w:space="0"/>
            </w:tcBorders>
            <w:shd w:val="clear" w:color="auto" w:fill="auto"/>
            <w:vAlign w:val="center"/>
          </w:tcPr>
          <w:p w14:paraId="1950F846">
            <w:pPr>
              <w:pStyle w:val="15"/>
              <w:rPr>
                <w:rFonts w:ascii="Times New Roman" w:hAnsi="Times New Roman"/>
              </w:rPr>
            </w:pPr>
          </w:p>
        </w:tc>
        <w:tc>
          <w:tcPr>
            <w:tcW w:w="4763" w:type="dxa"/>
            <w:vAlign w:val="center"/>
          </w:tcPr>
          <w:p w14:paraId="5211879D">
            <w:pPr>
              <w:pStyle w:val="15"/>
              <w:rPr>
                <w:rFonts w:ascii="Times New Roman" w:hAnsi="Times New Roman"/>
              </w:rPr>
            </w:pPr>
            <w:r>
              <w:rPr>
                <w:rFonts w:ascii="Times New Roman" w:hAnsi="Times New Roman"/>
              </w:rPr>
              <w:t>2.具有一定运算能力、逻辑推理和抽象思维能力。</w:t>
            </w:r>
          </w:p>
        </w:tc>
        <w:tc>
          <w:tcPr>
            <w:tcW w:w="1348" w:type="dxa"/>
            <w:tcBorders>
              <w:right w:val="single" w:color="auto" w:sz="12" w:space="0"/>
            </w:tcBorders>
            <w:vAlign w:val="center"/>
          </w:tcPr>
          <w:p w14:paraId="2A145A4F">
            <w:pPr>
              <w:pStyle w:val="15"/>
              <w:rPr>
                <w:rFonts w:ascii="Times New Roman" w:hAnsi="Times New Roman"/>
              </w:rPr>
            </w:pPr>
            <w:r>
              <w:rPr>
                <w:rFonts w:ascii="Times New Roman" w:hAnsi="Times New Roman"/>
              </w:rPr>
              <w:t>20%</w:t>
            </w:r>
          </w:p>
        </w:tc>
      </w:tr>
      <w:tr w14:paraId="5594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6" w:type="dxa"/>
            <w:vMerge w:val="continue"/>
            <w:tcBorders>
              <w:left w:val="single" w:color="auto" w:sz="12" w:space="0"/>
              <w:right w:val="double" w:color="auto" w:sz="4" w:space="0"/>
            </w:tcBorders>
            <w:shd w:val="clear" w:color="auto" w:fill="auto"/>
          </w:tcPr>
          <w:p w14:paraId="5D2F7586">
            <w:pPr>
              <w:pStyle w:val="15"/>
              <w:rPr>
                <w:rFonts w:ascii="Times New Roman" w:hAnsi="Times New Roman"/>
              </w:rPr>
            </w:pPr>
          </w:p>
        </w:tc>
        <w:tc>
          <w:tcPr>
            <w:tcW w:w="800" w:type="dxa"/>
            <w:vMerge w:val="continue"/>
            <w:tcBorders>
              <w:left w:val="single" w:color="auto" w:sz="12" w:space="0"/>
              <w:right w:val="double" w:color="auto" w:sz="4" w:space="0"/>
            </w:tcBorders>
            <w:shd w:val="clear" w:color="auto" w:fill="auto"/>
          </w:tcPr>
          <w:p w14:paraId="5E91573A">
            <w:pPr>
              <w:pStyle w:val="15"/>
              <w:rPr>
                <w:rFonts w:ascii="Times New Roman" w:hAnsi="Times New Roman"/>
              </w:rPr>
            </w:pPr>
          </w:p>
        </w:tc>
        <w:tc>
          <w:tcPr>
            <w:tcW w:w="799" w:type="dxa"/>
            <w:vMerge w:val="continue"/>
            <w:tcBorders>
              <w:left w:val="single" w:color="auto" w:sz="12" w:space="0"/>
              <w:right w:val="double" w:color="auto" w:sz="4" w:space="0"/>
            </w:tcBorders>
            <w:shd w:val="clear" w:color="auto" w:fill="auto"/>
          </w:tcPr>
          <w:p w14:paraId="116755BE">
            <w:pPr>
              <w:pStyle w:val="15"/>
              <w:rPr>
                <w:rFonts w:ascii="Times New Roman" w:hAnsi="Times New Roman"/>
              </w:rPr>
            </w:pPr>
          </w:p>
        </w:tc>
        <w:tc>
          <w:tcPr>
            <w:tcW w:w="4763" w:type="dxa"/>
            <w:vAlign w:val="center"/>
          </w:tcPr>
          <w:p w14:paraId="54DA690D">
            <w:pPr>
              <w:pStyle w:val="15"/>
              <w:rPr>
                <w:rFonts w:ascii="Times New Roman" w:hAnsi="Times New Roman"/>
              </w:rPr>
            </w:pPr>
            <w:r>
              <w:rPr>
                <w:rFonts w:ascii="Times New Roman" w:hAnsi="Times New Roman"/>
              </w:rPr>
              <w:t>3.综合运用所学知识分析和解决问题的能力。</w:t>
            </w:r>
          </w:p>
        </w:tc>
        <w:tc>
          <w:tcPr>
            <w:tcW w:w="1348" w:type="dxa"/>
            <w:tcBorders>
              <w:right w:val="single" w:color="auto" w:sz="12" w:space="0"/>
            </w:tcBorders>
            <w:vAlign w:val="center"/>
          </w:tcPr>
          <w:p w14:paraId="670DD618">
            <w:pPr>
              <w:pStyle w:val="15"/>
              <w:rPr>
                <w:rFonts w:ascii="Times New Roman" w:hAnsi="Times New Roman"/>
              </w:rPr>
            </w:pPr>
            <w:r>
              <w:rPr>
                <w:rFonts w:ascii="Times New Roman" w:hAnsi="Times New Roman"/>
              </w:rPr>
              <w:t>20%</w:t>
            </w:r>
          </w:p>
        </w:tc>
      </w:tr>
      <w:tr w14:paraId="6E16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6" w:type="dxa"/>
            <w:tcBorders>
              <w:left w:val="single" w:color="auto" w:sz="12" w:space="0"/>
              <w:bottom w:val="single" w:color="auto" w:sz="12" w:space="0"/>
              <w:right w:val="single" w:color="auto" w:sz="4" w:space="0"/>
            </w:tcBorders>
            <w:shd w:val="clear" w:color="auto" w:fill="auto"/>
          </w:tcPr>
          <w:p w14:paraId="68DA676E">
            <w:pPr>
              <w:pStyle w:val="15"/>
              <w:rPr>
                <w:rFonts w:ascii="Times New Roman" w:hAnsi="Times New Roman"/>
              </w:rPr>
            </w:pPr>
            <w:r>
              <w:rPr>
                <w:rFonts w:ascii="Times New Roman" w:hAnsi="Times New Roman"/>
              </w:rPr>
              <w:t>LO4</w:t>
            </w:r>
          </w:p>
        </w:tc>
        <w:tc>
          <w:tcPr>
            <w:tcW w:w="800" w:type="dxa"/>
            <w:tcBorders>
              <w:left w:val="single" w:color="auto" w:sz="4" w:space="0"/>
              <w:bottom w:val="single" w:color="auto" w:sz="12" w:space="0"/>
            </w:tcBorders>
            <w:vAlign w:val="center"/>
          </w:tcPr>
          <w:p w14:paraId="54D93B31">
            <w:pPr>
              <w:pStyle w:val="15"/>
              <w:rPr>
                <w:rFonts w:ascii="Times New Roman" w:hAnsi="Times New Roman"/>
              </w:rPr>
            </w:pPr>
            <w:r>
              <w:rPr>
                <w:rFonts w:hint="eastAsia" w:ascii="宋体" w:hAnsi="宋体" w:eastAsia="宋体" w:cs="宋体"/>
              </w:rPr>
              <w:t>②</w:t>
            </w:r>
          </w:p>
        </w:tc>
        <w:tc>
          <w:tcPr>
            <w:tcW w:w="799" w:type="dxa"/>
            <w:tcBorders>
              <w:bottom w:val="single" w:color="auto" w:sz="12" w:space="0"/>
              <w:right w:val="double" w:color="auto" w:sz="4" w:space="0"/>
            </w:tcBorders>
            <w:shd w:val="clear" w:color="auto" w:fill="auto"/>
            <w:vAlign w:val="center"/>
          </w:tcPr>
          <w:p w14:paraId="23DB6532">
            <w:pPr>
              <w:pStyle w:val="15"/>
              <w:rPr>
                <w:rFonts w:ascii="Times New Roman" w:hAnsi="Times New Roman"/>
              </w:rPr>
            </w:pPr>
            <w:r>
              <w:rPr>
                <w:rFonts w:ascii="Times New Roman" w:hAnsi="Times New Roman"/>
              </w:rPr>
              <w:t>M</w:t>
            </w:r>
          </w:p>
        </w:tc>
        <w:tc>
          <w:tcPr>
            <w:tcW w:w="4763" w:type="dxa"/>
            <w:tcBorders>
              <w:bottom w:val="single" w:color="auto" w:sz="12" w:space="0"/>
            </w:tcBorders>
            <w:vAlign w:val="center"/>
          </w:tcPr>
          <w:p w14:paraId="15F4C49D">
            <w:pPr>
              <w:pStyle w:val="15"/>
              <w:rPr>
                <w:rFonts w:ascii="Times New Roman" w:hAnsi="Times New Roman"/>
              </w:rPr>
            </w:pPr>
            <w:r>
              <w:rPr>
                <w:rFonts w:ascii="Times New Roman" w:hAnsi="Times New Roman"/>
              </w:rPr>
              <w:t>4.建立数学思维，培养学生严谨科学的学习习惯，</w:t>
            </w:r>
          </w:p>
          <w:p w14:paraId="72B0DE66">
            <w:pPr>
              <w:pStyle w:val="15"/>
              <w:rPr>
                <w:rFonts w:ascii="Times New Roman" w:hAnsi="Times New Roman"/>
              </w:rPr>
            </w:pPr>
            <w:r>
              <w:rPr>
                <w:rFonts w:ascii="Times New Roman" w:hAnsi="Times New Roman"/>
              </w:rPr>
              <w:t>较强的自主学习能力。</w:t>
            </w:r>
          </w:p>
        </w:tc>
        <w:tc>
          <w:tcPr>
            <w:tcW w:w="1348" w:type="dxa"/>
            <w:tcBorders>
              <w:bottom w:val="single" w:color="auto" w:sz="12" w:space="0"/>
              <w:right w:val="single" w:color="auto" w:sz="12" w:space="0"/>
            </w:tcBorders>
            <w:vAlign w:val="center"/>
          </w:tcPr>
          <w:p w14:paraId="2A8CDEE0">
            <w:pPr>
              <w:pStyle w:val="15"/>
              <w:rPr>
                <w:rFonts w:ascii="Times New Roman" w:hAnsi="Times New Roman"/>
              </w:rPr>
            </w:pPr>
            <w:r>
              <w:rPr>
                <w:rFonts w:ascii="Times New Roman" w:hAnsi="Times New Roman"/>
              </w:rPr>
              <w:t>100%</w:t>
            </w:r>
          </w:p>
        </w:tc>
      </w:tr>
    </w:tbl>
    <w:p w14:paraId="1C568466">
      <w:pPr>
        <w:pStyle w:val="17"/>
        <w:rPr>
          <w:rFonts w:ascii="Times New Roman" w:hAnsi="Times New Roman" w:cs="Times New Roman"/>
        </w:rPr>
      </w:pPr>
    </w:p>
    <w:p w14:paraId="4DF1BD83">
      <w:pPr>
        <w:pStyle w:val="17"/>
        <w:rPr>
          <w:rFonts w:ascii="Times New Roman" w:hAnsi="Times New Roman" w:cs="Times New Roman"/>
        </w:rPr>
      </w:pPr>
    </w:p>
    <w:p w14:paraId="1F33D3AB">
      <w:pPr>
        <w:pStyle w:val="17"/>
        <w:rPr>
          <w:rFonts w:ascii="Times New Roman" w:hAnsi="Times New Roman" w:cs="Times New Roman"/>
        </w:rPr>
      </w:pPr>
      <w:r>
        <w:rPr>
          <w:rFonts w:ascii="Times New Roman" w:hAnsi="Times New Roman" w:cs="Times New Roman"/>
        </w:rPr>
        <w:t>三、课程内容与教学设计</w:t>
      </w:r>
    </w:p>
    <w:p w14:paraId="190210E5">
      <w:pPr>
        <w:pStyle w:val="18"/>
        <w:rPr>
          <w:rFonts w:ascii="Times New Roman" w:hAnsi="Times New Roman" w:cs="Times New Roman"/>
        </w:rPr>
      </w:pPr>
      <w:r>
        <w:rPr>
          <w:rFonts w:ascii="Times New Roman" w:hAnsi="Times New Roman" w:cs="Times New Roman"/>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36347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42" w:hRule="atLeast"/>
        </w:trPr>
        <w:tc>
          <w:tcPr>
            <w:tcW w:w="8296" w:type="dxa"/>
          </w:tcPr>
          <w:p w14:paraId="26465C5B">
            <w:pPr>
              <w:widowControl w:val="0"/>
              <w:snapToGrid w:val="0"/>
              <w:spacing w:line="288" w:lineRule="auto"/>
              <w:ind w:firstLine="420" w:firstLineChars="200"/>
              <w:jc w:val="both"/>
              <w:rPr>
                <w:rFonts w:ascii="Times New Roman" w:hAnsi="Times New Roman" w:eastAsia="黑体" w:cs="Times New Roman"/>
                <w:bCs/>
                <w:sz w:val="21"/>
                <w:szCs w:val="21"/>
              </w:rPr>
            </w:pPr>
            <w:bookmarkStart w:id="0" w:name="OLE_LINK6"/>
            <w:bookmarkStart w:id="1" w:name="OLE_LINK5"/>
            <w:r>
              <w:rPr>
                <w:rFonts w:ascii="Times New Roman" w:hAnsi="Times New Roman" w:eastAsia="黑体" w:cs="Times New Roman"/>
                <w:bCs/>
                <w:sz w:val="21"/>
                <w:szCs w:val="21"/>
              </w:rPr>
              <w:t>第八单元 向量代数与空间解析几何</w:t>
            </w:r>
          </w:p>
          <w:p w14:paraId="4BF24010">
            <w:pPr>
              <w:widowControl w:val="0"/>
              <w:snapToGrid w:val="0"/>
              <w:spacing w:line="288" w:lineRule="auto"/>
              <w:ind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bCs/>
                <w:sz w:val="21"/>
                <w:szCs w:val="21"/>
              </w:rPr>
              <w:t>教学知识点：</w:t>
            </w:r>
          </w:p>
          <w:p w14:paraId="2D0E1788">
            <w:pPr>
              <w:widowControl w:val="0"/>
              <w:snapToGrid w:val="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 xml:space="preserve">    向量及其线性运算 点的坐标与向量的坐标 向量的数量积和向量积 平面及其方程 空间直线及其方程 曲面和空间曲线 </w:t>
            </w:r>
          </w:p>
          <w:p w14:paraId="6C5F2114">
            <w:pPr>
              <w:widowControl w:val="0"/>
              <w:snapToGrid w:val="0"/>
              <w:spacing w:line="288" w:lineRule="auto"/>
              <w:ind w:firstLine="420" w:firstLineChars="200"/>
              <w:jc w:val="both"/>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教学能力要求</w:t>
            </w:r>
          </w:p>
          <w:p w14:paraId="1512B4D2">
            <w:pPr>
              <w:widowControl w:val="0"/>
              <w:snapToGrid w:val="0"/>
              <w:ind w:right="2520"/>
              <w:jc w:val="both"/>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 xml:space="preserve">    （1）理解向量的概念及其表示。</w:t>
            </w:r>
          </w:p>
          <w:p w14:paraId="5017B033">
            <w:pPr>
              <w:widowControl w:val="0"/>
              <w:snapToGrid w:val="0"/>
              <w:ind w:right="71"/>
              <w:jc w:val="both"/>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 xml:space="preserve">    （2）会运用向量的运算方法（线性运算、数量积、向量积），</w:t>
            </w:r>
            <w:r>
              <w:rPr>
                <w:rFonts w:ascii="Times New Roman" w:hAnsi="Times New Roman" w:eastAsia="黑体" w:cs="Times New Roman"/>
                <w:bCs/>
                <w:kern w:val="2"/>
                <w:sz w:val="21"/>
                <w:szCs w:val="21"/>
              </w:rPr>
              <w:t>掌握</w:t>
            </w:r>
            <w:r>
              <w:rPr>
                <w:rFonts w:ascii="Times New Roman" w:hAnsi="Times New Roman" w:eastAsia="黑体" w:cs="Times New Roman"/>
                <w:color w:val="000000"/>
                <w:kern w:val="2"/>
                <w:sz w:val="21"/>
                <w:szCs w:val="21"/>
              </w:rPr>
              <w:t>两个向量垂直、平行的条件。</w:t>
            </w:r>
          </w:p>
          <w:p w14:paraId="52068643">
            <w:pPr>
              <w:widowControl w:val="0"/>
              <w:snapToGrid w:val="0"/>
              <w:ind w:right="71"/>
              <w:jc w:val="both"/>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 xml:space="preserve">    （3）会建立平面、直线的方程，会运用平面、直线的相互关系解决有关问题。</w:t>
            </w:r>
          </w:p>
          <w:p w14:paraId="71712B86">
            <w:pPr>
              <w:widowControl w:val="0"/>
              <w:snapToGrid w:val="0"/>
              <w:ind w:right="-109" w:firstLine="420" w:firstLineChars="200"/>
              <w:jc w:val="both"/>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（4）理解曲面方程的概念，</w:t>
            </w:r>
            <w:r>
              <w:rPr>
                <w:rFonts w:ascii="Times New Roman" w:hAnsi="Times New Roman" w:eastAsia="黑体" w:cs="Times New Roman"/>
                <w:bCs/>
                <w:kern w:val="2"/>
                <w:sz w:val="21"/>
                <w:szCs w:val="21"/>
              </w:rPr>
              <w:t>知道</w:t>
            </w:r>
            <w:r>
              <w:rPr>
                <w:rFonts w:ascii="Times New Roman" w:hAnsi="Times New Roman" w:eastAsia="黑体" w:cs="Times New Roman"/>
                <w:color w:val="000000"/>
                <w:kern w:val="2"/>
                <w:sz w:val="21"/>
                <w:szCs w:val="21"/>
              </w:rPr>
              <w:t>常用二次曲面的方程。</w:t>
            </w:r>
          </w:p>
          <w:p w14:paraId="728764A8">
            <w:pPr>
              <w:widowControl w:val="0"/>
              <w:snapToGrid w:val="0"/>
              <w:ind w:right="-109"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color w:val="000000"/>
                <w:kern w:val="2"/>
                <w:sz w:val="21"/>
                <w:szCs w:val="21"/>
              </w:rPr>
              <w:t>教学重点：</w:t>
            </w:r>
            <w:r>
              <w:rPr>
                <w:rFonts w:ascii="Times New Roman" w:hAnsi="Times New Roman" w:eastAsia="黑体" w:cs="Times New Roman"/>
                <w:bCs/>
                <w:color w:val="000000"/>
                <w:kern w:val="2"/>
                <w:sz w:val="21"/>
                <w:szCs w:val="21"/>
              </w:rPr>
              <w:t>向量及其线性运算 点的坐标与向量的坐标 向量的数量积和向量积 平面及其方程 空间直线及其方程 曲面和空间曲线。</w:t>
            </w:r>
          </w:p>
          <w:p w14:paraId="72436C70">
            <w:pPr>
              <w:widowControl w:val="0"/>
              <w:snapToGrid w:val="0"/>
              <w:ind w:right="-109" w:firstLine="420" w:firstLineChars="200"/>
              <w:jc w:val="both"/>
              <w:rPr>
                <w:rFonts w:ascii="Times New Roman" w:hAnsi="Times New Roman" w:eastAsia="黑体" w:cs="Times New Roman"/>
                <w:color w:val="000000"/>
                <w:kern w:val="2"/>
                <w:sz w:val="21"/>
                <w:szCs w:val="21"/>
              </w:rPr>
            </w:pPr>
            <w:r>
              <w:rPr>
                <w:rFonts w:ascii="Times New Roman" w:hAnsi="Times New Roman" w:eastAsia="黑体" w:cs="Times New Roman"/>
                <w:bCs/>
                <w:color w:val="000000"/>
                <w:kern w:val="2"/>
                <w:sz w:val="21"/>
                <w:szCs w:val="21"/>
              </w:rPr>
              <w:t>教学难点：向量的向量积，曲面和空间曲线。</w:t>
            </w:r>
          </w:p>
          <w:p w14:paraId="384953C0">
            <w:pPr>
              <w:widowControl w:val="0"/>
              <w:snapToGrid w:val="0"/>
              <w:ind w:left="408" w:leftChars="170" w:firstLine="65" w:firstLineChars="31"/>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第九单元 多元函数微分法及其应用</w:t>
            </w:r>
          </w:p>
          <w:p w14:paraId="3E9EB9F2">
            <w:pPr>
              <w:widowControl w:val="0"/>
              <w:snapToGrid w:val="0"/>
              <w:spacing w:line="288" w:lineRule="auto"/>
              <w:ind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教学知识点</w:t>
            </w:r>
          </w:p>
          <w:p w14:paraId="3F269E3B">
            <w:pPr>
              <w:widowControl w:val="0"/>
              <w:snapToGrid w:val="0"/>
              <w:ind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多元函数的概念 二元函数的几何意义 多元函数的极限与连续的概念 多元函数偏导数和全微分的概念 全微分存在的必要条件和充分条件 多元复合函数、隐函数求导法 二阶偏导数 空间曲线的切线与法平面 曲面的切平面与法线 方向导数与梯度 多元函数极值和条件极值的概念 多元函数极值的必要条件 二元函数极值的充分条件 极值的求法 拉格朗日乘数法 多元函数的最大值、最小值及其简单应用.</w:t>
            </w:r>
          </w:p>
          <w:p w14:paraId="3D71C59C">
            <w:pPr>
              <w:widowControl w:val="0"/>
              <w:snapToGrid w:val="0"/>
              <w:spacing w:line="288" w:lineRule="auto"/>
              <w:ind w:firstLine="420" w:firstLineChars="200"/>
              <w:jc w:val="both"/>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教学能力要求</w:t>
            </w:r>
          </w:p>
          <w:p w14:paraId="1E208804">
            <w:pPr>
              <w:widowControl w:val="0"/>
              <w:snapToGrid w:val="0"/>
              <w:ind w:left="408" w:leftChars="170" w:right="-109" w:firstLine="44" w:firstLineChars="21"/>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（1）理解二元函数的概念，</w:t>
            </w:r>
            <w:r>
              <w:rPr>
                <w:rFonts w:ascii="Times New Roman" w:hAnsi="Times New Roman" w:eastAsia="黑体" w:cs="Times New Roman"/>
                <w:bCs/>
                <w:kern w:val="2"/>
                <w:sz w:val="21"/>
                <w:szCs w:val="21"/>
              </w:rPr>
              <w:t>了解</w:t>
            </w:r>
            <w:r>
              <w:rPr>
                <w:rFonts w:ascii="Times New Roman" w:hAnsi="Times New Roman" w:eastAsia="黑体" w:cs="Times New Roman"/>
                <w:bCs/>
                <w:color w:val="000000"/>
                <w:kern w:val="2"/>
                <w:sz w:val="21"/>
                <w:szCs w:val="21"/>
              </w:rPr>
              <w:t>多元函数的概念。</w:t>
            </w:r>
          </w:p>
          <w:p w14:paraId="65A2BFFE">
            <w:pPr>
              <w:widowControl w:val="0"/>
              <w:snapToGrid w:val="0"/>
              <w:ind w:right="-109"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（2）</w:t>
            </w:r>
            <w:r>
              <w:rPr>
                <w:rFonts w:ascii="Times New Roman" w:hAnsi="Times New Roman" w:eastAsia="黑体" w:cs="Times New Roman"/>
                <w:bCs/>
                <w:kern w:val="2"/>
                <w:sz w:val="21"/>
                <w:szCs w:val="21"/>
              </w:rPr>
              <w:t>理解</w:t>
            </w:r>
            <w:r>
              <w:rPr>
                <w:rFonts w:ascii="Times New Roman" w:hAnsi="Times New Roman" w:eastAsia="黑体" w:cs="Times New Roman"/>
                <w:bCs/>
                <w:color w:val="000000"/>
                <w:kern w:val="2"/>
                <w:sz w:val="21"/>
                <w:szCs w:val="21"/>
              </w:rPr>
              <w:t>二元函数的极限和连续的概念；</w:t>
            </w:r>
            <w:r>
              <w:rPr>
                <w:rFonts w:ascii="Times New Roman" w:hAnsi="Times New Roman" w:eastAsia="黑体" w:cs="Times New Roman"/>
                <w:bCs/>
                <w:kern w:val="2"/>
                <w:sz w:val="21"/>
                <w:szCs w:val="21"/>
              </w:rPr>
              <w:t>了解</w:t>
            </w:r>
            <w:r>
              <w:rPr>
                <w:rFonts w:ascii="Times New Roman" w:hAnsi="Times New Roman" w:eastAsia="黑体" w:cs="Times New Roman"/>
                <w:bCs/>
                <w:color w:val="000000"/>
                <w:kern w:val="2"/>
                <w:sz w:val="21"/>
                <w:szCs w:val="21"/>
              </w:rPr>
              <w:t>有界闭区域上连续函数的性质。</w:t>
            </w:r>
          </w:p>
          <w:p w14:paraId="44D8D0FA">
            <w:pPr>
              <w:widowControl w:val="0"/>
              <w:snapToGrid w:val="0"/>
              <w:ind w:right="-109"/>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 xml:space="preserve">    （3）理解二元函数的偏导数与全微分的概念，</w:t>
            </w:r>
            <w:r>
              <w:rPr>
                <w:rFonts w:ascii="Times New Roman" w:hAnsi="Times New Roman" w:eastAsia="黑体" w:cs="Times New Roman"/>
                <w:bCs/>
                <w:kern w:val="2"/>
                <w:sz w:val="21"/>
                <w:szCs w:val="21"/>
              </w:rPr>
              <w:t>了解</w:t>
            </w:r>
            <w:r>
              <w:rPr>
                <w:rFonts w:ascii="Times New Roman" w:hAnsi="Times New Roman" w:eastAsia="黑体" w:cs="Times New Roman"/>
                <w:bCs/>
                <w:color w:val="000000"/>
                <w:kern w:val="2"/>
                <w:sz w:val="21"/>
                <w:szCs w:val="21"/>
              </w:rPr>
              <w:t>全微分存在的必要条件和充分条件，会运用多元函数偏导数与全微分的计算方法。</w:t>
            </w:r>
          </w:p>
          <w:p w14:paraId="05726AF1">
            <w:pPr>
              <w:widowControl w:val="0"/>
              <w:snapToGrid w:val="0"/>
              <w:ind w:right="-109"/>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 xml:space="preserve">    （4）会运用复合函数一阶偏导数的求法，会求复合函数的二阶偏导数（对于求抽象复合函数的二阶偏导数，只要求作简单训练）。</w:t>
            </w:r>
          </w:p>
          <w:p w14:paraId="4037CE10">
            <w:pPr>
              <w:widowControl w:val="0"/>
              <w:snapToGrid w:val="0"/>
              <w:ind w:right="-109"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（5）会运用隐函数的一阶偏导数的求法（对隐函数的二阶偏导数作简单训练），</w:t>
            </w:r>
            <w:r>
              <w:rPr>
                <w:rFonts w:ascii="Times New Roman" w:hAnsi="Times New Roman" w:eastAsia="黑体" w:cs="Times New Roman"/>
                <w:bCs/>
                <w:kern w:val="2"/>
                <w:sz w:val="21"/>
                <w:szCs w:val="21"/>
              </w:rPr>
              <w:t>知道</w:t>
            </w:r>
            <w:r>
              <w:rPr>
                <w:rFonts w:ascii="Times New Roman" w:hAnsi="Times New Roman" w:eastAsia="黑体" w:cs="Times New Roman"/>
                <w:bCs/>
                <w:color w:val="000000"/>
                <w:kern w:val="2"/>
                <w:sz w:val="21"/>
                <w:szCs w:val="21"/>
              </w:rPr>
              <w:t>由两个方程构成的方程组所确定的隐函数的一阶偏导数。</w:t>
            </w:r>
          </w:p>
          <w:p w14:paraId="081C900A">
            <w:pPr>
              <w:widowControl w:val="0"/>
              <w:snapToGrid w:val="0"/>
              <w:ind w:right="-109"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（6）理解空间曲线的切线与法平面及曲面的切平面与法线定义，会求它们的方程。</w:t>
            </w:r>
          </w:p>
          <w:p w14:paraId="299BF0C0">
            <w:pPr>
              <w:widowControl w:val="0"/>
              <w:snapToGrid w:val="0"/>
              <w:ind w:right="-109"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（7）理解二元函数极值与条件极值的概念，会求二元函数的极值，了解条件极值的拉格朗日乘数法，会求解一些较简单的最大值与最小值的应用问题。</w:t>
            </w:r>
          </w:p>
          <w:p w14:paraId="453BC8F1">
            <w:pPr>
              <w:widowControl w:val="0"/>
              <w:snapToGrid w:val="0"/>
              <w:ind w:right="-109"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color w:val="000000"/>
                <w:kern w:val="2"/>
                <w:sz w:val="21"/>
                <w:szCs w:val="21"/>
              </w:rPr>
              <w:t>教学重点：</w:t>
            </w:r>
            <w:r>
              <w:rPr>
                <w:rFonts w:ascii="Times New Roman" w:hAnsi="Times New Roman" w:eastAsia="黑体" w:cs="Times New Roman"/>
                <w:bCs/>
                <w:color w:val="000000"/>
                <w:kern w:val="2"/>
                <w:sz w:val="21"/>
                <w:szCs w:val="21"/>
              </w:rPr>
              <w:t>二元函数的偏导数与全微分，二元函数极值与条件极值。</w:t>
            </w:r>
          </w:p>
          <w:p w14:paraId="2E1034A3">
            <w:pPr>
              <w:widowControl w:val="0"/>
              <w:snapToGrid w:val="0"/>
              <w:ind w:right="-109"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教学难点：多元复合函数、隐函数求导法。</w:t>
            </w:r>
          </w:p>
          <w:p w14:paraId="274AD733">
            <w:pPr>
              <w:widowControl w:val="0"/>
              <w:snapToGrid w:val="0"/>
              <w:ind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第十单元 重积分</w:t>
            </w:r>
          </w:p>
          <w:p w14:paraId="4AE3346E">
            <w:pPr>
              <w:widowControl w:val="0"/>
              <w:snapToGrid w:val="0"/>
              <w:spacing w:line="288" w:lineRule="auto"/>
              <w:ind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教学知识点</w:t>
            </w:r>
          </w:p>
          <w:p w14:paraId="2607AEF4">
            <w:pPr>
              <w:widowControl w:val="0"/>
              <w:snapToGrid w:val="0"/>
              <w:ind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 xml:space="preserve">二重积分的概念与性质 二重积分的计算法（利用直角坐标、极坐标计算二重积分） </w:t>
            </w:r>
          </w:p>
          <w:p w14:paraId="23E5D096">
            <w:pPr>
              <w:widowControl w:val="0"/>
              <w:snapToGrid w:val="0"/>
              <w:spacing w:line="288" w:lineRule="auto"/>
              <w:ind w:firstLine="420" w:firstLineChars="200"/>
              <w:jc w:val="both"/>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教学能力要求</w:t>
            </w:r>
          </w:p>
          <w:p w14:paraId="5B15D142">
            <w:pPr>
              <w:widowControl w:val="0"/>
              <w:snapToGrid w:val="0"/>
              <w:ind w:right="-109"/>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 xml:space="preserve">    （1）理解二重积分的概念与性质。</w:t>
            </w:r>
          </w:p>
          <w:p w14:paraId="62838FED">
            <w:pPr>
              <w:widowControl w:val="0"/>
              <w:snapToGrid w:val="0"/>
              <w:ind w:right="-109" w:firstLine="405"/>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（2）</w:t>
            </w:r>
            <w:r>
              <w:rPr>
                <w:rFonts w:ascii="Times New Roman" w:hAnsi="Times New Roman" w:eastAsia="黑体" w:cs="Times New Roman"/>
                <w:bCs/>
                <w:kern w:val="2"/>
                <w:sz w:val="21"/>
                <w:szCs w:val="21"/>
              </w:rPr>
              <w:t>掌握</w:t>
            </w:r>
            <w:r>
              <w:rPr>
                <w:rFonts w:ascii="Times New Roman" w:hAnsi="Times New Roman" w:eastAsia="黑体" w:cs="Times New Roman"/>
                <w:bCs/>
                <w:color w:val="000000"/>
                <w:kern w:val="2"/>
                <w:sz w:val="21"/>
                <w:szCs w:val="21"/>
              </w:rPr>
              <w:t>二重积分的计算方法（直角坐标、极坐标）。</w:t>
            </w:r>
          </w:p>
          <w:p w14:paraId="50C55E71">
            <w:pPr>
              <w:widowControl w:val="0"/>
              <w:snapToGrid w:val="0"/>
              <w:ind w:right="-109"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（3）会运用二重积分表达式的元素法（微元法）解决科学技术问题，会建立某些简单的几何量与物理量（如曲面的面积、平面薄片的质心等）的积分表达式。</w:t>
            </w:r>
          </w:p>
          <w:p w14:paraId="05F84F90">
            <w:pPr>
              <w:widowControl w:val="0"/>
              <w:snapToGrid w:val="0"/>
              <w:ind w:right="-109"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color w:val="000000"/>
                <w:kern w:val="2"/>
                <w:sz w:val="21"/>
                <w:szCs w:val="21"/>
              </w:rPr>
              <w:t>教学重点：</w:t>
            </w:r>
            <w:r>
              <w:rPr>
                <w:rFonts w:ascii="Times New Roman" w:hAnsi="Times New Roman" w:eastAsia="黑体" w:cs="Times New Roman"/>
                <w:bCs/>
                <w:color w:val="000000"/>
                <w:kern w:val="2"/>
                <w:sz w:val="21"/>
                <w:szCs w:val="21"/>
              </w:rPr>
              <w:t>二重积分的计算方法（直角坐标、极坐标）</w:t>
            </w:r>
          </w:p>
          <w:p w14:paraId="1187C3EE">
            <w:pPr>
              <w:widowControl w:val="0"/>
              <w:snapToGrid w:val="0"/>
              <w:ind w:right="-109"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教学难点：二重积分的物理应用</w:t>
            </w:r>
          </w:p>
          <w:p w14:paraId="22F87878">
            <w:pPr>
              <w:widowControl w:val="0"/>
              <w:snapToGrid w:val="0"/>
              <w:ind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第十二单元 无穷级数</w:t>
            </w:r>
          </w:p>
          <w:p w14:paraId="726D6073">
            <w:pPr>
              <w:widowControl w:val="0"/>
              <w:snapToGrid w:val="0"/>
              <w:spacing w:line="288" w:lineRule="auto"/>
              <w:ind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教学知识点</w:t>
            </w:r>
          </w:p>
          <w:p w14:paraId="35D571EF">
            <w:pPr>
              <w:widowControl w:val="0"/>
              <w:snapToGrid w:val="0"/>
              <w:ind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常数项级数的收敛与发散的概念 收敛级数的和的概念 级数的基本性质与收敛的必要条件 几何级数与</w:t>
            </w:r>
            <w:r>
              <w:rPr>
                <w:rFonts w:ascii="Times New Roman" w:hAnsi="Times New Roman" w:eastAsia="黑体" w:cs="Times New Roman"/>
                <w:bCs/>
                <w:i/>
                <w:color w:val="000000"/>
                <w:kern w:val="2"/>
                <w:sz w:val="21"/>
                <w:szCs w:val="21"/>
              </w:rPr>
              <w:t>p</w:t>
            </w:r>
            <w:r>
              <w:rPr>
                <w:rFonts w:ascii="Times New Roman" w:hAnsi="Times New Roman" w:eastAsia="黑体" w:cs="Times New Roman"/>
                <w:bCs/>
                <w:color w:val="000000"/>
                <w:kern w:val="2"/>
                <w:sz w:val="21"/>
                <w:szCs w:val="21"/>
              </w:rPr>
              <w:t>-级数及其收敛性 正项级数的比较审敛法、比值审敛法、根值审敛法 交错级数及其审敛法  任意项级数的绝对收敛与条件收敛 函数项级数的收敛区间与和函数的概念 幂级数及其收敛半径、收敛区间（指开区间） 幂级数的和函数 幂级数在其收敛区间内的基本性质 简单幂级数的和函数的求法 函数可展开为泰勒级数的充分必要条件</w:t>
            </w:r>
            <m:oMath>
              <m:sSup>
                <m:sSupPr>
                  <m:ctrlPr>
                    <w:rPr>
                      <w:rFonts w:ascii="Cambria Math" w:hAnsi="Cambria Math" w:eastAsia="黑体" w:cs="Times New Roman"/>
                      <w:bCs/>
                      <w:color w:val="000000"/>
                      <w:kern w:val="2"/>
                      <w:sz w:val="21"/>
                      <w:szCs w:val="21"/>
                    </w:rPr>
                  </m:ctrlPr>
                </m:sSupPr>
                <m:e>
                  <m:r>
                    <m:rPr/>
                    <w:rPr>
                      <w:rFonts w:ascii="Cambria Math" w:hAnsi="Cambria Math" w:eastAsia="黑体" w:cs="Times New Roman"/>
                      <w:color w:val="000000"/>
                      <w:kern w:val="2"/>
                      <w:sz w:val="21"/>
                      <w:szCs w:val="21"/>
                    </w:rPr>
                    <m:t>e</m:t>
                  </m:r>
                  <m:ctrlPr>
                    <w:rPr>
                      <w:rFonts w:ascii="Cambria Math" w:hAnsi="Cambria Math" w:eastAsia="黑体" w:cs="Times New Roman"/>
                      <w:bCs/>
                      <w:color w:val="000000"/>
                      <w:kern w:val="2"/>
                      <w:sz w:val="21"/>
                      <w:szCs w:val="21"/>
                    </w:rPr>
                  </m:ctrlPr>
                </m:e>
                <m:sup>
                  <m:r>
                    <m:rPr/>
                    <w:rPr>
                      <w:rFonts w:ascii="Cambria Math" w:hAnsi="Cambria Math" w:eastAsia="黑体" w:cs="Times New Roman"/>
                      <w:color w:val="000000"/>
                      <w:kern w:val="2"/>
                      <w:sz w:val="21"/>
                      <w:szCs w:val="21"/>
                    </w:rPr>
                    <m:t>x</m:t>
                  </m:r>
                  <m:ctrlPr>
                    <w:rPr>
                      <w:rFonts w:ascii="Cambria Math" w:hAnsi="Cambria Math" w:eastAsia="黑体" w:cs="Times New Roman"/>
                      <w:bCs/>
                      <w:color w:val="000000"/>
                      <w:kern w:val="2"/>
                      <w:sz w:val="21"/>
                      <w:szCs w:val="21"/>
                    </w:rPr>
                  </m:ctrlPr>
                </m:sup>
              </m:sSup>
            </m:oMath>
            <w:r>
              <w:rPr>
                <w:rFonts w:ascii="Times New Roman" w:hAnsi="Times New Roman" w:eastAsia="黑体" w:cs="Times New Roman"/>
                <w:bCs/>
                <w:color w:val="000000"/>
                <w:kern w:val="2"/>
                <w:sz w:val="21"/>
                <w:szCs w:val="21"/>
              </w:rPr>
              <w:t>,</w:t>
            </w:r>
            <m:oMath>
              <m:func>
                <m:funcPr>
                  <m:ctrlPr>
                    <w:rPr>
                      <w:rFonts w:ascii="Cambria Math" w:hAnsi="Cambria Math" w:eastAsia="黑体" w:cs="Times New Roman"/>
                      <w:bCs/>
                      <w:color w:val="000000"/>
                      <w:kern w:val="2"/>
                      <w:sz w:val="21"/>
                      <w:szCs w:val="21"/>
                    </w:rPr>
                  </m:ctrlPr>
                </m:funcPr>
                <m:fName>
                  <m:r>
                    <m:rPr>
                      <m:sty m:val="p"/>
                    </m:rPr>
                    <w:rPr>
                      <w:rFonts w:ascii="Cambria Math" w:hAnsi="Cambria Math" w:eastAsia="黑体" w:cs="Times New Roman"/>
                      <w:color w:val="000000"/>
                      <w:kern w:val="2"/>
                      <w:sz w:val="21"/>
                      <w:szCs w:val="21"/>
                    </w:rPr>
                    <m:t>sin</m:t>
                  </m:r>
                  <m:ctrlPr>
                    <w:rPr>
                      <w:rFonts w:ascii="Cambria Math" w:hAnsi="Cambria Math" w:eastAsia="黑体" w:cs="Times New Roman"/>
                      <w:bCs/>
                      <w:color w:val="000000"/>
                      <w:kern w:val="2"/>
                      <w:sz w:val="21"/>
                      <w:szCs w:val="21"/>
                    </w:rPr>
                  </m:ctrlPr>
                </m:fName>
                <m:e>
                  <m:r>
                    <m:rPr/>
                    <w:rPr>
                      <w:rFonts w:ascii="Cambria Math" w:hAnsi="Cambria Math" w:eastAsia="黑体" w:cs="Times New Roman"/>
                      <w:color w:val="000000"/>
                      <w:kern w:val="2"/>
                      <w:sz w:val="21"/>
                      <w:szCs w:val="21"/>
                    </w:rPr>
                    <m:t>x</m:t>
                  </m:r>
                  <m:ctrlPr>
                    <w:rPr>
                      <w:rFonts w:ascii="Cambria Math" w:hAnsi="Cambria Math" w:eastAsia="黑体" w:cs="Times New Roman"/>
                      <w:bCs/>
                      <w:color w:val="000000"/>
                      <w:kern w:val="2"/>
                      <w:sz w:val="21"/>
                      <w:szCs w:val="21"/>
                    </w:rPr>
                  </m:ctrlPr>
                </m:e>
              </m:func>
              <m:r>
                <m:rPr/>
                <w:rPr>
                  <w:rFonts w:ascii="Cambria Math" w:hAnsi="Cambria Math" w:eastAsia="黑体" w:cs="Times New Roman"/>
                  <w:color w:val="000000"/>
                  <w:kern w:val="2"/>
                  <w:sz w:val="21"/>
                  <w:szCs w:val="21"/>
                </w:rPr>
                <m:t>,</m:t>
              </m:r>
              <m:func>
                <m:funcPr>
                  <m:ctrlPr>
                    <w:rPr>
                      <w:rFonts w:ascii="Cambria Math" w:hAnsi="Cambria Math" w:eastAsia="黑体" w:cs="Times New Roman"/>
                      <w:bCs/>
                      <w:i/>
                      <w:color w:val="000000"/>
                      <w:kern w:val="2"/>
                      <w:sz w:val="21"/>
                      <w:szCs w:val="21"/>
                    </w:rPr>
                  </m:ctrlPr>
                </m:funcPr>
                <m:fName>
                  <m:r>
                    <m:rPr>
                      <m:sty m:val="p"/>
                    </m:rPr>
                    <w:rPr>
                      <w:rFonts w:ascii="Cambria Math" w:hAnsi="Cambria Math" w:eastAsia="黑体" w:cs="Times New Roman"/>
                      <w:color w:val="000000"/>
                      <w:kern w:val="2"/>
                      <w:sz w:val="21"/>
                      <w:szCs w:val="21"/>
                    </w:rPr>
                    <m:t>cos</m:t>
                  </m:r>
                  <m:ctrlPr>
                    <w:rPr>
                      <w:rFonts w:ascii="Cambria Math" w:hAnsi="Cambria Math" w:eastAsia="黑体" w:cs="Times New Roman"/>
                      <w:bCs/>
                      <w:i/>
                      <w:color w:val="000000"/>
                      <w:kern w:val="2"/>
                      <w:sz w:val="21"/>
                      <w:szCs w:val="21"/>
                    </w:rPr>
                  </m:ctrlPr>
                </m:fName>
                <m:e>
                  <m:r>
                    <m:rPr/>
                    <w:rPr>
                      <w:rFonts w:ascii="Cambria Math" w:hAnsi="Cambria Math" w:eastAsia="黑体" w:cs="Times New Roman"/>
                      <w:color w:val="000000"/>
                      <w:kern w:val="2"/>
                      <w:sz w:val="21"/>
                      <w:szCs w:val="21"/>
                    </w:rPr>
                    <m:t>x</m:t>
                  </m:r>
                  <m:ctrlPr>
                    <w:rPr>
                      <w:rFonts w:ascii="Cambria Math" w:hAnsi="Cambria Math" w:eastAsia="黑体" w:cs="Times New Roman"/>
                      <w:bCs/>
                      <w:i/>
                      <w:color w:val="000000"/>
                      <w:kern w:val="2"/>
                      <w:sz w:val="21"/>
                      <w:szCs w:val="21"/>
                    </w:rPr>
                  </m:ctrlPr>
                </m:e>
              </m:func>
              <m:r>
                <m:rPr/>
                <w:rPr>
                  <w:rFonts w:ascii="Cambria Math" w:hAnsi="Cambria Math" w:eastAsia="黑体" w:cs="Times New Roman"/>
                  <w:color w:val="000000"/>
                  <w:kern w:val="2"/>
                  <w:sz w:val="21"/>
                  <w:szCs w:val="21"/>
                </w:rPr>
                <m:t>,</m:t>
              </m:r>
              <m:func>
                <m:funcPr>
                  <m:ctrlPr>
                    <w:rPr>
                      <w:rFonts w:ascii="Cambria Math" w:hAnsi="Cambria Math" w:eastAsia="黑体" w:cs="Times New Roman"/>
                      <w:bCs/>
                      <w:i/>
                      <w:color w:val="000000"/>
                      <w:kern w:val="2"/>
                      <w:sz w:val="21"/>
                      <w:szCs w:val="21"/>
                    </w:rPr>
                  </m:ctrlPr>
                </m:funcPr>
                <m:fName>
                  <m:r>
                    <m:rPr>
                      <m:sty m:val="p"/>
                    </m:rPr>
                    <w:rPr>
                      <w:rFonts w:ascii="Cambria Math" w:hAnsi="Cambria Math" w:eastAsia="黑体" w:cs="Times New Roman"/>
                      <w:color w:val="000000"/>
                      <w:kern w:val="2"/>
                      <w:sz w:val="21"/>
                      <w:szCs w:val="21"/>
                    </w:rPr>
                    <m:t>ln</m:t>
                  </m:r>
                  <m:ctrlPr>
                    <w:rPr>
                      <w:rFonts w:ascii="Cambria Math" w:hAnsi="Cambria Math" w:eastAsia="黑体" w:cs="Times New Roman"/>
                      <w:bCs/>
                      <w:i/>
                      <w:color w:val="000000"/>
                      <w:kern w:val="2"/>
                      <w:sz w:val="21"/>
                      <w:szCs w:val="21"/>
                    </w:rPr>
                  </m:ctrlPr>
                </m:fName>
                <m:e>
                  <m:r>
                    <m:rPr/>
                    <w:rPr>
                      <w:rFonts w:ascii="Cambria Math" w:hAnsi="Cambria Math" w:eastAsia="黑体" w:cs="Times New Roman"/>
                      <w:color w:val="000000"/>
                      <w:kern w:val="2"/>
                      <w:sz w:val="21"/>
                      <w:szCs w:val="21"/>
                    </w:rPr>
                    <m:t>(1+x)</m:t>
                  </m:r>
                  <m:ctrlPr>
                    <w:rPr>
                      <w:rFonts w:ascii="Cambria Math" w:hAnsi="Cambria Math" w:eastAsia="黑体" w:cs="Times New Roman"/>
                      <w:bCs/>
                      <w:i/>
                      <w:color w:val="000000"/>
                      <w:kern w:val="2"/>
                      <w:sz w:val="21"/>
                      <w:szCs w:val="21"/>
                    </w:rPr>
                  </m:ctrlPr>
                </m:e>
              </m:func>
            </m:oMath>
            <w:r>
              <w:rPr>
                <w:rFonts w:ascii="Times New Roman" w:hAnsi="Times New Roman" w:eastAsia="黑体" w:cs="Times New Roman"/>
                <w:bCs/>
                <w:color w:val="000000"/>
                <w:kern w:val="2"/>
                <w:sz w:val="21"/>
                <w:szCs w:val="21"/>
              </w:rPr>
              <w:t xml:space="preserve">, </w:t>
            </w:r>
            <m:oMath>
              <m:f>
                <m:fPr>
                  <m:ctrlPr>
                    <w:rPr>
                      <w:rFonts w:ascii="Cambria Math" w:hAnsi="Cambria Math" w:eastAsia="黑体" w:cs="Times New Roman"/>
                      <w:bCs/>
                      <w:color w:val="000000"/>
                      <w:kern w:val="2"/>
                      <w:sz w:val="21"/>
                      <w:szCs w:val="21"/>
                    </w:rPr>
                  </m:ctrlPr>
                </m:fPr>
                <m:num>
                  <m:r>
                    <m:rPr/>
                    <w:rPr>
                      <w:rFonts w:ascii="Cambria Math" w:hAnsi="Cambria Math" w:eastAsia="黑体" w:cs="Times New Roman"/>
                      <w:color w:val="000000"/>
                      <w:kern w:val="2"/>
                      <w:sz w:val="21"/>
                      <w:szCs w:val="21"/>
                    </w:rPr>
                    <m:t>1</m:t>
                  </m:r>
                  <m:ctrlPr>
                    <w:rPr>
                      <w:rFonts w:ascii="Cambria Math" w:hAnsi="Cambria Math" w:eastAsia="黑体" w:cs="Times New Roman"/>
                      <w:bCs/>
                      <w:color w:val="000000"/>
                      <w:kern w:val="2"/>
                      <w:sz w:val="21"/>
                      <w:szCs w:val="21"/>
                    </w:rPr>
                  </m:ctrlPr>
                </m:num>
                <m:den>
                  <m:r>
                    <m:rPr/>
                    <w:rPr>
                      <w:rFonts w:ascii="Cambria Math" w:hAnsi="Cambria Math" w:eastAsia="黑体" w:cs="Times New Roman"/>
                      <w:color w:val="000000"/>
                      <w:kern w:val="2"/>
                      <w:sz w:val="21"/>
                      <w:szCs w:val="21"/>
                    </w:rPr>
                    <m:t>1−x</m:t>
                  </m:r>
                  <m:ctrlPr>
                    <w:rPr>
                      <w:rFonts w:ascii="Cambria Math" w:hAnsi="Cambria Math" w:eastAsia="黑体" w:cs="Times New Roman"/>
                      <w:bCs/>
                      <w:color w:val="000000"/>
                      <w:kern w:val="2"/>
                      <w:sz w:val="21"/>
                      <w:szCs w:val="21"/>
                    </w:rPr>
                  </m:ctrlPr>
                </m:den>
              </m:f>
            </m:oMath>
            <w:r>
              <w:rPr>
                <w:rFonts w:ascii="Times New Roman" w:hAnsi="Times New Roman" w:eastAsia="黑体" w:cs="Times New Roman"/>
                <w:bCs/>
                <w:color w:val="000000"/>
                <w:kern w:val="2"/>
                <w:sz w:val="21"/>
                <w:szCs w:val="21"/>
              </w:rPr>
              <w:t xml:space="preserve">, </w:t>
            </w:r>
            <m:oMath>
              <m:f>
                <m:fPr>
                  <m:ctrlPr>
                    <w:rPr>
                      <w:rFonts w:ascii="Cambria Math" w:hAnsi="Cambria Math" w:eastAsia="黑体" w:cs="Times New Roman"/>
                      <w:bCs/>
                      <w:color w:val="000000"/>
                      <w:kern w:val="2"/>
                      <w:sz w:val="21"/>
                      <w:szCs w:val="21"/>
                    </w:rPr>
                  </m:ctrlPr>
                </m:fPr>
                <m:num>
                  <m:r>
                    <m:rPr/>
                    <w:rPr>
                      <w:rFonts w:ascii="Cambria Math" w:hAnsi="Cambria Math" w:eastAsia="黑体" w:cs="Times New Roman"/>
                      <w:color w:val="000000"/>
                      <w:kern w:val="2"/>
                      <w:sz w:val="21"/>
                      <w:szCs w:val="21"/>
                    </w:rPr>
                    <m:t>1</m:t>
                  </m:r>
                  <m:ctrlPr>
                    <w:rPr>
                      <w:rFonts w:ascii="Cambria Math" w:hAnsi="Cambria Math" w:eastAsia="黑体" w:cs="Times New Roman"/>
                      <w:bCs/>
                      <w:color w:val="000000"/>
                      <w:kern w:val="2"/>
                      <w:sz w:val="21"/>
                      <w:szCs w:val="21"/>
                    </w:rPr>
                  </m:ctrlPr>
                </m:num>
                <m:den>
                  <m:r>
                    <m:rPr/>
                    <w:rPr>
                      <w:rFonts w:ascii="Cambria Math" w:hAnsi="Cambria Math" w:eastAsia="黑体" w:cs="Times New Roman"/>
                      <w:color w:val="000000"/>
                      <w:kern w:val="2"/>
                      <w:sz w:val="21"/>
                      <w:szCs w:val="21"/>
                    </w:rPr>
                    <m:t>1+x</m:t>
                  </m:r>
                  <m:ctrlPr>
                    <w:rPr>
                      <w:rFonts w:ascii="Cambria Math" w:hAnsi="Cambria Math" w:eastAsia="黑体" w:cs="Times New Roman"/>
                      <w:bCs/>
                      <w:color w:val="000000"/>
                      <w:kern w:val="2"/>
                      <w:sz w:val="21"/>
                      <w:szCs w:val="21"/>
                    </w:rPr>
                  </m:ctrlPr>
                </m:den>
              </m:f>
            </m:oMath>
            <w:r>
              <w:rPr>
                <w:rFonts w:ascii="Times New Roman" w:hAnsi="Times New Roman" w:eastAsia="黑体" w:cs="Times New Roman"/>
                <w:bCs/>
                <w:color w:val="000000"/>
                <w:kern w:val="2"/>
                <w:sz w:val="21"/>
                <w:szCs w:val="21"/>
              </w:rPr>
              <w:t>的麦克劳林展开式 . 傅里叶级数 正弦级数 余弦级数的概念 函数展开成傅里叶级数的充分条件 将函数展开为傅里叶级数</w:t>
            </w:r>
          </w:p>
          <w:p w14:paraId="647EDD35">
            <w:pPr>
              <w:widowControl w:val="0"/>
              <w:snapToGrid w:val="0"/>
              <w:spacing w:line="288" w:lineRule="auto"/>
              <w:ind w:firstLine="420" w:firstLineChars="200"/>
              <w:jc w:val="both"/>
              <w:rPr>
                <w:rFonts w:ascii="Times New Roman" w:hAnsi="Times New Roman" w:eastAsia="黑体" w:cs="Times New Roman"/>
                <w:color w:val="000000"/>
                <w:kern w:val="2"/>
                <w:sz w:val="21"/>
                <w:szCs w:val="21"/>
              </w:rPr>
            </w:pPr>
            <w:r>
              <w:rPr>
                <w:rFonts w:ascii="Times New Roman" w:hAnsi="Times New Roman" w:eastAsia="黑体" w:cs="Times New Roman"/>
                <w:color w:val="000000"/>
                <w:kern w:val="2"/>
                <w:sz w:val="21"/>
                <w:szCs w:val="21"/>
              </w:rPr>
              <w:t>教学能力要求</w:t>
            </w:r>
          </w:p>
          <w:p w14:paraId="5410D34C">
            <w:pPr>
              <w:widowControl w:val="0"/>
              <w:snapToGrid w:val="0"/>
              <w:ind w:right="-109"/>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 xml:space="preserve">    （1）理解无穷级数收敛、发散及其和的概念，</w:t>
            </w:r>
            <w:r>
              <w:rPr>
                <w:rFonts w:ascii="Times New Roman" w:hAnsi="Times New Roman" w:eastAsia="黑体" w:cs="Times New Roman"/>
                <w:bCs/>
                <w:kern w:val="2"/>
                <w:sz w:val="21"/>
                <w:szCs w:val="21"/>
              </w:rPr>
              <w:t>了解</w:t>
            </w:r>
            <w:r>
              <w:rPr>
                <w:rFonts w:ascii="Times New Roman" w:hAnsi="Times New Roman" w:eastAsia="黑体" w:cs="Times New Roman"/>
                <w:bCs/>
                <w:color w:val="000000"/>
                <w:kern w:val="2"/>
                <w:sz w:val="21"/>
                <w:szCs w:val="21"/>
              </w:rPr>
              <w:t>无穷级数的基本性质及收敛的必要条件。</w:t>
            </w:r>
          </w:p>
          <w:p w14:paraId="3B356AEA">
            <w:pPr>
              <w:widowControl w:val="0"/>
              <w:snapToGrid w:val="0"/>
              <w:ind w:right="-109"/>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 xml:space="preserve">    （2）</w:t>
            </w:r>
            <w:r>
              <w:rPr>
                <w:rFonts w:ascii="Times New Roman" w:hAnsi="Times New Roman" w:eastAsia="黑体" w:cs="Times New Roman"/>
                <w:bCs/>
                <w:kern w:val="2"/>
                <w:sz w:val="21"/>
                <w:szCs w:val="21"/>
              </w:rPr>
              <w:t>掌握</w:t>
            </w:r>
            <w:r>
              <w:rPr>
                <w:rFonts w:ascii="Times New Roman" w:hAnsi="Times New Roman" w:eastAsia="黑体" w:cs="Times New Roman"/>
                <w:bCs/>
                <w:color w:val="000000"/>
                <w:kern w:val="2"/>
                <w:sz w:val="21"/>
                <w:szCs w:val="21"/>
              </w:rPr>
              <w:t>几何级数和</w:t>
            </w:r>
            <w:r>
              <w:rPr>
                <w:rFonts w:ascii="Times New Roman" w:hAnsi="Times New Roman" w:eastAsia="黑体" w:cs="Times New Roman"/>
                <w:bCs/>
                <w:i/>
                <w:color w:val="000000"/>
                <w:kern w:val="2"/>
                <w:sz w:val="21"/>
                <w:szCs w:val="21"/>
              </w:rPr>
              <w:t>p</w:t>
            </w:r>
            <w:r>
              <w:rPr>
                <w:rFonts w:ascii="Times New Roman" w:hAnsi="Times New Roman" w:eastAsia="黑体" w:cs="Times New Roman"/>
                <w:bCs/>
                <w:color w:val="000000"/>
                <w:kern w:val="2"/>
                <w:sz w:val="21"/>
                <w:szCs w:val="21"/>
              </w:rPr>
              <w:t>-级数的收敛性。</w:t>
            </w:r>
          </w:p>
          <w:p w14:paraId="349202E2">
            <w:pPr>
              <w:widowControl w:val="0"/>
              <w:snapToGrid w:val="0"/>
              <w:ind w:right="-109"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（3）</w:t>
            </w:r>
            <w:r>
              <w:rPr>
                <w:rFonts w:ascii="Times New Roman" w:hAnsi="Times New Roman" w:eastAsia="黑体" w:cs="Times New Roman"/>
                <w:bCs/>
                <w:kern w:val="2"/>
                <w:sz w:val="21"/>
                <w:szCs w:val="21"/>
              </w:rPr>
              <w:t>掌握</w:t>
            </w:r>
            <w:r>
              <w:rPr>
                <w:rFonts w:ascii="Times New Roman" w:hAnsi="Times New Roman" w:eastAsia="黑体" w:cs="Times New Roman"/>
                <w:bCs/>
                <w:color w:val="000000"/>
                <w:kern w:val="2"/>
                <w:sz w:val="21"/>
                <w:szCs w:val="21"/>
              </w:rPr>
              <w:t>正项级数的比较审敛法及其极限形式，</w:t>
            </w:r>
            <w:r>
              <w:rPr>
                <w:rFonts w:ascii="Times New Roman" w:hAnsi="Times New Roman" w:eastAsia="黑体" w:cs="Times New Roman"/>
                <w:bCs/>
                <w:kern w:val="2"/>
                <w:sz w:val="21"/>
                <w:szCs w:val="21"/>
              </w:rPr>
              <w:t>应用正项级数的比值审敛法判断正项级数的敛散。</w:t>
            </w:r>
          </w:p>
          <w:p w14:paraId="59254753">
            <w:pPr>
              <w:widowControl w:val="0"/>
              <w:snapToGrid w:val="0"/>
              <w:ind w:right="-109"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（4）</w:t>
            </w:r>
            <w:r>
              <w:rPr>
                <w:rFonts w:ascii="Times New Roman" w:hAnsi="Times New Roman" w:eastAsia="黑体" w:cs="Times New Roman"/>
                <w:bCs/>
                <w:kern w:val="2"/>
                <w:sz w:val="21"/>
                <w:szCs w:val="21"/>
              </w:rPr>
              <w:t>掌握交错级数的莱布尼兹(Leibniz)审敛法。了解绝对收敛与条件收敛概念、绝对收敛与收敛的关系。</w:t>
            </w:r>
          </w:p>
          <w:p w14:paraId="13E09455">
            <w:pPr>
              <w:widowControl w:val="0"/>
              <w:snapToGrid w:val="0"/>
              <w:spacing w:line="288" w:lineRule="auto"/>
              <w:ind w:firstLine="420" w:firstLineChars="200"/>
              <w:jc w:val="both"/>
              <w:rPr>
                <w:rFonts w:ascii="Times New Roman" w:hAnsi="Times New Roman" w:eastAsia="黑体" w:cs="Times New Roman"/>
                <w:bCs/>
                <w:kern w:val="2"/>
                <w:sz w:val="21"/>
                <w:szCs w:val="21"/>
              </w:rPr>
            </w:pPr>
            <w:r>
              <w:rPr>
                <w:rFonts w:ascii="Times New Roman" w:hAnsi="Times New Roman" w:eastAsia="黑体" w:cs="Times New Roman"/>
                <w:bCs/>
                <w:kern w:val="2"/>
                <w:sz w:val="21"/>
                <w:szCs w:val="21"/>
              </w:rPr>
              <w:t>（5）了解函数项级数的收敛域及和函数的概念。</w:t>
            </w:r>
          </w:p>
          <w:p w14:paraId="471F9D50">
            <w:pPr>
              <w:widowControl w:val="0"/>
              <w:snapToGrid w:val="0"/>
              <w:spacing w:line="288" w:lineRule="auto"/>
              <w:ind w:firstLine="420" w:firstLineChars="200"/>
              <w:jc w:val="both"/>
              <w:rPr>
                <w:rFonts w:ascii="Times New Roman" w:hAnsi="Times New Roman" w:eastAsia="黑体" w:cs="Times New Roman"/>
                <w:bCs/>
                <w:kern w:val="2"/>
                <w:sz w:val="21"/>
                <w:szCs w:val="21"/>
              </w:rPr>
            </w:pPr>
            <w:r>
              <w:rPr>
                <w:rFonts w:ascii="Times New Roman" w:hAnsi="Times New Roman" w:eastAsia="黑体" w:cs="Times New Roman"/>
                <w:bCs/>
                <w:kern w:val="2"/>
                <w:sz w:val="21"/>
                <w:szCs w:val="21"/>
              </w:rPr>
              <w:t>（6）会运用收敛半径的计算方法求简单幂级数收敛区间。知道幂级数在其收敛区间内的一些基本性质（对求幂级数的和函数只要求作简单训练）。</w:t>
            </w:r>
          </w:p>
          <w:p w14:paraId="25AC90D1">
            <w:pPr>
              <w:widowControl w:val="0"/>
              <w:snapToGrid w:val="0"/>
              <w:spacing w:line="288" w:lineRule="auto"/>
              <w:ind w:firstLine="420" w:firstLineChars="200"/>
              <w:jc w:val="both"/>
              <w:rPr>
                <w:rFonts w:ascii="Times New Roman" w:hAnsi="Times New Roman" w:eastAsia="黑体" w:cs="Times New Roman"/>
                <w:bCs/>
                <w:kern w:val="2"/>
                <w:sz w:val="21"/>
                <w:szCs w:val="21"/>
              </w:rPr>
            </w:pPr>
            <w:r>
              <w:rPr>
                <w:rFonts w:ascii="Times New Roman" w:hAnsi="Times New Roman" w:eastAsia="黑体" w:cs="Times New Roman"/>
                <w:bCs/>
                <w:kern w:val="2"/>
                <w:sz w:val="21"/>
                <w:szCs w:val="21"/>
              </w:rPr>
              <w:t>（7）了解函数展开为泰勒（Taylor）级数的充分必要条件。</w:t>
            </w:r>
          </w:p>
          <w:p w14:paraId="2ACA1224">
            <w:pPr>
              <w:widowControl w:val="0"/>
              <w:snapToGrid w:val="0"/>
              <w:spacing w:line="288" w:lineRule="auto"/>
              <w:ind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bCs/>
                <w:kern w:val="2"/>
                <w:sz w:val="21"/>
                <w:szCs w:val="21"/>
              </w:rPr>
              <w:t>（8）会运用</w:t>
            </w:r>
            <m:oMath>
              <m:sSup>
                <m:sSupPr>
                  <m:ctrlPr>
                    <w:rPr>
                      <w:rFonts w:ascii="Cambria Math" w:hAnsi="Cambria Math" w:eastAsia="黑体" w:cs="Times New Roman"/>
                      <w:bCs/>
                      <w:color w:val="000000"/>
                      <w:kern w:val="2"/>
                      <w:sz w:val="21"/>
                      <w:szCs w:val="21"/>
                    </w:rPr>
                  </m:ctrlPr>
                </m:sSupPr>
                <m:e>
                  <m:r>
                    <m:rPr/>
                    <w:rPr>
                      <w:rFonts w:ascii="Cambria Math" w:hAnsi="Cambria Math" w:eastAsia="黑体" w:cs="Times New Roman"/>
                      <w:color w:val="000000"/>
                      <w:kern w:val="2"/>
                      <w:sz w:val="21"/>
                      <w:szCs w:val="21"/>
                    </w:rPr>
                    <m:t>e</m:t>
                  </m:r>
                  <m:ctrlPr>
                    <w:rPr>
                      <w:rFonts w:ascii="Cambria Math" w:hAnsi="Cambria Math" w:eastAsia="黑体" w:cs="Times New Roman"/>
                      <w:bCs/>
                      <w:color w:val="000000"/>
                      <w:kern w:val="2"/>
                      <w:sz w:val="21"/>
                      <w:szCs w:val="21"/>
                    </w:rPr>
                  </m:ctrlPr>
                </m:e>
                <m:sup>
                  <m:r>
                    <m:rPr/>
                    <w:rPr>
                      <w:rFonts w:ascii="Cambria Math" w:hAnsi="Cambria Math" w:eastAsia="黑体" w:cs="Times New Roman"/>
                      <w:color w:val="000000"/>
                      <w:kern w:val="2"/>
                      <w:sz w:val="21"/>
                      <w:szCs w:val="21"/>
                    </w:rPr>
                    <m:t>x</m:t>
                  </m:r>
                  <m:ctrlPr>
                    <w:rPr>
                      <w:rFonts w:ascii="Cambria Math" w:hAnsi="Cambria Math" w:eastAsia="黑体" w:cs="Times New Roman"/>
                      <w:bCs/>
                      <w:color w:val="000000"/>
                      <w:kern w:val="2"/>
                      <w:sz w:val="21"/>
                      <w:szCs w:val="21"/>
                    </w:rPr>
                  </m:ctrlPr>
                </m:sup>
              </m:sSup>
            </m:oMath>
            <w:r>
              <w:rPr>
                <w:rFonts w:ascii="Times New Roman" w:hAnsi="Times New Roman" w:eastAsia="黑体" w:cs="Times New Roman"/>
                <w:bCs/>
                <w:color w:val="000000"/>
                <w:kern w:val="2"/>
                <w:sz w:val="21"/>
                <w:szCs w:val="21"/>
              </w:rPr>
              <w:t>,</w:t>
            </w:r>
            <m:oMath>
              <m:func>
                <m:funcPr>
                  <m:ctrlPr>
                    <w:rPr>
                      <w:rFonts w:ascii="Cambria Math" w:hAnsi="Cambria Math" w:eastAsia="黑体" w:cs="Times New Roman"/>
                      <w:bCs/>
                      <w:color w:val="000000"/>
                      <w:kern w:val="2"/>
                      <w:sz w:val="21"/>
                      <w:szCs w:val="21"/>
                    </w:rPr>
                  </m:ctrlPr>
                </m:funcPr>
                <m:fName>
                  <m:r>
                    <m:rPr>
                      <m:sty m:val="p"/>
                    </m:rPr>
                    <w:rPr>
                      <w:rFonts w:ascii="Cambria Math" w:hAnsi="Cambria Math" w:eastAsia="黑体" w:cs="Times New Roman"/>
                      <w:color w:val="000000"/>
                      <w:kern w:val="2"/>
                      <w:sz w:val="21"/>
                      <w:szCs w:val="21"/>
                    </w:rPr>
                    <m:t>sin</m:t>
                  </m:r>
                  <m:ctrlPr>
                    <w:rPr>
                      <w:rFonts w:ascii="Cambria Math" w:hAnsi="Cambria Math" w:eastAsia="黑体" w:cs="Times New Roman"/>
                      <w:bCs/>
                      <w:color w:val="000000"/>
                      <w:kern w:val="2"/>
                      <w:sz w:val="21"/>
                      <w:szCs w:val="21"/>
                    </w:rPr>
                  </m:ctrlPr>
                </m:fName>
                <m:e>
                  <m:r>
                    <m:rPr/>
                    <w:rPr>
                      <w:rFonts w:ascii="Cambria Math" w:hAnsi="Cambria Math" w:eastAsia="黑体" w:cs="Times New Roman"/>
                      <w:color w:val="000000"/>
                      <w:kern w:val="2"/>
                      <w:sz w:val="21"/>
                      <w:szCs w:val="21"/>
                    </w:rPr>
                    <m:t>x</m:t>
                  </m:r>
                  <m:ctrlPr>
                    <w:rPr>
                      <w:rFonts w:ascii="Cambria Math" w:hAnsi="Cambria Math" w:eastAsia="黑体" w:cs="Times New Roman"/>
                      <w:bCs/>
                      <w:color w:val="000000"/>
                      <w:kern w:val="2"/>
                      <w:sz w:val="21"/>
                      <w:szCs w:val="21"/>
                    </w:rPr>
                  </m:ctrlPr>
                </m:e>
              </m:func>
              <m:r>
                <m:rPr/>
                <w:rPr>
                  <w:rFonts w:ascii="Cambria Math" w:hAnsi="Cambria Math" w:eastAsia="黑体" w:cs="Times New Roman"/>
                  <w:color w:val="000000"/>
                  <w:kern w:val="2"/>
                  <w:sz w:val="21"/>
                  <w:szCs w:val="21"/>
                </w:rPr>
                <m:t>,</m:t>
              </m:r>
              <m:func>
                <m:funcPr>
                  <m:ctrlPr>
                    <w:rPr>
                      <w:rFonts w:ascii="Cambria Math" w:hAnsi="Cambria Math" w:eastAsia="黑体" w:cs="Times New Roman"/>
                      <w:bCs/>
                      <w:i/>
                      <w:color w:val="000000"/>
                      <w:kern w:val="2"/>
                      <w:sz w:val="21"/>
                      <w:szCs w:val="21"/>
                    </w:rPr>
                  </m:ctrlPr>
                </m:funcPr>
                <m:fName>
                  <m:r>
                    <m:rPr>
                      <m:sty m:val="p"/>
                    </m:rPr>
                    <w:rPr>
                      <w:rFonts w:ascii="Cambria Math" w:hAnsi="Cambria Math" w:eastAsia="黑体" w:cs="Times New Roman"/>
                      <w:color w:val="000000"/>
                      <w:kern w:val="2"/>
                      <w:sz w:val="21"/>
                      <w:szCs w:val="21"/>
                    </w:rPr>
                    <m:t>cos</m:t>
                  </m:r>
                  <m:ctrlPr>
                    <w:rPr>
                      <w:rFonts w:ascii="Cambria Math" w:hAnsi="Cambria Math" w:eastAsia="黑体" w:cs="Times New Roman"/>
                      <w:bCs/>
                      <w:i/>
                      <w:color w:val="000000"/>
                      <w:kern w:val="2"/>
                      <w:sz w:val="21"/>
                      <w:szCs w:val="21"/>
                    </w:rPr>
                  </m:ctrlPr>
                </m:fName>
                <m:e>
                  <m:r>
                    <m:rPr/>
                    <w:rPr>
                      <w:rFonts w:ascii="Cambria Math" w:hAnsi="Cambria Math" w:eastAsia="黑体" w:cs="Times New Roman"/>
                      <w:color w:val="000000"/>
                      <w:kern w:val="2"/>
                      <w:sz w:val="21"/>
                      <w:szCs w:val="21"/>
                    </w:rPr>
                    <m:t>x</m:t>
                  </m:r>
                  <m:ctrlPr>
                    <w:rPr>
                      <w:rFonts w:ascii="Cambria Math" w:hAnsi="Cambria Math" w:eastAsia="黑体" w:cs="Times New Roman"/>
                      <w:bCs/>
                      <w:i/>
                      <w:color w:val="000000"/>
                      <w:kern w:val="2"/>
                      <w:sz w:val="21"/>
                      <w:szCs w:val="21"/>
                    </w:rPr>
                  </m:ctrlPr>
                </m:e>
              </m:func>
              <m:r>
                <m:rPr/>
                <w:rPr>
                  <w:rFonts w:ascii="Cambria Math" w:hAnsi="Cambria Math" w:eastAsia="黑体" w:cs="Times New Roman"/>
                  <w:color w:val="000000"/>
                  <w:kern w:val="2"/>
                  <w:sz w:val="21"/>
                  <w:szCs w:val="21"/>
                </w:rPr>
                <m:t>,</m:t>
              </m:r>
              <m:func>
                <m:funcPr>
                  <m:ctrlPr>
                    <w:rPr>
                      <w:rFonts w:ascii="Cambria Math" w:hAnsi="Cambria Math" w:eastAsia="黑体" w:cs="Times New Roman"/>
                      <w:bCs/>
                      <w:i/>
                      <w:color w:val="000000"/>
                      <w:kern w:val="2"/>
                      <w:sz w:val="21"/>
                      <w:szCs w:val="21"/>
                    </w:rPr>
                  </m:ctrlPr>
                </m:funcPr>
                <m:fName>
                  <m:r>
                    <m:rPr>
                      <m:sty m:val="p"/>
                    </m:rPr>
                    <w:rPr>
                      <w:rFonts w:ascii="Cambria Math" w:hAnsi="Cambria Math" w:eastAsia="黑体" w:cs="Times New Roman"/>
                      <w:color w:val="000000"/>
                      <w:kern w:val="2"/>
                      <w:sz w:val="21"/>
                      <w:szCs w:val="21"/>
                    </w:rPr>
                    <m:t>ln</m:t>
                  </m:r>
                  <m:ctrlPr>
                    <w:rPr>
                      <w:rFonts w:ascii="Cambria Math" w:hAnsi="Cambria Math" w:eastAsia="黑体" w:cs="Times New Roman"/>
                      <w:bCs/>
                      <w:i/>
                      <w:color w:val="000000"/>
                      <w:kern w:val="2"/>
                      <w:sz w:val="21"/>
                      <w:szCs w:val="21"/>
                    </w:rPr>
                  </m:ctrlPr>
                </m:fName>
                <m:e>
                  <m:r>
                    <m:rPr/>
                    <w:rPr>
                      <w:rFonts w:ascii="Cambria Math" w:hAnsi="Cambria Math" w:eastAsia="黑体" w:cs="Times New Roman"/>
                      <w:color w:val="000000"/>
                      <w:kern w:val="2"/>
                      <w:sz w:val="21"/>
                      <w:szCs w:val="21"/>
                    </w:rPr>
                    <m:t>(1+x)</m:t>
                  </m:r>
                  <m:ctrlPr>
                    <w:rPr>
                      <w:rFonts w:ascii="Cambria Math" w:hAnsi="Cambria Math" w:eastAsia="黑体" w:cs="Times New Roman"/>
                      <w:bCs/>
                      <w:i/>
                      <w:color w:val="000000"/>
                      <w:kern w:val="2"/>
                      <w:sz w:val="21"/>
                      <w:szCs w:val="21"/>
                    </w:rPr>
                  </m:ctrlPr>
                </m:e>
              </m:func>
            </m:oMath>
            <w:r>
              <w:rPr>
                <w:rFonts w:ascii="Times New Roman" w:hAnsi="Times New Roman" w:eastAsia="黑体" w:cs="Times New Roman"/>
                <w:bCs/>
                <w:color w:val="000000"/>
                <w:kern w:val="2"/>
                <w:sz w:val="21"/>
                <w:szCs w:val="21"/>
              </w:rPr>
              <w:t xml:space="preserve">, </w:t>
            </w:r>
            <m:oMath>
              <m:f>
                <m:fPr>
                  <m:ctrlPr>
                    <w:rPr>
                      <w:rFonts w:ascii="Cambria Math" w:hAnsi="Cambria Math" w:eastAsia="黑体" w:cs="Times New Roman"/>
                      <w:bCs/>
                      <w:color w:val="000000"/>
                      <w:kern w:val="2"/>
                      <w:sz w:val="21"/>
                      <w:szCs w:val="21"/>
                    </w:rPr>
                  </m:ctrlPr>
                </m:fPr>
                <m:num>
                  <m:r>
                    <m:rPr/>
                    <w:rPr>
                      <w:rFonts w:ascii="Cambria Math" w:hAnsi="Cambria Math" w:eastAsia="黑体" w:cs="Times New Roman"/>
                      <w:color w:val="000000"/>
                      <w:kern w:val="2"/>
                      <w:sz w:val="21"/>
                      <w:szCs w:val="21"/>
                    </w:rPr>
                    <m:t>1</m:t>
                  </m:r>
                  <m:ctrlPr>
                    <w:rPr>
                      <w:rFonts w:ascii="Cambria Math" w:hAnsi="Cambria Math" w:eastAsia="黑体" w:cs="Times New Roman"/>
                      <w:bCs/>
                      <w:color w:val="000000"/>
                      <w:kern w:val="2"/>
                      <w:sz w:val="21"/>
                      <w:szCs w:val="21"/>
                    </w:rPr>
                  </m:ctrlPr>
                </m:num>
                <m:den>
                  <m:r>
                    <m:rPr/>
                    <w:rPr>
                      <w:rFonts w:ascii="Cambria Math" w:hAnsi="Cambria Math" w:eastAsia="黑体" w:cs="Times New Roman"/>
                      <w:color w:val="000000"/>
                      <w:kern w:val="2"/>
                      <w:sz w:val="21"/>
                      <w:szCs w:val="21"/>
                    </w:rPr>
                    <m:t>1−x</m:t>
                  </m:r>
                  <m:ctrlPr>
                    <w:rPr>
                      <w:rFonts w:ascii="Cambria Math" w:hAnsi="Cambria Math" w:eastAsia="黑体" w:cs="Times New Roman"/>
                      <w:bCs/>
                      <w:color w:val="000000"/>
                      <w:kern w:val="2"/>
                      <w:sz w:val="21"/>
                      <w:szCs w:val="21"/>
                    </w:rPr>
                  </m:ctrlPr>
                </m:den>
              </m:f>
            </m:oMath>
            <w:r>
              <w:rPr>
                <w:rFonts w:ascii="Times New Roman" w:hAnsi="Times New Roman" w:eastAsia="黑体" w:cs="Times New Roman"/>
                <w:bCs/>
                <w:color w:val="000000"/>
                <w:kern w:val="2"/>
                <w:sz w:val="21"/>
                <w:szCs w:val="21"/>
              </w:rPr>
              <w:t xml:space="preserve">, </w:t>
            </w:r>
            <m:oMath>
              <m:f>
                <m:fPr>
                  <m:ctrlPr>
                    <w:rPr>
                      <w:rFonts w:ascii="Cambria Math" w:hAnsi="Cambria Math" w:eastAsia="黑体" w:cs="Times New Roman"/>
                      <w:bCs/>
                      <w:color w:val="000000"/>
                      <w:kern w:val="2"/>
                      <w:sz w:val="21"/>
                      <w:szCs w:val="21"/>
                    </w:rPr>
                  </m:ctrlPr>
                </m:fPr>
                <m:num>
                  <m:r>
                    <m:rPr/>
                    <w:rPr>
                      <w:rFonts w:ascii="Cambria Math" w:hAnsi="Cambria Math" w:eastAsia="黑体" w:cs="Times New Roman"/>
                      <w:color w:val="000000"/>
                      <w:kern w:val="2"/>
                      <w:sz w:val="21"/>
                      <w:szCs w:val="21"/>
                    </w:rPr>
                    <m:t>1</m:t>
                  </m:r>
                  <m:ctrlPr>
                    <w:rPr>
                      <w:rFonts w:ascii="Cambria Math" w:hAnsi="Cambria Math" w:eastAsia="黑体" w:cs="Times New Roman"/>
                      <w:bCs/>
                      <w:color w:val="000000"/>
                      <w:kern w:val="2"/>
                      <w:sz w:val="21"/>
                      <w:szCs w:val="21"/>
                    </w:rPr>
                  </m:ctrlPr>
                </m:num>
                <m:den>
                  <m:r>
                    <m:rPr/>
                    <w:rPr>
                      <w:rFonts w:ascii="Cambria Math" w:hAnsi="Cambria Math" w:eastAsia="黑体" w:cs="Times New Roman"/>
                      <w:color w:val="000000"/>
                      <w:kern w:val="2"/>
                      <w:sz w:val="21"/>
                      <w:szCs w:val="21"/>
                    </w:rPr>
                    <m:t>1+x</m:t>
                  </m:r>
                  <m:ctrlPr>
                    <w:rPr>
                      <w:rFonts w:ascii="Cambria Math" w:hAnsi="Cambria Math" w:eastAsia="黑体" w:cs="Times New Roman"/>
                      <w:bCs/>
                      <w:color w:val="000000"/>
                      <w:kern w:val="2"/>
                      <w:sz w:val="21"/>
                      <w:szCs w:val="21"/>
                    </w:rPr>
                  </m:ctrlPr>
                </m:den>
              </m:f>
            </m:oMath>
            <w:r>
              <w:rPr>
                <w:rFonts w:ascii="Times New Roman" w:hAnsi="Times New Roman" w:eastAsia="黑体" w:cs="Times New Roman"/>
                <w:bCs/>
                <w:kern w:val="2"/>
                <w:sz w:val="21"/>
                <w:szCs w:val="21"/>
              </w:rPr>
              <w:t>的麦克劳林(Maclaurin)展开式将一些简单的函数间接展开成幂级数。</w:t>
            </w:r>
          </w:p>
          <w:p w14:paraId="2A0EFA4C">
            <w:pPr>
              <w:widowControl w:val="0"/>
              <w:snapToGrid w:val="0"/>
              <w:ind w:right="-109"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（9）</w:t>
            </w:r>
            <w:r>
              <w:rPr>
                <w:rFonts w:ascii="Times New Roman" w:hAnsi="Times New Roman" w:eastAsia="黑体" w:cs="Times New Roman"/>
                <w:bCs/>
                <w:kern w:val="2"/>
                <w:sz w:val="21"/>
                <w:szCs w:val="21"/>
              </w:rPr>
              <w:t>了解</w:t>
            </w:r>
            <w:r>
              <w:rPr>
                <w:rFonts w:ascii="Times New Roman" w:hAnsi="Times New Roman" w:eastAsia="黑体" w:cs="Times New Roman"/>
                <w:bCs/>
                <w:color w:val="000000"/>
                <w:kern w:val="2"/>
                <w:sz w:val="21"/>
                <w:szCs w:val="21"/>
              </w:rPr>
              <w:t>傅里叶级数，正弦级数 ，余弦级数的概念。</w:t>
            </w:r>
          </w:p>
          <w:p w14:paraId="1DCDE717">
            <w:pPr>
              <w:widowControl w:val="0"/>
              <w:snapToGrid w:val="0"/>
              <w:ind w:right="-109" w:firstLine="315" w:firstLineChars="15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（10）</w:t>
            </w:r>
            <w:r>
              <w:rPr>
                <w:rFonts w:ascii="Times New Roman" w:hAnsi="Times New Roman" w:eastAsia="黑体" w:cs="Times New Roman"/>
                <w:bCs/>
                <w:kern w:val="2"/>
                <w:sz w:val="21"/>
                <w:szCs w:val="21"/>
              </w:rPr>
              <w:t>了解</w:t>
            </w:r>
            <w:r>
              <w:rPr>
                <w:rFonts w:ascii="Times New Roman" w:hAnsi="Times New Roman" w:eastAsia="黑体" w:cs="Times New Roman"/>
                <w:bCs/>
                <w:color w:val="000000"/>
                <w:kern w:val="2"/>
                <w:sz w:val="21"/>
                <w:szCs w:val="21"/>
              </w:rPr>
              <w:t>函数展开成傅里叶级数的充分条件。</w:t>
            </w:r>
          </w:p>
          <w:p w14:paraId="2503D153">
            <w:pPr>
              <w:widowControl w:val="0"/>
              <w:snapToGrid w:val="0"/>
              <w:ind w:right="-109" w:firstLine="315" w:firstLineChars="15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（11）会将定义在</w:t>
            </w:r>
            <w:r>
              <w:rPr>
                <w:rFonts w:hint="eastAsia" w:ascii="Times New Roman" w:hAnsi="Times New Roman" w:eastAsia="黑体" w:cs="Times New Roman"/>
                <w:bCs/>
                <w:color w:val="000000"/>
                <w:kern w:val="2"/>
                <w:sz w:val="21"/>
                <w:szCs w:val="21"/>
              </w:rPr>
              <w:t>(-</w:t>
            </w:r>
            <w:r>
              <w:rPr>
                <w:rFonts w:ascii="Times New Roman" w:hAnsi="Times New Roman" w:eastAsia="黑体" w:cs="Times New Roman"/>
                <w:bCs/>
                <w:color w:val="000000"/>
                <w:kern w:val="2"/>
                <w:sz w:val="21"/>
                <w:szCs w:val="21"/>
              </w:rPr>
              <w:t>∞, +∞)內的以2</w:t>
            </w:r>
            <w:r>
              <w:rPr>
                <w:rFonts w:ascii="Times New Roman" w:hAnsi="Times New Roman" w:eastAsia="黑体" w:cs="Times New Roman"/>
                <w:bCs/>
                <w:i/>
                <w:color w:val="000000"/>
                <w:kern w:val="2"/>
                <w:sz w:val="21"/>
                <w:szCs w:val="21"/>
              </w:rPr>
              <w:t>π</w:t>
            </w:r>
            <w:r>
              <w:rPr>
                <w:rFonts w:ascii="Times New Roman" w:hAnsi="Times New Roman" w:eastAsia="黑体" w:cs="Times New Roman"/>
                <w:bCs/>
                <w:color w:val="000000"/>
                <w:kern w:val="2"/>
                <w:sz w:val="21"/>
                <w:szCs w:val="21"/>
              </w:rPr>
              <w:t>为周期的函数展开为傅里叶级数。</w:t>
            </w:r>
          </w:p>
          <w:p w14:paraId="0307999E">
            <w:pPr>
              <w:widowControl w:val="0"/>
              <w:snapToGrid w:val="0"/>
              <w:ind w:right="-109" w:firstLine="315" w:firstLineChars="15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（12）会将定义在[0,</w:t>
            </w:r>
            <w:r>
              <w:rPr>
                <w:rFonts w:ascii="Times New Roman" w:hAnsi="Times New Roman" w:eastAsia="黑体" w:cs="Times New Roman"/>
                <w:bCs/>
                <w:i/>
                <w:color w:val="000000"/>
                <w:kern w:val="2"/>
                <w:sz w:val="21"/>
                <w:szCs w:val="21"/>
              </w:rPr>
              <w:t>π</w:t>
            </w:r>
            <w:r>
              <w:rPr>
                <w:rFonts w:ascii="Times New Roman" w:hAnsi="Times New Roman" w:eastAsia="黑体" w:cs="Times New Roman"/>
                <w:bCs/>
                <w:color w:val="000000"/>
                <w:kern w:val="2"/>
                <w:sz w:val="21"/>
                <w:szCs w:val="21"/>
              </w:rPr>
              <w:t>]上的函数展开为正弦级数和余弦级数。</w:t>
            </w:r>
          </w:p>
          <w:p w14:paraId="0B9A3390">
            <w:pPr>
              <w:widowControl w:val="0"/>
              <w:snapToGrid w:val="0"/>
              <w:spacing w:line="288" w:lineRule="auto"/>
              <w:ind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color w:val="000000"/>
                <w:kern w:val="2"/>
                <w:sz w:val="21"/>
                <w:szCs w:val="21"/>
              </w:rPr>
              <w:t>教学重点：</w:t>
            </w:r>
            <w:r>
              <w:rPr>
                <w:rFonts w:ascii="Times New Roman" w:hAnsi="Times New Roman" w:eastAsia="黑体" w:cs="Times New Roman"/>
                <w:bCs/>
                <w:kern w:val="2"/>
                <w:sz w:val="21"/>
                <w:szCs w:val="21"/>
              </w:rPr>
              <w:t>正项级数收敛的审敛法，将函数展开成幂级数。</w:t>
            </w:r>
          </w:p>
          <w:p w14:paraId="0DD04643">
            <w:pPr>
              <w:widowControl w:val="0"/>
              <w:snapToGrid w:val="0"/>
              <w:spacing w:line="288" w:lineRule="auto"/>
              <w:ind w:firstLine="420" w:firstLineChars="200"/>
              <w:jc w:val="both"/>
              <w:rPr>
                <w:rFonts w:ascii="Times New Roman" w:hAnsi="Times New Roman" w:eastAsia="黑体" w:cs="Times New Roman"/>
                <w:bCs/>
                <w:color w:val="000000"/>
                <w:kern w:val="2"/>
                <w:sz w:val="21"/>
                <w:szCs w:val="21"/>
              </w:rPr>
            </w:pPr>
            <w:r>
              <w:rPr>
                <w:rFonts w:ascii="Times New Roman" w:hAnsi="Times New Roman" w:eastAsia="黑体" w:cs="Times New Roman"/>
                <w:bCs/>
                <w:color w:val="000000"/>
                <w:kern w:val="2"/>
                <w:sz w:val="21"/>
                <w:szCs w:val="21"/>
              </w:rPr>
              <w:t>教学难点：傅里叶级数。</w:t>
            </w:r>
          </w:p>
        </w:tc>
      </w:tr>
      <w:bookmarkEnd w:id="0"/>
      <w:bookmarkEnd w:id="1"/>
    </w:tbl>
    <w:p w14:paraId="66A70D84">
      <w:pPr>
        <w:pStyle w:val="18"/>
        <w:rPr>
          <w:rFonts w:ascii="Times New Roman" w:hAnsi="Times New Roman" w:cs="Times New Roman"/>
        </w:rPr>
      </w:pPr>
    </w:p>
    <w:p w14:paraId="1D7DF8C1">
      <w:pPr>
        <w:pStyle w:val="18"/>
        <w:rPr>
          <w:rFonts w:ascii="Times New Roman" w:hAnsi="Times New Roman" w:cs="Times New Roman"/>
        </w:rPr>
      </w:pPr>
      <w:r>
        <w:rPr>
          <w:rFonts w:ascii="Times New Roman" w:hAnsi="Times New Roman" w:cs="Times New Roman"/>
        </w:rPr>
        <w:t>（二）教学单元对课程目标的支撑关系</w:t>
      </w:r>
    </w:p>
    <w:tbl>
      <w:tblPr>
        <w:tblStyle w:val="8"/>
        <w:tblW w:w="49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291"/>
        <w:gridCol w:w="992"/>
        <w:gridCol w:w="1134"/>
        <w:gridCol w:w="992"/>
        <w:gridCol w:w="1134"/>
        <w:gridCol w:w="823"/>
      </w:tblGrid>
      <w:tr w14:paraId="348A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291" w:type="dxa"/>
            <w:tcBorders>
              <w:top w:val="single" w:color="auto" w:sz="12" w:space="0"/>
              <w:left w:val="single" w:color="auto" w:sz="12" w:space="0"/>
              <w:tl2br w:val="single" w:color="auto" w:sz="4" w:space="0"/>
            </w:tcBorders>
          </w:tcPr>
          <w:p w14:paraId="527C6E7A">
            <w:pPr>
              <w:pStyle w:val="14"/>
              <w:ind w:firstLine="489"/>
              <w:jc w:val="right"/>
              <w:rPr>
                <w:rFonts w:ascii="Times New Roman" w:hAnsi="Times New Roman" w:cs="Times New Roman"/>
                <w:szCs w:val="16"/>
              </w:rPr>
            </w:pPr>
            <w:r>
              <w:rPr>
                <w:rFonts w:ascii="Times New Roman" w:hAnsi="Times New Roman" w:cs="Times New Roman"/>
                <w:szCs w:val="16"/>
              </w:rPr>
              <w:t>课程目标</w:t>
            </w:r>
          </w:p>
          <w:p w14:paraId="53B5F1B3">
            <w:pPr>
              <w:pStyle w:val="14"/>
              <w:ind w:right="210"/>
              <w:jc w:val="left"/>
              <w:rPr>
                <w:rFonts w:ascii="Times New Roman" w:hAnsi="Times New Roman" w:cs="Times New Roman"/>
                <w:szCs w:val="16"/>
              </w:rPr>
            </w:pPr>
          </w:p>
          <w:p w14:paraId="2F43ACB3">
            <w:pPr>
              <w:pStyle w:val="14"/>
              <w:ind w:right="210"/>
              <w:jc w:val="left"/>
              <w:rPr>
                <w:rFonts w:ascii="Times New Roman" w:hAnsi="Times New Roman" w:cs="Times New Roman"/>
                <w:szCs w:val="16"/>
              </w:rPr>
            </w:pPr>
            <w:r>
              <w:rPr>
                <w:rFonts w:ascii="Times New Roman" w:hAnsi="Times New Roman" w:cs="Times New Roman"/>
                <w:szCs w:val="16"/>
              </w:rPr>
              <w:t>教学单元</w:t>
            </w:r>
          </w:p>
        </w:tc>
        <w:tc>
          <w:tcPr>
            <w:tcW w:w="992" w:type="dxa"/>
            <w:tcBorders>
              <w:top w:val="single" w:color="auto" w:sz="12" w:space="0"/>
            </w:tcBorders>
            <w:vAlign w:val="center"/>
          </w:tcPr>
          <w:p w14:paraId="720FBEB5">
            <w:pPr>
              <w:pStyle w:val="14"/>
              <w:rPr>
                <w:rFonts w:ascii="Times New Roman" w:hAnsi="Times New Roman" w:cs="Times New Roman"/>
                <w:szCs w:val="16"/>
              </w:rPr>
            </w:pPr>
            <w:r>
              <w:rPr>
                <w:rFonts w:ascii="Times New Roman" w:hAnsi="Times New Roman" w:cs="Times New Roman"/>
                <w:szCs w:val="16"/>
              </w:rPr>
              <w:t>1</w:t>
            </w:r>
          </w:p>
        </w:tc>
        <w:tc>
          <w:tcPr>
            <w:tcW w:w="1134" w:type="dxa"/>
            <w:tcBorders>
              <w:top w:val="single" w:color="auto" w:sz="12" w:space="0"/>
            </w:tcBorders>
            <w:vAlign w:val="center"/>
          </w:tcPr>
          <w:p w14:paraId="1C9F8BC7">
            <w:pPr>
              <w:pStyle w:val="14"/>
              <w:rPr>
                <w:rFonts w:ascii="Times New Roman" w:hAnsi="Times New Roman" w:cs="Times New Roman"/>
                <w:szCs w:val="16"/>
              </w:rPr>
            </w:pPr>
            <w:r>
              <w:rPr>
                <w:rFonts w:ascii="Times New Roman" w:hAnsi="Times New Roman" w:cs="Times New Roman"/>
                <w:szCs w:val="16"/>
              </w:rPr>
              <w:t>2</w:t>
            </w:r>
          </w:p>
        </w:tc>
        <w:tc>
          <w:tcPr>
            <w:tcW w:w="992" w:type="dxa"/>
            <w:tcBorders>
              <w:top w:val="single" w:color="auto" w:sz="12" w:space="0"/>
            </w:tcBorders>
            <w:vAlign w:val="center"/>
          </w:tcPr>
          <w:p w14:paraId="4B8857F7">
            <w:pPr>
              <w:pStyle w:val="14"/>
              <w:rPr>
                <w:rFonts w:ascii="Times New Roman" w:hAnsi="Times New Roman" w:cs="Times New Roman"/>
                <w:szCs w:val="16"/>
              </w:rPr>
            </w:pPr>
            <w:r>
              <w:rPr>
                <w:rFonts w:ascii="Times New Roman" w:hAnsi="Times New Roman" w:cs="Times New Roman"/>
                <w:szCs w:val="16"/>
              </w:rPr>
              <w:t>3</w:t>
            </w:r>
          </w:p>
        </w:tc>
        <w:tc>
          <w:tcPr>
            <w:tcW w:w="1134" w:type="dxa"/>
            <w:tcBorders>
              <w:top w:val="single" w:color="auto" w:sz="12" w:space="0"/>
            </w:tcBorders>
            <w:vAlign w:val="center"/>
          </w:tcPr>
          <w:p w14:paraId="25200438">
            <w:pPr>
              <w:pStyle w:val="14"/>
              <w:rPr>
                <w:rFonts w:ascii="Times New Roman" w:hAnsi="Times New Roman" w:cs="Times New Roman"/>
                <w:szCs w:val="16"/>
              </w:rPr>
            </w:pPr>
            <w:r>
              <w:rPr>
                <w:rFonts w:ascii="Times New Roman" w:hAnsi="Times New Roman" w:cs="Times New Roman"/>
                <w:szCs w:val="16"/>
              </w:rPr>
              <w:t>4</w:t>
            </w:r>
          </w:p>
        </w:tc>
        <w:tc>
          <w:tcPr>
            <w:tcW w:w="823" w:type="dxa"/>
            <w:tcBorders>
              <w:top w:val="single" w:color="auto" w:sz="12" w:space="0"/>
            </w:tcBorders>
            <w:vAlign w:val="center"/>
          </w:tcPr>
          <w:p w14:paraId="28805C6E">
            <w:pPr>
              <w:pStyle w:val="14"/>
              <w:rPr>
                <w:rFonts w:ascii="Times New Roman" w:hAnsi="Times New Roman" w:cs="Times New Roman"/>
                <w:szCs w:val="16"/>
              </w:rPr>
            </w:pPr>
            <w:r>
              <w:rPr>
                <w:rFonts w:ascii="Times New Roman" w:hAnsi="Times New Roman" w:cs="Times New Roman"/>
                <w:szCs w:val="16"/>
              </w:rPr>
              <w:t>5</w:t>
            </w:r>
          </w:p>
        </w:tc>
      </w:tr>
      <w:tr w14:paraId="56DE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291" w:type="dxa"/>
            <w:tcBorders>
              <w:left w:val="single" w:color="auto" w:sz="12" w:space="0"/>
            </w:tcBorders>
          </w:tcPr>
          <w:p w14:paraId="14A95B5D">
            <w:pPr>
              <w:snapToGrid w:val="0"/>
              <w:spacing w:line="288" w:lineRule="auto"/>
              <w:rPr>
                <w:rFonts w:ascii="Times New Roman" w:hAnsi="Times New Roman" w:cs="Times New Roman"/>
              </w:rPr>
            </w:pPr>
            <w:r>
              <w:rPr>
                <w:rFonts w:ascii="Times New Roman" w:hAnsi="Times New Roman" w:cs="Times New Roman"/>
                <w:bCs/>
                <w:sz w:val="20"/>
                <w:szCs w:val="20"/>
              </w:rPr>
              <w:t>第八单元 向量代数与空间解析几何</w:t>
            </w:r>
          </w:p>
        </w:tc>
        <w:tc>
          <w:tcPr>
            <w:tcW w:w="992" w:type="dxa"/>
            <w:vAlign w:val="center"/>
          </w:tcPr>
          <w:p w14:paraId="145495CF">
            <w:pPr>
              <w:pStyle w:val="15"/>
              <w:rPr>
                <w:rFonts w:ascii="Times New Roman" w:hAnsi="Times New Roman"/>
              </w:rPr>
            </w:pPr>
            <w:r>
              <w:rPr>
                <w:rFonts w:ascii="Times New Roman" w:hAnsi="Times New Roman"/>
              </w:rPr>
              <w:t>√</w:t>
            </w:r>
          </w:p>
        </w:tc>
        <w:tc>
          <w:tcPr>
            <w:tcW w:w="1134" w:type="dxa"/>
            <w:vAlign w:val="center"/>
          </w:tcPr>
          <w:p w14:paraId="6A5F4E7B">
            <w:pPr>
              <w:pStyle w:val="15"/>
              <w:rPr>
                <w:rFonts w:ascii="Times New Roman" w:hAnsi="Times New Roman"/>
              </w:rPr>
            </w:pPr>
            <w:r>
              <w:rPr>
                <w:rFonts w:ascii="Times New Roman" w:hAnsi="Times New Roman"/>
              </w:rPr>
              <w:t>√</w:t>
            </w:r>
          </w:p>
        </w:tc>
        <w:tc>
          <w:tcPr>
            <w:tcW w:w="992" w:type="dxa"/>
            <w:vAlign w:val="center"/>
          </w:tcPr>
          <w:p w14:paraId="4FC58E0A">
            <w:pPr>
              <w:pStyle w:val="15"/>
              <w:rPr>
                <w:rFonts w:ascii="Times New Roman" w:hAnsi="Times New Roman"/>
              </w:rPr>
            </w:pPr>
            <w:r>
              <w:rPr>
                <w:rFonts w:ascii="Times New Roman" w:hAnsi="Times New Roman"/>
              </w:rPr>
              <w:t>√</w:t>
            </w:r>
          </w:p>
        </w:tc>
        <w:tc>
          <w:tcPr>
            <w:tcW w:w="1134" w:type="dxa"/>
            <w:vAlign w:val="center"/>
          </w:tcPr>
          <w:p w14:paraId="2B3D2E78">
            <w:pPr>
              <w:pStyle w:val="15"/>
              <w:rPr>
                <w:rFonts w:ascii="Times New Roman" w:hAnsi="Times New Roman"/>
              </w:rPr>
            </w:pPr>
            <w:r>
              <w:rPr>
                <w:rFonts w:ascii="Times New Roman" w:hAnsi="Times New Roman"/>
              </w:rPr>
              <w:t>√</w:t>
            </w:r>
          </w:p>
        </w:tc>
        <w:tc>
          <w:tcPr>
            <w:tcW w:w="823" w:type="dxa"/>
            <w:vAlign w:val="center"/>
          </w:tcPr>
          <w:p w14:paraId="2727CE4A">
            <w:pPr>
              <w:pStyle w:val="15"/>
              <w:rPr>
                <w:rFonts w:ascii="Times New Roman" w:hAnsi="Times New Roman"/>
              </w:rPr>
            </w:pPr>
            <w:r>
              <w:rPr>
                <w:rFonts w:ascii="Times New Roman" w:hAnsi="Times New Roman"/>
              </w:rPr>
              <w:t>√</w:t>
            </w:r>
          </w:p>
        </w:tc>
      </w:tr>
      <w:tr w14:paraId="21EE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291" w:type="dxa"/>
            <w:tcBorders>
              <w:left w:val="single" w:color="auto" w:sz="12" w:space="0"/>
            </w:tcBorders>
          </w:tcPr>
          <w:p w14:paraId="257BA6C8">
            <w:pPr>
              <w:snapToGrid w:val="0"/>
              <w:spacing w:line="288" w:lineRule="auto"/>
              <w:rPr>
                <w:rFonts w:ascii="Times New Roman" w:hAnsi="Times New Roman" w:cs="Times New Roman"/>
              </w:rPr>
            </w:pPr>
            <w:r>
              <w:rPr>
                <w:rFonts w:ascii="Times New Roman" w:hAnsi="Times New Roman" w:cs="Times New Roman"/>
                <w:bCs/>
                <w:sz w:val="20"/>
                <w:szCs w:val="20"/>
              </w:rPr>
              <w:t>第九单元</w:t>
            </w:r>
            <w:r>
              <w:rPr>
                <w:rFonts w:ascii="Times New Roman" w:hAnsi="Times New Roman" w:cs="Times New Roman"/>
                <w:bCs/>
                <w:color w:val="000000"/>
                <w:kern w:val="2"/>
                <w:sz w:val="20"/>
                <w:szCs w:val="20"/>
              </w:rPr>
              <w:t>多 元函数微分法及其应用</w:t>
            </w:r>
          </w:p>
        </w:tc>
        <w:tc>
          <w:tcPr>
            <w:tcW w:w="992" w:type="dxa"/>
            <w:vAlign w:val="center"/>
          </w:tcPr>
          <w:p w14:paraId="0570FD7C">
            <w:pPr>
              <w:pStyle w:val="15"/>
              <w:rPr>
                <w:rFonts w:ascii="Times New Roman" w:hAnsi="Times New Roman"/>
              </w:rPr>
            </w:pPr>
            <w:r>
              <w:rPr>
                <w:rFonts w:ascii="Times New Roman" w:hAnsi="Times New Roman"/>
              </w:rPr>
              <w:t>√</w:t>
            </w:r>
          </w:p>
        </w:tc>
        <w:tc>
          <w:tcPr>
            <w:tcW w:w="1134" w:type="dxa"/>
            <w:vAlign w:val="center"/>
          </w:tcPr>
          <w:p w14:paraId="581ECBF1">
            <w:pPr>
              <w:pStyle w:val="15"/>
              <w:rPr>
                <w:rFonts w:ascii="Times New Roman" w:hAnsi="Times New Roman"/>
              </w:rPr>
            </w:pPr>
            <w:r>
              <w:rPr>
                <w:rFonts w:ascii="Times New Roman" w:hAnsi="Times New Roman"/>
              </w:rPr>
              <w:t>√</w:t>
            </w:r>
          </w:p>
        </w:tc>
        <w:tc>
          <w:tcPr>
            <w:tcW w:w="992" w:type="dxa"/>
            <w:vAlign w:val="center"/>
          </w:tcPr>
          <w:p w14:paraId="69A1803A">
            <w:pPr>
              <w:pStyle w:val="15"/>
              <w:rPr>
                <w:rFonts w:ascii="Times New Roman" w:hAnsi="Times New Roman"/>
              </w:rPr>
            </w:pPr>
            <w:r>
              <w:rPr>
                <w:rFonts w:ascii="Times New Roman" w:hAnsi="Times New Roman"/>
              </w:rPr>
              <w:t>√</w:t>
            </w:r>
          </w:p>
        </w:tc>
        <w:tc>
          <w:tcPr>
            <w:tcW w:w="1134" w:type="dxa"/>
            <w:vAlign w:val="center"/>
          </w:tcPr>
          <w:p w14:paraId="34E89CD6">
            <w:pPr>
              <w:pStyle w:val="15"/>
              <w:rPr>
                <w:rFonts w:ascii="Times New Roman" w:hAnsi="Times New Roman"/>
              </w:rPr>
            </w:pPr>
            <w:r>
              <w:rPr>
                <w:rFonts w:ascii="Times New Roman" w:hAnsi="Times New Roman"/>
              </w:rPr>
              <w:t>√</w:t>
            </w:r>
          </w:p>
        </w:tc>
        <w:tc>
          <w:tcPr>
            <w:tcW w:w="823" w:type="dxa"/>
            <w:vAlign w:val="center"/>
          </w:tcPr>
          <w:p w14:paraId="1B264C63">
            <w:pPr>
              <w:pStyle w:val="15"/>
              <w:rPr>
                <w:rFonts w:ascii="Times New Roman" w:hAnsi="Times New Roman"/>
              </w:rPr>
            </w:pPr>
            <w:r>
              <w:rPr>
                <w:rFonts w:ascii="Times New Roman" w:hAnsi="Times New Roman"/>
              </w:rPr>
              <w:t>√</w:t>
            </w:r>
          </w:p>
        </w:tc>
      </w:tr>
      <w:tr w14:paraId="276E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291" w:type="dxa"/>
            <w:tcBorders>
              <w:left w:val="single" w:color="auto" w:sz="12" w:space="0"/>
            </w:tcBorders>
          </w:tcPr>
          <w:p w14:paraId="701FB79B">
            <w:pPr>
              <w:widowControl w:val="0"/>
              <w:snapToGrid w:val="0"/>
              <w:jc w:val="both"/>
              <w:rPr>
                <w:rFonts w:ascii="Times New Roman" w:hAnsi="Times New Roman" w:cs="Times New Roman"/>
                <w:bCs/>
                <w:color w:val="000000"/>
                <w:kern w:val="2"/>
                <w:sz w:val="20"/>
                <w:szCs w:val="20"/>
              </w:rPr>
            </w:pPr>
            <w:r>
              <w:rPr>
                <w:rFonts w:ascii="Times New Roman" w:hAnsi="Times New Roman" w:cs="Times New Roman"/>
                <w:bCs/>
                <w:sz w:val="20"/>
                <w:szCs w:val="20"/>
              </w:rPr>
              <w:t xml:space="preserve">第十单元  </w:t>
            </w:r>
            <w:r>
              <w:rPr>
                <w:rFonts w:ascii="Times New Roman" w:hAnsi="Times New Roman" w:cs="Times New Roman"/>
                <w:bCs/>
                <w:color w:val="000000"/>
                <w:kern w:val="2"/>
                <w:sz w:val="20"/>
                <w:szCs w:val="20"/>
              </w:rPr>
              <w:t>重积分</w:t>
            </w:r>
          </w:p>
        </w:tc>
        <w:tc>
          <w:tcPr>
            <w:tcW w:w="992" w:type="dxa"/>
            <w:vAlign w:val="center"/>
          </w:tcPr>
          <w:p w14:paraId="4CE61150">
            <w:pPr>
              <w:pStyle w:val="15"/>
              <w:rPr>
                <w:rFonts w:ascii="Times New Roman" w:hAnsi="Times New Roman"/>
              </w:rPr>
            </w:pPr>
            <w:r>
              <w:rPr>
                <w:rFonts w:ascii="Times New Roman" w:hAnsi="Times New Roman"/>
              </w:rPr>
              <w:t>√</w:t>
            </w:r>
          </w:p>
        </w:tc>
        <w:tc>
          <w:tcPr>
            <w:tcW w:w="1134" w:type="dxa"/>
            <w:vAlign w:val="center"/>
          </w:tcPr>
          <w:p w14:paraId="1DA944F9">
            <w:pPr>
              <w:pStyle w:val="15"/>
              <w:rPr>
                <w:rFonts w:ascii="Times New Roman" w:hAnsi="Times New Roman"/>
              </w:rPr>
            </w:pPr>
            <w:r>
              <w:rPr>
                <w:rFonts w:ascii="Times New Roman" w:hAnsi="Times New Roman"/>
              </w:rPr>
              <w:t>√</w:t>
            </w:r>
          </w:p>
        </w:tc>
        <w:tc>
          <w:tcPr>
            <w:tcW w:w="992" w:type="dxa"/>
            <w:vAlign w:val="center"/>
          </w:tcPr>
          <w:p w14:paraId="013D97C3">
            <w:pPr>
              <w:pStyle w:val="15"/>
              <w:rPr>
                <w:rFonts w:ascii="Times New Roman" w:hAnsi="Times New Roman"/>
              </w:rPr>
            </w:pPr>
            <w:r>
              <w:rPr>
                <w:rFonts w:ascii="Times New Roman" w:hAnsi="Times New Roman"/>
              </w:rPr>
              <w:t>√</w:t>
            </w:r>
          </w:p>
        </w:tc>
        <w:tc>
          <w:tcPr>
            <w:tcW w:w="1134" w:type="dxa"/>
            <w:vAlign w:val="center"/>
          </w:tcPr>
          <w:p w14:paraId="13E8985D">
            <w:pPr>
              <w:pStyle w:val="15"/>
              <w:rPr>
                <w:rFonts w:ascii="Times New Roman" w:hAnsi="Times New Roman"/>
              </w:rPr>
            </w:pPr>
            <w:r>
              <w:rPr>
                <w:rFonts w:ascii="Times New Roman" w:hAnsi="Times New Roman"/>
              </w:rPr>
              <w:t>√</w:t>
            </w:r>
          </w:p>
        </w:tc>
        <w:tc>
          <w:tcPr>
            <w:tcW w:w="823" w:type="dxa"/>
            <w:vAlign w:val="center"/>
          </w:tcPr>
          <w:p w14:paraId="21235B35">
            <w:pPr>
              <w:pStyle w:val="15"/>
              <w:rPr>
                <w:rFonts w:ascii="Times New Roman" w:hAnsi="Times New Roman"/>
              </w:rPr>
            </w:pPr>
            <w:r>
              <w:rPr>
                <w:rFonts w:ascii="Times New Roman" w:hAnsi="Times New Roman"/>
              </w:rPr>
              <w:t>√</w:t>
            </w:r>
          </w:p>
        </w:tc>
      </w:tr>
      <w:tr w14:paraId="467B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291" w:type="dxa"/>
            <w:tcBorders>
              <w:left w:val="single" w:color="auto" w:sz="12" w:space="0"/>
              <w:bottom w:val="single" w:color="auto" w:sz="12" w:space="0"/>
            </w:tcBorders>
          </w:tcPr>
          <w:p w14:paraId="686641F6">
            <w:pPr>
              <w:snapToGrid w:val="0"/>
              <w:spacing w:line="288" w:lineRule="auto"/>
              <w:rPr>
                <w:rFonts w:ascii="Times New Roman" w:hAnsi="Times New Roman" w:cs="Times New Roman"/>
                <w:bCs/>
                <w:sz w:val="20"/>
                <w:szCs w:val="20"/>
              </w:rPr>
            </w:pPr>
            <w:r>
              <w:rPr>
                <w:rFonts w:ascii="Times New Roman" w:hAnsi="Times New Roman" w:cs="Times New Roman"/>
                <w:bCs/>
                <w:sz w:val="20"/>
                <w:szCs w:val="20"/>
              </w:rPr>
              <w:t xml:space="preserve">第十二单元  </w:t>
            </w:r>
            <w:r>
              <w:rPr>
                <w:rFonts w:ascii="Times New Roman" w:hAnsi="Times New Roman" w:cs="Times New Roman"/>
                <w:bCs/>
                <w:color w:val="000000"/>
                <w:kern w:val="2"/>
                <w:sz w:val="20"/>
                <w:szCs w:val="20"/>
              </w:rPr>
              <w:t>无穷级数</w:t>
            </w:r>
          </w:p>
        </w:tc>
        <w:tc>
          <w:tcPr>
            <w:tcW w:w="992" w:type="dxa"/>
            <w:tcBorders>
              <w:bottom w:val="single" w:color="auto" w:sz="12" w:space="0"/>
            </w:tcBorders>
            <w:vAlign w:val="center"/>
          </w:tcPr>
          <w:p w14:paraId="6806E3C3">
            <w:pPr>
              <w:pStyle w:val="15"/>
              <w:rPr>
                <w:rFonts w:ascii="Times New Roman" w:hAnsi="Times New Roman"/>
              </w:rPr>
            </w:pPr>
            <w:r>
              <w:rPr>
                <w:rFonts w:ascii="Times New Roman" w:hAnsi="Times New Roman"/>
              </w:rPr>
              <w:t>√</w:t>
            </w:r>
          </w:p>
        </w:tc>
        <w:tc>
          <w:tcPr>
            <w:tcW w:w="1134" w:type="dxa"/>
            <w:tcBorders>
              <w:bottom w:val="single" w:color="auto" w:sz="12" w:space="0"/>
            </w:tcBorders>
            <w:vAlign w:val="center"/>
          </w:tcPr>
          <w:p w14:paraId="7D7B678B">
            <w:pPr>
              <w:pStyle w:val="15"/>
              <w:rPr>
                <w:rFonts w:ascii="Times New Roman" w:hAnsi="Times New Roman"/>
              </w:rPr>
            </w:pPr>
            <w:r>
              <w:rPr>
                <w:rFonts w:ascii="Times New Roman" w:hAnsi="Times New Roman"/>
              </w:rPr>
              <w:t>√</w:t>
            </w:r>
          </w:p>
        </w:tc>
        <w:tc>
          <w:tcPr>
            <w:tcW w:w="992" w:type="dxa"/>
            <w:tcBorders>
              <w:bottom w:val="single" w:color="auto" w:sz="12" w:space="0"/>
            </w:tcBorders>
            <w:vAlign w:val="center"/>
          </w:tcPr>
          <w:p w14:paraId="3C258DA3">
            <w:pPr>
              <w:pStyle w:val="15"/>
              <w:rPr>
                <w:rFonts w:ascii="Times New Roman" w:hAnsi="Times New Roman"/>
              </w:rPr>
            </w:pPr>
            <w:r>
              <w:rPr>
                <w:rFonts w:ascii="Times New Roman" w:hAnsi="Times New Roman"/>
              </w:rPr>
              <w:t>√</w:t>
            </w:r>
          </w:p>
        </w:tc>
        <w:tc>
          <w:tcPr>
            <w:tcW w:w="1134" w:type="dxa"/>
            <w:tcBorders>
              <w:bottom w:val="single" w:color="auto" w:sz="12" w:space="0"/>
            </w:tcBorders>
            <w:vAlign w:val="center"/>
          </w:tcPr>
          <w:p w14:paraId="3F155478">
            <w:pPr>
              <w:pStyle w:val="15"/>
              <w:rPr>
                <w:rFonts w:ascii="Times New Roman" w:hAnsi="Times New Roman"/>
              </w:rPr>
            </w:pPr>
            <w:r>
              <w:rPr>
                <w:rFonts w:ascii="Times New Roman" w:hAnsi="Times New Roman"/>
              </w:rPr>
              <w:t>√</w:t>
            </w:r>
          </w:p>
        </w:tc>
        <w:tc>
          <w:tcPr>
            <w:tcW w:w="823" w:type="dxa"/>
            <w:tcBorders>
              <w:bottom w:val="single" w:color="auto" w:sz="12" w:space="0"/>
            </w:tcBorders>
            <w:vAlign w:val="center"/>
          </w:tcPr>
          <w:p w14:paraId="079DD1E1">
            <w:pPr>
              <w:pStyle w:val="15"/>
              <w:rPr>
                <w:rFonts w:ascii="Times New Roman" w:hAnsi="Times New Roman"/>
              </w:rPr>
            </w:pPr>
            <w:r>
              <w:rPr>
                <w:rFonts w:ascii="Times New Roman" w:hAnsi="Times New Roman"/>
              </w:rPr>
              <w:t>√</w:t>
            </w:r>
          </w:p>
        </w:tc>
      </w:tr>
    </w:tbl>
    <w:p w14:paraId="4F67F746">
      <w:pPr>
        <w:pStyle w:val="18"/>
        <w:rPr>
          <w:rFonts w:ascii="Times New Roman" w:hAnsi="Times New Roman" w:cs="Times New Roman"/>
        </w:rPr>
      </w:pPr>
    </w:p>
    <w:p w14:paraId="63F8B5D9">
      <w:pPr>
        <w:pStyle w:val="18"/>
        <w:rPr>
          <w:rFonts w:ascii="Times New Roman" w:hAnsi="Times New Roman" w:cs="Times New Roman"/>
        </w:rPr>
      </w:pPr>
      <w:r>
        <w:rPr>
          <w:rFonts w:ascii="Times New Roman" w:hAnsi="Times New Roman" w:cs="Times New Roman"/>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1CFA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386A3323">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教学单元</w:t>
            </w:r>
          </w:p>
        </w:tc>
        <w:tc>
          <w:tcPr>
            <w:tcW w:w="2755" w:type="dxa"/>
            <w:vMerge w:val="restart"/>
            <w:tcBorders>
              <w:top w:val="single" w:color="auto" w:sz="12" w:space="0"/>
            </w:tcBorders>
            <w:vAlign w:val="center"/>
          </w:tcPr>
          <w:p w14:paraId="4A51C4AF">
            <w:pPr>
              <w:pStyle w:val="14"/>
              <w:widowControl w:val="0"/>
              <w:rPr>
                <w:rFonts w:ascii="Times New Roman" w:hAnsi="Times New Roman" w:cs="Times New Roman"/>
                <w:szCs w:val="21"/>
              </w:rPr>
            </w:pPr>
            <w:r>
              <w:rPr>
                <w:rFonts w:ascii="Times New Roman" w:hAnsi="Times New Roman" w:cs="Times New Roman"/>
                <w:szCs w:val="21"/>
              </w:rPr>
              <w:t>教与学方式</w:t>
            </w:r>
          </w:p>
        </w:tc>
        <w:tc>
          <w:tcPr>
            <w:tcW w:w="1738" w:type="dxa"/>
            <w:vMerge w:val="restart"/>
            <w:tcBorders>
              <w:top w:val="single" w:color="auto" w:sz="12" w:space="0"/>
            </w:tcBorders>
            <w:vAlign w:val="center"/>
          </w:tcPr>
          <w:p w14:paraId="2722196F">
            <w:pPr>
              <w:pStyle w:val="14"/>
              <w:widowControl w:val="0"/>
              <w:rPr>
                <w:rFonts w:ascii="Times New Roman" w:hAnsi="Times New Roman" w:cs="Times New Roman"/>
                <w:szCs w:val="21"/>
              </w:rPr>
            </w:pPr>
            <w:r>
              <w:rPr>
                <w:rFonts w:ascii="Times New Roman" w:hAnsi="Times New Roman" w:cs="Times New Roman"/>
                <w:szCs w:val="21"/>
              </w:rPr>
              <w:t>考核方式</w:t>
            </w:r>
          </w:p>
        </w:tc>
        <w:tc>
          <w:tcPr>
            <w:tcW w:w="2111" w:type="dxa"/>
            <w:gridSpan w:val="3"/>
            <w:tcBorders>
              <w:top w:val="single" w:color="auto" w:sz="12" w:space="0"/>
              <w:right w:val="single" w:color="auto" w:sz="12" w:space="0"/>
            </w:tcBorders>
            <w:vAlign w:val="center"/>
          </w:tcPr>
          <w:p w14:paraId="0C0B7DE8">
            <w:pPr>
              <w:pStyle w:val="14"/>
              <w:widowControl w:val="0"/>
              <w:rPr>
                <w:rFonts w:ascii="Times New Roman" w:hAnsi="Times New Roman" w:cs="Times New Roman"/>
                <w:szCs w:val="21"/>
              </w:rPr>
            </w:pPr>
            <w:r>
              <w:rPr>
                <w:rFonts w:ascii="Times New Roman" w:hAnsi="Times New Roman" w:cs="Times New Roman"/>
                <w:szCs w:val="21"/>
              </w:rPr>
              <w:t>学时</w:t>
            </w:r>
            <w:r>
              <w:rPr>
                <w:rFonts w:ascii="Times New Roman" w:hAnsi="Times New Roman" w:cs="Times New Roman"/>
                <w:bCs w:val="0"/>
                <w:szCs w:val="21"/>
              </w:rPr>
              <w:t>分配</w:t>
            </w:r>
          </w:p>
        </w:tc>
      </w:tr>
      <w:tr w14:paraId="2642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5C751D65">
            <w:pPr>
              <w:widowControl w:val="0"/>
              <w:snapToGrid w:val="0"/>
              <w:jc w:val="center"/>
              <w:rPr>
                <w:rFonts w:ascii="Times New Roman" w:hAnsi="Times New Roman" w:eastAsia="黑体" w:cs="Times New Roman"/>
                <w:bCs/>
                <w:sz w:val="21"/>
                <w:szCs w:val="21"/>
              </w:rPr>
            </w:pPr>
          </w:p>
        </w:tc>
        <w:tc>
          <w:tcPr>
            <w:tcW w:w="2755" w:type="dxa"/>
            <w:vMerge w:val="continue"/>
          </w:tcPr>
          <w:p w14:paraId="2D86CBA1">
            <w:pPr>
              <w:widowControl w:val="0"/>
              <w:snapToGrid w:val="0"/>
              <w:jc w:val="center"/>
              <w:rPr>
                <w:rFonts w:ascii="Times New Roman" w:hAnsi="Times New Roman" w:eastAsia="黑体" w:cs="Times New Roman"/>
                <w:bCs/>
                <w:sz w:val="21"/>
                <w:szCs w:val="21"/>
              </w:rPr>
            </w:pPr>
          </w:p>
        </w:tc>
        <w:tc>
          <w:tcPr>
            <w:tcW w:w="1738" w:type="dxa"/>
            <w:vMerge w:val="continue"/>
          </w:tcPr>
          <w:p w14:paraId="1F3FFDF2">
            <w:pPr>
              <w:widowControl w:val="0"/>
              <w:snapToGrid w:val="0"/>
              <w:jc w:val="center"/>
              <w:rPr>
                <w:rFonts w:ascii="Times New Roman" w:hAnsi="Times New Roman" w:eastAsia="黑体" w:cs="Times New Roman"/>
                <w:bCs/>
                <w:sz w:val="21"/>
                <w:szCs w:val="21"/>
              </w:rPr>
            </w:pPr>
          </w:p>
        </w:tc>
        <w:tc>
          <w:tcPr>
            <w:tcW w:w="725" w:type="dxa"/>
            <w:vAlign w:val="center"/>
          </w:tcPr>
          <w:p w14:paraId="0F5E15DC">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理论</w:t>
            </w:r>
          </w:p>
        </w:tc>
        <w:tc>
          <w:tcPr>
            <w:tcW w:w="669" w:type="dxa"/>
            <w:vAlign w:val="center"/>
          </w:tcPr>
          <w:p w14:paraId="7B461A8D">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实践</w:t>
            </w:r>
          </w:p>
        </w:tc>
        <w:tc>
          <w:tcPr>
            <w:tcW w:w="717" w:type="dxa"/>
            <w:tcBorders>
              <w:right w:val="single" w:color="auto" w:sz="12" w:space="0"/>
            </w:tcBorders>
            <w:vAlign w:val="center"/>
          </w:tcPr>
          <w:p w14:paraId="14F34D94">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小计</w:t>
            </w:r>
          </w:p>
        </w:tc>
      </w:tr>
      <w:tr w14:paraId="7C8F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7BB9B27F">
            <w:pPr>
              <w:widowControl w:val="0"/>
              <w:snapToGrid w:val="0"/>
              <w:jc w:val="center"/>
              <w:rPr>
                <w:rFonts w:ascii="Times New Roman" w:hAnsi="Times New Roman" w:cs="Times New Roman"/>
                <w:bCs/>
                <w:sz w:val="21"/>
                <w:szCs w:val="21"/>
              </w:rPr>
            </w:pPr>
            <w:r>
              <w:rPr>
                <w:rFonts w:ascii="Times New Roman" w:hAnsi="Times New Roman" w:cs="Times New Roman"/>
                <w:bCs/>
                <w:sz w:val="20"/>
                <w:szCs w:val="20"/>
              </w:rPr>
              <w:t>第八单元</w:t>
            </w:r>
          </w:p>
        </w:tc>
        <w:tc>
          <w:tcPr>
            <w:tcW w:w="2755" w:type="dxa"/>
            <w:vAlign w:val="center"/>
          </w:tcPr>
          <w:p w14:paraId="4589D878">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启发探究式、案例教学法、互动讨论</w:t>
            </w:r>
          </w:p>
        </w:tc>
        <w:tc>
          <w:tcPr>
            <w:tcW w:w="1738" w:type="dxa"/>
            <w:vAlign w:val="center"/>
          </w:tcPr>
          <w:p w14:paraId="1C4D5A49">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课堂出勤、平时作业、平时表现</w:t>
            </w:r>
          </w:p>
        </w:tc>
        <w:tc>
          <w:tcPr>
            <w:tcW w:w="725" w:type="dxa"/>
            <w:vAlign w:val="center"/>
          </w:tcPr>
          <w:p w14:paraId="05FAE4EA">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16</w:t>
            </w:r>
          </w:p>
        </w:tc>
        <w:tc>
          <w:tcPr>
            <w:tcW w:w="669" w:type="dxa"/>
            <w:vAlign w:val="center"/>
          </w:tcPr>
          <w:p w14:paraId="41804463">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0</w:t>
            </w:r>
          </w:p>
        </w:tc>
        <w:tc>
          <w:tcPr>
            <w:tcW w:w="717" w:type="dxa"/>
            <w:tcBorders>
              <w:right w:val="single" w:color="auto" w:sz="12" w:space="0"/>
            </w:tcBorders>
            <w:vAlign w:val="center"/>
          </w:tcPr>
          <w:p w14:paraId="15B1A035">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16</w:t>
            </w:r>
          </w:p>
        </w:tc>
      </w:tr>
      <w:tr w14:paraId="18AD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9B6CCB1">
            <w:pPr>
              <w:widowControl w:val="0"/>
              <w:snapToGrid w:val="0"/>
              <w:jc w:val="center"/>
              <w:rPr>
                <w:rFonts w:ascii="Times New Roman" w:hAnsi="Times New Roman" w:cs="Times New Roman"/>
                <w:bCs/>
                <w:sz w:val="20"/>
                <w:szCs w:val="20"/>
              </w:rPr>
            </w:pPr>
            <w:r>
              <w:rPr>
                <w:rFonts w:ascii="Times New Roman" w:hAnsi="Times New Roman" w:cs="Times New Roman"/>
                <w:bCs/>
                <w:sz w:val="20"/>
                <w:szCs w:val="20"/>
              </w:rPr>
              <w:t>第九单元</w:t>
            </w:r>
          </w:p>
        </w:tc>
        <w:tc>
          <w:tcPr>
            <w:tcW w:w="2755" w:type="dxa"/>
            <w:vAlign w:val="center"/>
          </w:tcPr>
          <w:p w14:paraId="316F47F4">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启发探究式、案例教学法、互动讨论</w:t>
            </w:r>
          </w:p>
        </w:tc>
        <w:tc>
          <w:tcPr>
            <w:tcW w:w="1738" w:type="dxa"/>
            <w:vAlign w:val="center"/>
          </w:tcPr>
          <w:p w14:paraId="4F0F7BD1">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课堂出勤、平时作业、平时表现</w:t>
            </w:r>
          </w:p>
        </w:tc>
        <w:tc>
          <w:tcPr>
            <w:tcW w:w="725" w:type="dxa"/>
            <w:vAlign w:val="center"/>
          </w:tcPr>
          <w:p w14:paraId="68357F75">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20</w:t>
            </w:r>
          </w:p>
        </w:tc>
        <w:tc>
          <w:tcPr>
            <w:tcW w:w="669" w:type="dxa"/>
            <w:vAlign w:val="center"/>
          </w:tcPr>
          <w:p w14:paraId="2D7B343D">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0</w:t>
            </w:r>
          </w:p>
        </w:tc>
        <w:tc>
          <w:tcPr>
            <w:tcW w:w="717" w:type="dxa"/>
            <w:tcBorders>
              <w:right w:val="single" w:color="auto" w:sz="12" w:space="0"/>
            </w:tcBorders>
            <w:vAlign w:val="center"/>
          </w:tcPr>
          <w:p w14:paraId="14B3246C">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20</w:t>
            </w:r>
          </w:p>
        </w:tc>
      </w:tr>
      <w:tr w14:paraId="6DC5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5A9EB062">
            <w:pPr>
              <w:widowControl w:val="0"/>
              <w:snapToGrid w:val="0"/>
              <w:jc w:val="center"/>
              <w:rPr>
                <w:rFonts w:ascii="Times New Roman" w:hAnsi="Times New Roman" w:cs="Times New Roman"/>
                <w:bCs/>
                <w:sz w:val="20"/>
                <w:szCs w:val="20"/>
              </w:rPr>
            </w:pPr>
            <w:r>
              <w:rPr>
                <w:rFonts w:ascii="Times New Roman" w:hAnsi="Times New Roman" w:cs="Times New Roman"/>
                <w:bCs/>
                <w:sz w:val="20"/>
                <w:szCs w:val="20"/>
              </w:rPr>
              <w:t>第十单元</w:t>
            </w:r>
          </w:p>
        </w:tc>
        <w:tc>
          <w:tcPr>
            <w:tcW w:w="2755" w:type="dxa"/>
            <w:vAlign w:val="center"/>
          </w:tcPr>
          <w:p w14:paraId="1CD7787D">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启发探究式、案例教学法、互动讨论</w:t>
            </w:r>
          </w:p>
        </w:tc>
        <w:tc>
          <w:tcPr>
            <w:tcW w:w="1738" w:type="dxa"/>
            <w:vAlign w:val="center"/>
          </w:tcPr>
          <w:p w14:paraId="206FF153">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课堂出勤、平时作业、平时表现</w:t>
            </w:r>
          </w:p>
        </w:tc>
        <w:tc>
          <w:tcPr>
            <w:tcW w:w="725" w:type="dxa"/>
            <w:vAlign w:val="center"/>
          </w:tcPr>
          <w:p w14:paraId="0695214E">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14</w:t>
            </w:r>
          </w:p>
        </w:tc>
        <w:tc>
          <w:tcPr>
            <w:tcW w:w="669" w:type="dxa"/>
            <w:vAlign w:val="center"/>
          </w:tcPr>
          <w:p w14:paraId="12C4BBFD">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0</w:t>
            </w:r>
          </w:p>
        </w:tc>
        <w:tc>
          <w:tcPr>
            <w:tcW w:w="717" w:type="dxa"/>
            <w:tcBorders>
              <w:right w:val="single" w:color="auto" w:sz="12" w:space="0"/>
            </w:tcBorders>
            <w:vAlign w:val="center"/>
          </w:tcPr>
          <w:p w14:paraId="3B757808">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14</w:t>
            </w:r>
          </w:p>
        </w:tc>
      </w:tr>
      <w:tr w14:paraId="4251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0D04FD3E">
            <w:pPr>
              <w:widowControl w:val="0"/>
              <w:snapToGrid w:val="0"/>
              <w:jc w:val="center"/>
              <w:rPr>
                <w:rFonts w:ascii="Times New Roman" w:hAnsi="Times New Roman" w:cs="Times New Roman"/>
                <w:bCs/>
                <w:sz w:val="21"/>
                <w:szCs w:val="21"/>
              </w:rPr>
            </w:pPr>
            <w:r>
              <w:rPr>
                <w:rFonts w:ascii="Times New Roman" w:hAnsi="Times New Roman" w:cs="Times New Roman"/>
                <w:bCs/>
                <w:sz w:val="20"/>
                <w:szCs w:val="20"/>
              </w:rPr>
              <w:t>第十二单元</w:t>
            </w:r>
          </w:p>
        </w:tc>
        <w:tc>
          <w:tcPr>
            <w:tcW w:w="2755" w:type="dxa"/>
            <w:vAlign w:val="center"/>
          </w:tcPr>
          <w:p w14:paraId="3CB2B952">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启发探究式、案例教学法、互动讨论</w:t>
            </w:r>
          </w:p>
        </w:tc>
        <w:tc>
          <w:tcPr>
            <w:tcW w:w="1738" w:type="dxa"/>
            <w:vAlign w:val="center"/>
          </w:tcPr>
          <w:p w14:paraId="22259DED">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课堂出勤、平时作业、平时表现</w:t>
            </w:r>
          </w:p>
        </w:tc>
        <w:tc>
          <w:tcPr>
            <w:tcW w:w="725" w:type="dxa"/>
            <w:vAlign w:val="center"/>
          </w:tcPr>
          <w:p w14:paraId="0747E807">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14</w:t>
            </w:r>
          </w:p>
        </w:tc>
        <w:tc>
          <w:tcPr>
            <w:tcW w:w="669" w:type="dxa"/>
            <w:vAlign w:val="center"/>
          </w:tcPr>
          <w:p w14:paraId="0D6CE5C7">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0</w:t>
            </w:r>
          </w:p>
        </w:tc>
        <w:tc>
          <w:tcPr>
            <w:tcW w:w="717" w:type="dxa"/>
            <w:tcBorders>
              <w:right w:val="single" w:color="auto" w:sz="12" w:space="0"/>
            </w:tcBorders>
            <w:vAlign w:val="center"/>
          </w:tcPr>
          <w:p w14:paraId="25E4DF00">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14</w:t>
            </w:r>
          </w:p>
        </w:tc>
      </w:tr>
      <w:tr w14:paraId="644E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0CAC5E15">
            <w:pPr>
              <w:pStyle w:val="14"/>
              <w:widowControl w:val="0"/>
              <w:rPr>
                <w:rFonts w:ascii="Times New Roman" w:hAnsi="Times New Roman" w:cs="Times New Roman"/>
              </w:rPr>
            </w:pPr>
            <w:r>
              <w:rPr>
                <w:rFonts w:ascii="Times New Roman" w:hAnsi="Times New Roman" w:cs="Times New Roman"/>
              </w:rPr>
              <w:t>合计</w:t>
            </w:r>
          </w:p>
        </w:tc>
        <w:tc>
          <w:tcPr>
            <w:tcW w:w="725" w:type="dxa"/>
            <w:tcBorders>
              <w:bottom w:val="single" w:color="auto" w:sz="12" w:space="0"/>
            </w:tcBorders>
            <w:vAlign w:val="center"/>
          </w:tcPr>
          <w:p w14:paraId="28715D1B">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64</w:t>
            </w:r>
          </w:p>
        </w:tc>
        <w:tc>
          <w:tcPr>
            <w:tcW w:w="669" w:type="dxa"/>
            <w:tcBorders>
              <w:bottom w:val="single" w:color="auto" w:sz="12" w:space="0"/>
            </w:tcBorders>
            <w:vAlign w:val="center"/>
          </w:tcPr>
          <w:p w14:paraId="5E70790C">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0</w:t>
            </w:r>
          </w:p>
        </w:tc>
        <w:tc>
          <w:tcPr>
            <w:tcW w:w="717" w:type="dxa"/>
            <w:tcBorders>
              <w:bottom w:val="single" w:color="auto" w:sz="12" w:space="0"/>
              <w:right w:val="single" w:color="auto" w:sz="12" w:space="0"/>
            </w:tcBorders>
            <w:vAlign w:val="center"/>
          </w:tcPr>
          <w:p w14:paraId="1A2DF431">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64</w:t>
            </w:r>
          </w:p>
        </w:tc>
      </w:tr>
    </w:tbl>
    <w:p w14:paraId="5BE124A4">
      <w:pPr>
        <w:pStyle w:val="17"/>
        <w:rPr>
          <w:rFonts w:ascii="Times New Roman" w:hAnsi="Times New Roman" w:cs="Times New Roman"/>
        </w:rPr>
      </w:pPr>
      <w:bookmarkStart w:id="2" w:name="OLE_LINK2"/>
      <w:bookmarkStart w:id="3" w:name="OLE_LINK1"/>
    </w:p>
    <w:p w14:paraId="222A313C">
      <w:pPr>
        <w:pStyle w:val="17"/>
        <w:rPr>
          <w:rFonts w:ascii="Times New Roman" w:hAnsi="Times New Roman" w:cs="Times New Roman"/>
        </w:rPr>
      </w:pPr>
      <w:r>
        <w:rPr>
          <w:rFonts w:ascii="Times New Roman" w:hAnsi="Times New Roman" w:cs="Times New Roman"/>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31FE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634" w:hRule="atLeast"/>
        </w:trPr>
        <w:tc>
          <w:tcPr>
            <w:tcW w:w="8276" w:type="dxa"/>
            <w:vAlign w:val="center"/>
          </w:tcPr>
          <w:p w14:paraId="70BA4641">
            <w:pPr>
              <w:widowControl w:val="0"/>
              <w:snapToGrid w:val="0"/>
              <w:ind w:firstLine="420" w:firstLineChars="200"/>
              <w:jc w:val="both"/>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根据章节内容对应知识目标、技能目标和素养目标具体要求，综合设计整个教学过程，达到课程思政的效果。</w:t>
            </w:r>
          </w:p>
          <w:p w14:paraId="5D6C18C6">
            <w:pPr>
              <w:widowControl w:val="0"/>
              <w:snapToGrid w:val="0"/>
              <w:jc w:val="both"/>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途径1:引入课程相关数学史的内容，激发学习兴趣，调动积极性，提高基础知识和基本技</w:t>
            </w:r>
          </w:p>
          <w:p w14:paraId="58755440">
            <w:pPr>
              <w:widowControl w:val="0"/>
              <w:snapToGrid w:val="0"/>
              <w:jc w:val="both"/>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能，培养学生的家国情怀。</w:t>
            </w:r>
          </w:p>
          <w:p w14:paraId="3A1274E5">
            <w:pPr>
              <w:widowControl w:val="0"/>
              <w:snapToGrid w:val="0"/>
              <w:jc w:val="both"/>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途径2:通过适当延伸高等数学的内容，阐述数学哲学思想与人生哲理，让学生体会数学作</w:t>
            </w:r>
          </w:p>
          <w:p w14:paraId="30E5E2F3">
            <w:pPr>
              <w:widowControl w:val="0"/>
              <w:snapToGrid w:val="0"/>
              <w:jc w:val="both"/>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为自然科学的基础性作用，树立奉献社会和为人民服务意识，实现对学生科学方法论和正确人生观的引导。</w:t>
            </w:r>
          </w:p>
          <w:p w14:paraId="6FF9D13B">
            <w:pPr>
              <w:widowControl w:val="0"/>
              <w:snapToGrid w:val="0"/>
              <w:jc w:val="both"/>
              <w:rPr>
                <w:rFonts w:ascii="Times New Roman" w:hAnsi="Times New Roman" w:eastAsia="黑体" w:cs="Times New Roman"/>
                <w:bCs/>
                <w:sz w:val="21"/>
                <w:szCs w:val="21"/>
              </w:rPr>
            </w:pPr>
            <w:r>
              <w:rPr>
                <w:rFonts w:ascii="Times New Roman" w:hAnsi="Times New Roman" w:eastAsia="黑体" w:cs="Times New Roman"/>
                <w:color w:val="000000"/>
                <w:sz w:val="21"/>
                <w:szCs w:val="21"/>
              </w:rPr>
              <w:t>途径3:改进课堂教学方法，创新教学设计，融入数学建模思想，学以致用，让学生体会数学的作用和强大魅力，培养学生的数学应用意识，引导学生主动学习。</w:t>
            </w:r>
          </w:p>
        </w:tc>
      </w:tr>
    </w:tbl>
    <w:p w14:paraId="031681EB">
      <w:pPr>
        <w:pStyle w:val="17"/>
        <w:rPr>
          <w:rFonts w:ascii="Times New Roman" w:hAnsi="Times New Roman" w:cs="Times New Roman"/>
        </w:rPr>
      </w:pPr>
    </w:p>
    <w:p w14:paraId="686CD98A">
      <w:pPr>
        <w:pStyle w:val="17"/>
        <w:rPr>
          <w:rFonts w:ascii="Times New Roman" w:hAnsi="Times New Roman" w:cs="Times New Roman"/>
        </w:rPr>
      </w:pPr>
      <w:r>
        <w:rPr>
          <w:rFonts w:ascii="Times New Roman" w:hAnsi="Times New Roman" w:cs="Times New Roman"/>
        </w:rPr>
        <w:t>五、课程考核</w:t>
      </w:r>
      <w:bookmarkStart w:id="4" w:name="OLE_LINK4"/>
      <w:bookmarkStart w:id="5" w:name="OLE_LINK3"/>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979"/>
        <w:gridCol w:w="2360"/>
        <w:gridCol w:w="426"/>
        <w:gridCol w:w="608"/>
        <w:gridCol w:w="608"/>
        <w:gridCol w:w="960"/>
        <w:gridCol w:w="767"/>
        <w:gridCol w:w="984"/>
      </w:tblGrid>
      <w:tr w14:paraId="32A6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0" w:type="dxa"/>
            <w:vMerge w:val="restart"/>
            <w:tcBorders>
              <w:top w:val="single" w:color="auto" w:sz="12" w:space="0"/>
              <w:left w:val="single" w:color="auto" w:sz="12" w:space="0"/>
            </w:tcBorders>
            <w:vAlign w:val="center"/>
          </w:tcPr>
          <w:p w14:paraId="1036C4FA">
            <w:pPr>
              <w:widowControl w:val="0"/>
              <w:snapToGrid w:val="0"/>
              <w:jc w:val="center"/>
              <w:rPr>
                <w:rFonts w:ascii="Times New Roman" w:hAnsi="Times New Roman" w:eastAsia="黑体" w:cs="Times New Roman"/>
                <w:bCs/>
              </w:rPr>
            </w:pPr>
            <w:r>
              <w:rPr>
                <w:rFonts w:ascii="Times New Roman" w:hAnsi="Times New Roman" w:eastAsia="黑体" w:cs="Times New Roman"/>
                <w:bCs/>
              </w:rPr>
              <w:t>总评构成</w:t>
            </w:r>
          </w:p>
        </w:tc>
        <w:tc>
          <w:tcPr>
            <w:tcW w:w="979" w:type="dxa"/>
            <w:vMerge w:val="restart"/>
            <w:tcBorders>
              <w:top w:val="single" w:color="auto" w:sz="12" w:space="0"/>
            </w:tcBorders>
            <w:vAlign w:val="center"/>
          </w:tcPr>
          <w:p w14:paraId="20C7621B">
            <w:pPr>
              <w:pStyle w:val="17"/>
              <w:rPr>
                <w:rFonts w:ascii="Times New Roman" w:hAnsi="Times New Roman" w:cs="Times New Roman"/>
                <w:sz w:val="24"/>
                <w:szCs w:val="24"/>
              </w:rPr>
            </w:pPr>
            <w:r>
              <w:rPr>
                <w:rFonts w:ascii="Times New Roman" w:hAnsi="Times New Roman" w:cs="Times New Roman"/>
                <w:sz w:val="24"/>
                <w:szCs w:val="24"/>
              </w:rPr>
              <w:t>占比</w:t>
            </w:r>
          </w:p>
        </w:tc>
        <w:tc>
          <w:tcPr>
            <w:tcW w:w="2360" w:type="dxa"/>
            <w:vMerge w:val="restart"/>
            <w:tcBorders>
              <w:top w:val="single" w:color="auto" w:sz="12" w:space="0"/>
              <w:right w:val="double" w:color="auto" w:sz="4" w:space="0"/>
            </w:tcBorders>
            <w:vAlign w:val="center"/>
          </w:tcPr>
          <w:p w14:paraId="5E5D150D">
            <w:pPr>
              <w:pStyle w:val="17"/>
              <w:rPr>
                <w:rFonts w:ascii="Times New Roman" w:hAnsi="Times New Roman" w:cs="Times New Roman"/>
                <w:sz w:val="24"/>
                <w:szCs w:val="24"/>
              </w:rPr>
            </w:pPr>
            <w:r>
              <w:rPr>
                <w:rFonts w:ascii="Times New Roman" w:hAnsi="Times New Roman" w:cs="Times New Roman"/>
                <w:sz w:val="24"/>
                <w:szCs w:val="24"/>
              </w:rPr>
              <w:t>考核方式</w:t>
            </w:r>
          </w:p>
        </w:tc>
        <w:tc>
          <w:tcPr>
            <w:tcW w:w="3369" w:type="dxa"/>
            <w:gridSpan w:val="5"/>
            <w:tcBorders>
              <w:top w:val="single" w:color="auto" w:sz="12" w:space="0"/>
              <w:left w:val="double" w:color="auto" w:sz="4" w:space="0"/>
            </w:tcBorders>
            <w:vAlign w:val="center"/>
          </w:tcPr>
          <w:p w14:paraId="75BD7F7F">
            <w:pPr>
              <w:pStyle w:val="17"/>
              <w:rPr>
                <w:rFonts w:ascii="Times New Roman" w:hAnsi="Times New Roman" w:cs="Times New Roman"/>
                <w:sz w:val="24"/>
                <w:szCs w:val="24"/>
              </w:rPr>
            </w:pPr>
            <w:r>
              <w:rPr>
                <w:rFonts w:ascii="Times New Roman" w:hAnsi="Times New Roman" w:cs="Times New Roman"/>
                <w:sz w:val="24"/>
                <w:szCs w:val="24"/>
              </w:rPr>
              <w:t>课程目标</w:t>
            </w:r>
          </w:p>
        </w:tc>
        <w:tc>
          <w:tcPr>
            <w:tcW w:w="984" w:type="dxa"/>
            <w:vMerge w:val="restart"/>
            <w:tcBorders>
              <w:top w:val="single" w:color="auto" w:sz="12" w:space="0"/>
              <w:right w:val="single" w:color="auto" w:sz="12" w:space="0"/>
            </w:tcBorders>
            <w:vAlign w:val="center"/>
          </w:tcPr>
          <w:p w14:paraId="569B9567">
            <w:pPr>
              <w:pStyle w:val="17"/>
              <w:rPr>
                <w:rFonts w:ascii="Times New Roman" w:hAnsi="Times New Roman" w:cs="Times New Roman"/>
                <w:sz w:val="24"/>
                <w:szCs w:val="24"/>
              </w:rPr>
            </w:pPr>
            <w:r>
              <w:rPr>
                <w:rFonts w:ascii="Times New Roman" w:hAnsi="Times New Roman" w:cs="Times New Roman"/>
                <w:sz w:val="24"/>
                <w:szCs w:val="24"/>
              </w:rPr>
              <w:t>合计</w:t>
            </w:r>
          </w:p>
        </w:tc>
      </w:tr>
      <w:tr w14:paraId="07E3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830" w:type="dxa"/>
            <w:vMerge w:val="continue"/>
            <w:tcBorders>
              <w:left w:val="single" w:color="auto" w:sz="12" w:space="0"/>
            </w:tcBorders>
          </w:tcPr>
          <w:p w14:paraId="07049BE1">
            <w:pPr>
              <w:widowControl w:val="0"/>
              <w:snapToGrid w:val="0"/>
              <w:jc w:val="center"/>
              <w:rPr>
                <w:rFonts w:ascii="Times New Roman" w:hAnsi="Times New Roman" w:eastAsia="黑体" w:cs="Times New Roman"/>
                <w:bCs/>
                <w:sz w:val="21"/>
                <w:szCs w:val="21"/>
              </w:rPr>
            </w:pPr>
          </w:p>
        </w:tc>
        <w:tc>
          <w:tcPr>
            <w:tcW w:w="979" w:type="dxa"/>
            <w:vMerge w:val="continue"/>
          </w:tcPr>
          <w:p w14:paraId="6882C78E">
            <w:pPr>
              <w:pStyle w:val="17"/>
              <w:rPr>
                <w:rFonts w:ascii="Times New Roman" w:hAnsi="Times New Roman" w:cs="Times New Roman"/>
              </w:rPr>
            </w:pPr>
          </w:p>
        </w:tc>
        <w:tc>
          <w:tcPr>
            <w:tcW w:w="2360" w:type="dxa"/>
            <w:vMerge w:val="continue"/>
            <w:tcBorders>
              <w:right w:val="double" w:color="auto" w:sz="4" w:space="0"/>
            </w:tcBorders>
          </w:tcPr>
          <w:p w14:paraId="547A9931">
            <w:pPr>
              <w:pStyle w:val="17"/>
              <w:rPr>
                <w:rFonts w:ascii="Times New Roman" w:hAnsi="Times New Roman" w:cs="Times New Roman"/>
              </w:rPr>
            </w:pPr>
          </w:p>
        </w:tc>
        <w:tc>
          <w:tcPr>
            <w:tcW w:w="426" w:type="dxa"/>
            <w:tcBorders>
              <w:left w:val="double" w:color="auto" w:sz="4" w:space="0"/>
            </w:tcBorders>
            <w:vAlign w:val="center"/>
          </w:tcPr>
          <w:p w14:paraId="32493D7B">
            <w:pPr>
              <w:pStyle w:val="17"/>
              <w:rPr>
                <w:rFonts w:ascii="Times New Roman" w:hAnsi="Times New Roman" w:cs="Times New Roman"/>
              </w:rPr>
            </w:pPr>
            <w:r>
              <w:rPr>
                <w:rFonts w:ascii="Times New Roman" w:hAnsi="Times New Roman" w:cs="Times New Roman"/>
              </w:rPr>
              <w:t>1</w:t>
            </w:r>
          </w:p>
        </w:tc>
        <w:tc>
          <w:tcPr>
            <w:tcW w:w="608" w:type="dxa"/>
            <w:vAlign w:val="center"/>
          </w:tcPr>
          <w:p w14:paraId="403DDECA">
            <w:pPr>
              <w:pStyle w:val="17"/>
              <w:rPr>
                <w:rFonts w:ascii="Times New Roman" w:hAnsi="Times New Roman" w:cs="Times New Roman"/>
              </w:rPr>
            </w:pPr>
            <w:r>
              <w:rPr>
                <w:rFonts w:ascii="Times New Roman" w:hAnsi="Times New Roman" w:cs="Times New Roman"/>
              </w:rPr>
              <w:t>2</w:t>
            </w:r>
          </w:p>
        </w:tc>
        <w:tc>
          <w:tcPr>
            <w:tcW w:w="608" w:type="dxa"/>
            <w:vAlign w:val="center"/>
          </w:tcPr>
          <w:p w14:paraId="344B6431">
            <w:pPr>
              <w:pStyle w:val="17"/>
              <w:rPr>
                <w:rFonts w:ascii="Times New Roman" w:hAnsi="Times New Roman" w:cs="Times New Roman"/>
              </w:rPr>
            </w:pPr>
            <w:r>
              <w:rPr>
                <w:rFonts w:ascii="Times New Roman" w:hAnsi="Times New Roman" w:cs="Times New Roman"/>
              </w:rPr>
              <w:t>3</w:t>
            </w:r>
          </w:p>
        </w:tc>
        <w:tc>
          <w:tcPr>
            <w:tcW w:w="960" w:type="dxa"/>
            <w:vAlign w:val="center"/>
          </w:tcPr>
          <w:p w14:paraId="6596380D">
            <w:pPr>
              <w:pStyle w:val="17"/>
              <w:rPr>
                <w:rFonts w:ascii="Times New Roman" w:hAnsi="Times New Roman" w:cs="Times New Roman"/>
              </w:rPr>
            </w:pPr>
            <w:r>
              <w:rPr>
                <w:rFonts w:ascii="Times New Roman" w:hAnsi="Times New Roman" w:cs="Times New Roman"/>
              </w:rPr>
              <w:t>4</w:t>
            </w:r>
          </w:p>
        </w:tc>
        <w:tc>
          <w:tcPr>
            <w:tcW w:w="767" w:type="dxa"/>
            <w:vAlign w:val="center"/>
          </w:tcPr>
          <w:p w14:paraId="5006757B">
            <w:pPr>
              <w:pStyle w:val="17"/>
              <w:rPr>
                <w:rFonts w:ascii="Times New Roman" w:hAnsi="Times New Roman" w:cs="Times New Roman"/>
              </w:rPr>
            </w:pPr>
            <w:r>
              <w:rPr>
                <w:rFonts w:ascii="Times New Roman" w:hAnsi="Times New Roman" w:cs="Times New Roman"/>
              </w:rPr>
              <w:t>5</w:t>
            </w:r>
          </w:p>
        </w:tc>
        <w:tc>
          <w:tcPr>
            <w:tcW w:w="984" w:type="dxa"/>
            <w:vMerge w:val="continue"/>
            <w:tcBorders>
              <w:right w:val="single" w:color="auto" w:sz="12" w:space="0"/>
            </w:tcBorders>
            <w:vAlign w:val="center"/>
          </w:tcPr>
          <w:p w14:paraId="57533B78">
            <w:pPr>
              <w:pStyle w:val="17"/>
              <w:rPr>
                <w:rFonts w:ascii="Times New Roman" w:hAnsi="Times New Roman" w:cs="Times New Roman"/>
              </w:rPr>
            </w:pPr>
          </w:p>
        </w:tc>
      </w:tr>
      <w:tr w14:paraId="383D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30" w:type="dxa"/>
            <w:tcBorders>
              <w:left w:val="single" w:color="auto" w:sz="12" w:space="0"/>
            </w:tcBorders>
            <w:vAlign w:val="center"/>
          </w:tcPr>
          <w:p w14:paraId="1F69E009">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1</w:t>
            </w:r>
          </w:p>
        </w:tc>
        <w:tc>
          <w:tcPr>
            <w:tcW w:w="979" w:type="dxa"/>
            <w:vAlign w:val="center"/>
          </w:tcPr>
          <w:p w14:paraId="65A0F702">
            <w:pPr>
              <w:pStyle w:val="15"/>
              <w:rPr>
                <w:rFonts w:ascii="Times New Roman" w:hAnsi="Times New Roman"/>
              </w:rPr>
            </w:pPr>
            <w:r>
              <w:rPr>
                <w:rFonts w:ascii="Times New Roman" w:hAnsi="Times New Roman"/>
              </w:rPr>
              <w:t>50%</w:t>
            </w:r>
          </w:p>
        </w:tc>
        <w:tc>
          <w:tcPr>
            <w:tcW w:w="2360" w:type="dxa"/>
            <w:tcBorders>
              <w:right w:val="double" w:color="auto" w:sz="4" w:space="0"/>
            </w:tcBorders>
            <w:vAlign w:val="center"/>
          </w:tcPr>
          <w:p w14:paraId="3997B33F">
            <w:pPr>
              <w:pStyle w:val="15"/>
              <w:rPr>
                <w:rFonts w:ascii="Times New Roman" w:hAnsi="Times New Roman"/>
              </w:rPr>
            </w:pPr>
            <w:r>
              <w:rPr>
                <w:rFonts w:ascii="Times New Roman" w:hAnsi="Times New Roman"/>
              </w:rPr>
              <w:t>笔试（期末考试）</w:t>
            </w:r>
          </w:p>
        </w:tc>
        <w:tc>
          <w:tcPr>
            <w:tcW w:w="426" w:type="dxa"/>
            <w:tcBorders>
              <w:left w:val="double" w:color="auto" w:sz="4" w:space="0"/>
            </w:tcBorders>
            <w:vAlign w:val="center"/>
          </w:tcPr>
          <w:p w14:paraId="45A90D05">
            <w:pPr>
              <w:pStyle w:val="15"/>
              <w:rPr>
                <w:rFonts w:ascii="Times New Roman" w:hAnsi="Times New Roman"/>
              </w:rPr>
            </w:pPr>
            <w:r>
              <w:rPr>
                <w:rFonts w:ascii="Times New Roman" w:hAnsi="Times New Roman"/>
              </w:rPr>
              <w:t>50</w:t>
            </w:r>
          </w:p>
        </w:tc>
        <w:tc>
          <w:tcPr>
            <w:tcW w:w="608" w:type="dxa"/>
            <w:vAlign w:val="center"/>
          </w:tcPr>
          <w:p w14:paraId="2AB5B7AC">
            <w:pPr>
              <w:pStyle w:val="15"/>
              <w:rPr>
                <w:rFonts w:ascii="Times New Roman" w:hAnsi="Times New Roman"/>
              </w:rPr>
            </w:pPr>
            <w:r>
              <w:rPr>
                <w:rFonts w:ascii="Times New Roman" w:hAnsi="Times New Roman"/>
              </w:rPr>
              <w:t>20</w:t>
            </w:r>
          </w:p>
        </w:tc>
        <w:tc>
          <w:tcPr>
            <w:tcW w:w="608" w:type="dxa"/>
            <w:vAlign w:val="center"/>
          </w:tcPr>
          <w:p w14:paraId="44BBA26D">
            <w:pPr>
              <w:pStyle w:val="15"/>
              <w:rPr>
                <w:rFonts w:ascii="Times New Roman" w:hAnsi="Times New Roman"/>
              </w:rPr>
            </w:pPr>
            <w:r>
              <w:rPr>
                <w:rFonts w:ascii="Times New Roman" w:hAnsi="Times New Roman"/>
              </w:rPr>
              <w:t>10</w:t>
            </w:r>
          </w:p>
        </w:tc>
        <w:tc>
          <w:tcPr>
            <w:tcW w:w="960" w:type="dxa"/>
            <w:vAlign w:val="center"/>
          </w:tcPr>
          <w:p w14:paraId="7888D290">
            <w:pPr>
              <w:pStyle w:val="15"/>
              <w:rPr>
                <w:rFonts w:ascii="Times New Roman" w:hAnsi="Times New Roman"/>
              </w:rPr>
            </w:pPr>
            <w:r>
              <w:rPr>
                <w:rFonts w:ascii="Times New Roman" w:hAnsi="Times New Roman"/>
              </w:rPr>
              <w:t>10</w:t>
            </w:r>
          </w:p>
        </w:tc>
        <w:tc>
          <w:tcPr>
            <w:tcW w:w="767" w:type="dxa"/>
            <w:vAlign w:val="center"/>
          </w:tcPr>
          <w:p w14:paraId="39D4F13A">
            <w:pPr>
              <w:pStyle w:val="15"/>
              <w:rPr>
                <w:rFonts w:ascii="Times New Roman" w:hAnsi="Times New Roman"/>
              </w:rPr>
            </w:pPr>
            <w:r>
              <w:rPr>
                <w:rFonts w:ascii="Times New Roman" w:hAnsi="Times New Roman"/>
              </w:rPr>
              <w:t>10</w:t>
            </w:r>
          </w:p>
        </w:tc>
        <w:tc>
          <w:tcPr>
            <w:tcW w:w="984" w:type="dxa"/>
            <w:tcBorders>
              <w:right w:val="single" w:color="auto" w:sz="12" w:space="0"/>
            </w:tcBorders>
            <w:vAlign w:val="center"/>
          </w:tcPr>
          <w:p w14:paraId="1A03CED9">
            <w:pPr>
              <w:pStyle w:val="15"/>
              <w:rPr>
                <w:rFonts w:ascii="Times New Roman" w:hAnsi="Times New Roman"/>
              </w:rPr>
            </w:pPr>
            <w:r>
              <w:rPr>
                <w:rFonts w:ascii="Times New Roman" w:hAnsi="Times New Roman"/>
              </w:rPr>
              <w:t>100</w:t>
            </w:r>
          </w:p>
        </w:tc>
      </w:tr>
      <w:tr w14:paraId="1B69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tcBorders>
              <w:left w:val="single" w:color="auto" w:sz="12" w:space="0"/>
            </w:tcBorders>
            <w:vAlign w:val="center"/>
          </w:tcPr>
          <w:p w14:paraId="1AD740D4">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X1</w:t>
            </w:r>
          </w:p>
        </w:tc>
        <w:tc>
          <w:tcPr>
            <w:tcW w:w="979" w:type="dxa"/>
            <w:vAlign w:val="center"/>
          </w:tcPr>
          <w:p w14:paraId="7606636E">
            <w:pPr>
              <w:pStyle w:val="15"/>
              <w:rPr>
                <w:rFonts w:ascii="Times New Roman" w:hAnsi="Times New Roman"/>
              </w:rPr>
            </w:pPr>
            <w:r>
              <w:rPr>
                <w:rFonts w:ascii="Times New Roman" w:hAnsi="Times New Roman"/>
              </w:rPr>
              <w:t>20%</w:t>
            </w:r>
          </w:p>
        </w:tc>
        <w:tc>
          <w:tcPr>
            <w:tcW w:w="2360" w:type="dxa"/>
            <w:tcBorders>
              <w:right w:val="double" w:color="auto" w:sz="4" w:space="0"/>
            </w:tcBorders>
            <w:vAlign w:val="center"/>
          </w:tcPr>
          <w:p w14:paraId="619701BE">
            <w:pPr>
              <w:pStyle w:val="15"/>
              <w:rPr>
                <w:rFonts w:ascii="Times New Roman" w:hAnsi="Times New Roman"/>
              </w:rPr>
            </w:pPr>
            <w:r>
              <w:rPr>
                <w:rFonts w:ascii="Times New Roman" w:hAnsi="Times New Roman"/>
              </w:rPr>
              <w:t>笔试（阶段测验）</w:t>
            </w:r>
          </w:p>
        </w:tc>
        <w:tc>
          <w:tcPr>
            <w:tcW w:w="426" w:type="dxa"/>
            <w:tcBorders>
              <w:left w:val="double" w:color="auto" w:sz="4" w:space="0"/>
            </w:tcBorders>
            <w:vAlign w:val="center"/>
          </w:tcPr>
          <w:p w14:paraId="7F03E0F4">
            <w:pPr>
              <w:pStyle w:val="15"/>
              <w:rPr>
                <w:rFonts w:ascii="Times New Roman" w:hAnsi="Times New Roman"/>
              </w:rPr>
            </w:pPr>
            <w:r>
              <w:rPr>
                <w:rFonts w:ascii="Times New Roman" w:hAnsi="Times New Roman"/>
              </w:rPr>
              <w:t>50</w:t>
            </w:r>
          </w:p>
        </w:tc>
        <w:tc>
          <w:tcPr>
            <w:tcW w:w="608" w:type="dxa"/>
            <w:vAlign w:val="center"/>
          </w:tcPr>
          <w:p w14:paraId="52069454">
            <w:pPr>
              <w:pStyle w:val="15"/>
              <w:rPr>
                <w:rFonts w:ascii="Times New Roman" w:hAnsi="Times New Roman"/>
              </w:rPr>
            </w:pPr>
            <w:r>
              <w:rPr>
                <w:rFonts w:ascii="Times New Roman" w:hAnsi="Times New Roman"/>
              </w:rPr>
              <w:t>20</w:t>
            </w:r>
          </w:p>
        </w:tc>
        <w:tc>
          <w:tcPr>
            <w:tcW w:w="608" w:type="dxa"/>
            <w:vAlign w:val="center"/>
          </w:tcPr>
          <w:p w14:paraId="2F1C4086">
            <w:pPr>
              <w:pStyle w:val="15"/>
              <w:rPr>
                <w:rFonts w:ascii="Times New Roman" w:hAnsi="Times New Roman"/>
              </w:rPr>
            </w:pPr>
            <w:r>
              <w:rPr>
                <w:rFonts w:ascii="Times New Roman" w:hAnsi="Times New Roman"/>
              </w:rPr>
              <w:t>10</w:t>
            </w:r>
          </w:p>
        </w:tc>
        <w:tc>
          <w:tcPr>
            <w:tcW w:w="960" w:type="dxa"/>
            <w:vAlign w:val="center"/>
          </w:tcPr>
          <w:p w14:paraId="26454D04">
            <w:pPr>
              <w:pStyle w:val="15"/>
              <w:rPr>
                <w:rFonts w:ascii="Times New Roman" w:hAnsi="Times New Roman"/>
              </w:rPr>
            </w:pPr>
            <w:r>
              <w:rPr>
                <w:rFonts w:ascii="Times New Roman" w:hAnsi="Times New Roman"/>
              </w:rPr>
              <w:t>10</w:t>
            </w:r>
          </w:p>
        </w:tc>
        <w:tc>
          <w:tcPr>
            <w:tcW w:w="767" w:type="dxa"/>
            <w:vAlign w:val="center"/>
          </w:tcPr>
          <w:p w14:paraId="65A03D09">
            <w:pPr>
              <w:pStyle w:val="15"/>
              <w:rPr>
                <w:rFonts w:ascii="Times New Roman" w:hAnsi="Times New Roman"/>
              </w:rPr>
            </w:pPr>
            <w:r>
              <w:rPr>
                <w:rFonts w:ascii="Times New Roman" w:hAnsi="Times New Roman"/>
              </w:rPr>
              <w:t>10</w:t>
            </w:r>
          </w:p>
        </w:tc>
        <w:tc>
          <w:tcPr>
            <w:tcW w:w="984" w:type="dxa"/>
            <w:tcBorders>
              <w:right w:val="single" w:color="auto" w:sz="12" w:space="0"/>
            </w:tcBorders>
            <w:vAlign w:val="center"/>
          </w:tcPr>
          <w:p w14:paraId="54605E53">
            <w:pPr>
              <w:pStyle w:val="15"/>
              <w:rPr>
                <w:rFonts w:ascii="Times New Roman" w:hAnsi="Times New Roman"/>
              </w:rPr>
            </w:pPr>
            <w:r>
              <w:rPr>
                <w:rFonts w:ascii="Times New Roman" w:hAnsi="Times New Roman"/>
              </w:rPr>
              <w:t>100</w:t>
            </w:r>
          </w:p>
        </w:tc>
      </w:tr>
      <w:tr w14:paraId="3345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tcBorders>
              <w:left w:val="single" w:color="auto" w:sz="12" w:space="0"/>
            </w:tcBorders>
            <w:vAlign w:val="center"/>
          </w:tcPr>
          <w:p w14:paraId="1375BDC4">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X2</w:t>
            </w:r>
          </w:p>
        </w:tc>
        <w:tc>
          <w:tcPr>
            <w:tcW w:w="979" w:type="dxa"/>
            <w:vAlign w:val="center"/>
          </w:tcPr>
          <w:p w14:paraId="7334DE52">
            <w:pPr>
              <w:pStyle w:val="15"/>
              <w:rPr>
                <w:rFonts w:ascii="Times New Roman" w:hAnsi="Times New Roman"/>
              </w:rPr>
            </w:pPr>
            <w:r>
              <w:rPr>
                <w:rFonts w:ascii="Times New Roman" w:hAnsi="Times New Roman"/>
              </w:rPr>
              <w:t>15%</w:t>
            </w:r>
          </w:p>
        </w:tc>
        <w:tc>
          <w:tcPr>
            <w:tcW w:w="2360" w:type="dxa"/>
            <w:tcBorders>
              <w:right w:val="double" w:color="auto" w:sz="4" w:space="0"/>
            </w:tcBorders>
            <w:vAlign w:val="center"/>
          </w:tcPr>
          <w:p w14:paraId="7E4AD57D">
            <w:pPr>
              <w:pStyle w:val="15"/>
              <w:rPr>
                <w:rFonts w:ascii="Times New Roman" w:hAnsi="Times New Roman"/>
              </w:rPr>
            </w:pPr>
            <w:r>
              <w:rPr>
                <w:rFonts w:ascii="Times New Roman" w:hAnsi="Times New Roman"/>
              </w:rPr>
              <w:t>平时作业</w:t>
            </w:r>
          </w:p>
        </w:tc>
        <w:tc>
          <w:tcPr>
            <w:tcW w:w="426" w:type="dxa"/>
            <w:tcBorders>
              <w:left w:val="double" w:color="auto" w:sz="4" w:space="0"/>
            </w:tcBorders>
            <w:vAlign w:val="center"/>
          </w:tcPr>
          <w:p w14:paraId="7F4182D1">
            <w:pPr>
              <w:pStyle w:val="15"/>
              <w:rPr>
                <w:rFonts w:ascii="Times New Roman" w:hAnsi="Times New Roman"/>
              </w:rPr>
            </w:pPr>
            <w:r>
              <w:rPr>
                <w:rFonts w:ascii="Times New Roman" w:hAnsi="Times New Roman"/>
              </w:rPr>
              <w:t>40</w:t>
            </w:r>
          </w:p>
        </w:tc>
        <w:tc>
          <w:tcPr>
            <w:tcW w:w="608" w:type="dxa"/>
            <w:vAlign w:val="center"/>
          </w:tcPr>
          <w:p w14:paraId="274DD754">
            <w:pPr>
              <w:pStyle w:val="15"/>
              <w:rPr>
                <w:rFonts w:ascii="Times New Roman" w:hAnsi="Times New Roman"/>
              </w:rPr>
            </w:pPr>
            <w:r>
              <w:rPr>
                <w:rFonts w:ascii="Times New Roman" w:hAnsi="Times New Roman"/>
              </w:rPr>
              <w:t>30</w:t>
            </w:r>
          </w:p>
        </w:tc>
        <w:tc>
          <w:tcPr>
            <w:tcW w:w="608" w:type="dxa"/>
            <w:vAlign w:val="center"/>
          </w:tcPr>
          <w:p w14:paraId="091080B3">
            <w:pPr>
              <w:pStyle w:val="15"/>
              <w:rPr>
                <w:rFonts w:ascii="Times New Roman" w:hAnsi="Times New Roman"/>
              </w:rPr>
            </w:pPr>
          </w:p>
        </w:tc>
        <w:tc>
          <w:tcPr>
            <w:tcW w:w="960" w:type="dxa"/>
            <w:vAlign w:val="center"/>
          </w:tcPr>
          <w:p w14:paraId="69A5B86F">
            <w:pPr>
              <w:pStyle w:val="15"/>
              <w:rPr>
                <w:rFonts w:ascii="Times New Roman" w:hAnsi="Times New Roman"/>
              </w:rPr>
            </w:pPr>
            <w:r>
              <w:rPr>
                <w:rFonts w:ascii="Times New Roman" w:hAnsi="Times New Roman"/>
              </w:rPr>
              <w:t>10</w:t>
            </w:r>
          </w:p>
        </w:tc>
        <w:tc>
          <w:tcPr>
            <w:tcW w:w="767" w:type="dxa"/>
            <w:vAlign w:val="center"/>
          </w:tcPr>
          <w:p w14:paraId="12309447">
            <w:pPr>
              <w:pStyle w:val="15"/>
              <w:rPr>
                <w:rFonts w:ascii="Times New Roman" w:hAnsi="Times New Roman"/>
              </w:rPr>
            </w:pPr>
            <w:r>
              <w:rPr>
                <w:rFonts w:ascii="Times New Roman" w:hAnsi="Times New Roman"/>
              </w:rPr>
              <w:t>20</w:t>
            </w:r>
          </w:p>
        </w:tc>
        <w:tc>
          <w:tcPr>
            <w:tcW w:w="984" w:type="dxa"/>
            <w:tcBorders>
              <w:right w:val="single" w:color="auto" w:sz="12" w:space="0"/>
            </w:tcBorders>
            <w:vAlign w:val="center"/>
          </w:tcPr>
          <w:p w14:paraId="270887E1">
            <w:pPr>
              <w:pStyle w:val="15"/>
              <w:rPr>
                <w:rFonts w:ascii="Times New Roman" w:hAnsi="Times New Roman"/>
              </w:rPr>
            </w:pPr>
            <w:r>
              <w:rPr>
                <w:rFonts w:ascii="Times New Roman" w:hAnsi="Times New Roman"/>
              </w:rPr>
              <w:t>100</w:t>
            </w:r>
          </w:p>
        </w:tc>
      </w:tr>
      <w:tr w14:paraId="5686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dxa"/>
            <w:tcBorders>
              <w:left w:val="single" w:color="auto" w:sz="12" w:space="0"/>
            </w:tcBorders>
            <w:vAlign w:val="center"/>
          </w:tcPr>
          <w:p w14:paraId="1D344D6E">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X3</w:t>
            </w:r>
          </w:p>
        </w:tc>
        <w:tc>
          <w:tcPr>
            <w:tcW w:w="979" w:type="dxa"/>
            <w:vAlign w:val="center"/>
          </w:tcPr>
          <w:p w14:paraId="3B92B1A3">
            <w:pPr>
              <w:pStyle w:val="15"/>
              <w:rPr>
                <w:rFonts w:ascii="Times New Roman" w:hAnsi="Times New Roman"/>
              </w:rPr>
            </w:pPr>
            <w:r>
              <w:rPr>
                <w:rFonts w:ascii="Times New Roman" w:hAnsi="Times New Roman"/>
              </w:rPr>
              <w:t>15%</w:t>
            </w:r>
          </w:p>
        </w:tc>
        <w:tc>
          <w:tcPr>
            <w:tcW w:w="2360" w:type="dxa"/>
            <w:tcBorders>
              <w:right w:val="double" w:color="auto" w:sz="4" w:space="0"/>
            </w:tcBorders>
            <w:vAlign w:val="center"/>
          </w:tcPr>
          <w:p w14:paraId="4E32AEE9">
            <w:pPr>
              <w:pStyle w:val="15"/>
              <w:rPr>
                <w:rFonts w:ascii="Times New Roman" w:hAnsi="Times New Roman"/>
              </w:rPr>
            </w:pPr>
            <w:r>
              <w:rPr>
                <w:rFonts w:ascii="Times New Roman" w:hAnsi="Times New Roman"/>
              </w:rPr>
              <w:t>平时表现</w:t>
            </w:r>
          </w:p>
        </w:tc>
        <w:tc>
          <w:tcPr>
            <w:tcW w:w="426" w:type="dxa"/>
            <w:tcBorders>
              <w:left w:val="double" w:color="auto" w:sz="4" w:space="0"/>
            </w:tcBorders>
            <w:vAlign w:val="center"/>
          </w:tcPr>
          <w:p w14:paraId="71BF88C4">
            <w:pPr>
              <w:pStyle w:val="15"/>
              <w:rPr>
                <w:rFonts w:ascii="Times New Roman" w:hAnsi="Times New Roman"/>
              </w:rPr>
            </w:pPr>
            <w:r>
              <w:rPr>
                <w:rFonts w:ascii="Times New Roman" w:hAnsi="Times New Roman"/>
              </w:rPr>
              <w:t>40</w:t>
            </w:r>
          </w:p>
        </w:tc>
        <w:tc>
          <w:tcPr>
            <w:tcW w:w="608" w:type="dxa"/>
            <w:vAlign w:val="center"/>
          </w:tcPr>
          <w:p w14:paraId="17E2284C">
            <w:pPr>
              <w:pStyle w:val="15"/>
              <w:rPr>
                <w:rFonts w:ascii="Times New Roman" w:hAnsi="Times New Roman"/>
              </w:rPr>
            </w:pPr>
            <w:r>
              <w:rPr>
                <w:rFonts w:ascii="Times New Roman" w:hAnsi="Times New Roman"/>
              </w:rPr>
              <w:t>30</w:t>
            </w:r>
          </w:p>
        </w:tc>
        <w:tc>
          <w:tcPr>
            <w:tcW w:w="608" w:type="dxa"/>
            <w:vAlign w:val="center"/>
          </w:tcPr>
          <w:p w14:paraId="17BF9399">
            <w:pPr>
              <w:pStyle w:val="15"/>
              <w:rPr>
                <w:rFonts w:ascii="Times New Roman" w:hAnsi="Times New Roman"/>
              </w:rPr>
            </w:pPr>
          </w:p>
        </w:tc>
        <w:tc>
          <w:tcPr>
            <w:tcW w:w="960" w:type="dxa"/>
            <w:vAlign w:val="center"/>
          </w:tcPr>
          <w:p w14:paraId="7A767925">
            <w:pPr>
              <w:pStyle w:val="15"/>
              <w:rPr>
                <w:rFonts w:ascii="Times New Roman" w:hAnsi="Times New Roman"/>
              </w:rPr>
            </w:pPr>
            <w:r>
              <w:rPr>
                <w:rFonts w:ascii="Times New Roman" w:hAnsi="Times New Roman"/>
              </w:rPr>
              <w:t>10</w:t>
            </w:r>
          </w:p>
        </w:tc>
        <w:tc>
          <w:tcPr>
            <w:tcW w:w="767" w:type="dxa"/>
            <w:vAlign w:val="center"/>
          </w:tcPr>
          <w:p w14:paraId="1083DB97">
            <w:pPr>
              <w:pStyle w:val="15"/>
              <w:rPr>
                <w:rFonts w:ascii="Times New Roman" w:hAnsi="Times New Roman"/>
              </w:rPr>
            </w:pPr>
            <w:r>
              <w:rPr>
                <w:rFonts w:ascii="Times New Roman" w:hAnsi="Times New Roman"/>
              </w:rPr>
              <w:t>20</w:t>
            </w:r>
          </w:p>
        </w:tc>
        <w:tc>
          <w:tcPr>
            <w:tcW w:w="984" w:type="dxa"/>
            <w:tcBorders>
              <w:right w:val="single" w:color="auto" w:sz="12" w:space="0"/>
            </w:tcBorders>
            <w:vAlign w:val="center"/>
          </w:tcPr>
          <w:p w14:paraId="7C96D7E1">
            <w:pPr>
              <w:pStyle w:val="15"/>
              <w:rPr>
                <w:rFonts w:ascii="Times New Roman" w:hAnsi="Times New Roman"/>
              </w:rPr>
            </w:pPr>
            <w:r>
              <w:rPr>
                <w:rFonts w:ascii="Times New Roman" w:hAnsi="Times New Roman"/>
              </w:rPr>
              <w:t>100</w:t>
            </w:r>
          </w:p>
        </w:tc>
      </w:tr>
    </w:tbl>
    <w:p w14:paraId="40EC1F7D">
      <w:pPr>
        <w:pStyle w:val="18"/>
        <w:rPr>
          <w:rFonts w:ascii="Times New Roman" w:hAnsi="Times New Roman" w:cs="Times New Roman"/>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D94DC">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70A6F79">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70A6F79">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ZDk0ZjVkMzBjMGJlNmRhNWUzOGY2NmRkYjlhZTc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630BB"/>
    <w:rsid w:val="00264B13"/>
    <w:rsid w:val="0027339A"/>
    <w:rsid w:val="00274E82"/>
    <w:rsid w:val="002757AB"/>
    <w:rsid w:val="0027777C"/>
    <w:rsid w:val="00277FE7"/>
    <w:rsid w:val="002877FA"/>
    <w:rsid w:val="00290962"/>
    <w:rsid w:val="0029110B"/>
    <w:rsid w:val="00297758"/>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4284"/>
    <w:rsid w:val="002F6BD5"/>
    <w:rsid w:val="00305F23"/>
    <w:rsid w:val="00310008"/>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261D"/>
    <w:rsid w:val="0046549D"/>
    <w:rsid w:val="0046550B"/>
    <w:rsid w:val="00471668"/>
    <w:rsid w:val="00481F98"/>
    <w:rsid w:val="004852BF"/>
    <w:rsid w:val="00487A46"/>
    <w:rsid w:val="00493504"/>
    <w:rsid w:val="00494579"/>
    <w:rsid w:val="00497334"/>
    <w:rsid w:val="004A4645"/>
    <w:rsid w:val="004A6F3A"/>
    <w:rsid w:val="004B408D"/>
    <w:rsid w:val="004B6F68"/>
    <w:rsid w:val="004B70A1"/>
    <w:rsid w:val="004B73F7"/>
    <w:rsid w:val="004C67F7"/>
    <w:rsid w:val="004D4FB3"/>
    <w:rsid w:val="004D75A6"/>
    <w:rsid w:val="004E1CBF"/>
    <w:rsid w:val="004E3456"/>
    <w:rsid w:val="004F33F5"/>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ACB"/>
    <w:rsid w:val="00553D03"/>
    <w:rsid w:val="00555BA0"/>
    <w:rsid w:val="00556E41"/>
    <w:rsid w:val="00560028"/>
    <w:rsid w:val="0057496F"/>
    <w:rsid w:val="005770A6"/>
    <w:rsid w:val="0059045B"/>
    <w:rsid w:val="00597EC2"/>
    <w:rsid w:val="005A13AB"/>
    <w:rsid w:val="005B1150"/>
    <w:rsid w:val="005B1FFC"/>
    <w:rsid w:val="005B2B6D"/>
    <w:rsid w:val="005B4B4E"/>
    <w:rsid w:val="005B522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2DAA"/>
    <w:rsid w:val="006958E4"/>
    <w:rsid w:val="00695B93"/>
    <w:rsid w:val="00697C16"/>
    <w:rsid w:val="006A1A51"/>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0658A"/>
    <w:rsid w:val="00710B6B"/>
    <w:rsid w:val="00712A2C"/>
    <w:rsid w:val="00712E84"/>
    <w:rsid w:val="00714914"/>
    <w:rsid w:val="007208D6"/>
    <w:rsid w:val="00723293"/>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548F4"/>
    <w:rsid w:val="008722F3"/>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C615A"/>
    <w:rsid w:val="008D0BD6"/>
    <w:rsid w:val="008D3D5F"/>
    <w:rsid w:val="008D4E81"/>
    <w:rsid w:val="008D505F"/>
    <w:rsid w:val="008E0F55"/>
    <w:rsid w:val="008F253F"/>
    <w:rsid w:val="008F7F31"/>
    <w:rsid w:val="00900019"/>
    <w:rsid w:val="009023B1"/>
    <w:rsid w:val="009147D6"/>
    <w:rsid w:val="00914D98"/>
    <w:rsid w:val="00925F8C"/>
    <w:rsid w:val="009271CB"/>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C77A1"/>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67466"/>
    <w:rsid w:val="00A769B1"/>
    <w:rsid w:val="00A77DA3"/>
    <w:rsid w:val="00A837D5"/>
    <w:rsid w:val="00A83E04"/>
    <w:rsid w:val="00A83E86"/>
    <w:rsid w:val="00A91091"/>
    <w:rsid w:val="00A93EE3"/>
    <w:rsid w:val="00A94BA9"/>
    <w:rsid w:val="00AA4970"/>
    <w:rsid w:val="00AA536D"/>
    <w:rsid w:val="00AB22C0"/>
    <w:rsid w:val="00AB28FC"/>
    <w:rsid w:val="00AB2C11"/>
    <w:rsid w:val="00AB49E4"/>
    <w:rsid w:val="00AB73ED"/>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2704"/>
    <w:rsid w:val="00B23284"/>
    <w:rsid w:val="00B32906"/>
    <w:rsid w:val="00B341F3"/>
    <w:rsid w:val="00B37D43"/>
    <w:rsid w:val="00B46F21"/>
    <w:rsid w:val="00B511A5"/>
    <w:rsid w:val="00B51CDE"/>
    <w:rsid w:val="00B56541"/>
    <w:rsid w:val="00B605ED"/>
    <w:rsid w:val="00B607EE"/>
    <w:rsid w:val="00B71F97"/>
    <w:rsid w:val="00B72538"/>
    <w:rsid w:val="00B736A7"/>
    <w:rsid w:val="00B7651F"/>
    <w:rsid w:val="00B84C3F"/>
    <w:rsid w:val="00B919FA"/>
    <w:rsid w:val="00B94A16"/>
    <w:rsid w:val="00BA6044"/>
    <w:rsid w:val="00BB1A93"/>
    <w:rsid w:val="00BC14BF"/>
    <w:rsid w:val="00BC2625"/>
    <w:rsid w:val="00BC3200"/>
    <w:rsid w:val="00BC338A"/>
    <w:rsid w:val="00BD4714"/>
    <w:rsid w:val="00BD7AB0"/>
    <w:rsid w:val="00BF3C20"/>
    <w:rsid w:val="00C011BC"/>
    <w:rsid w:val="00C03DBA"/>
    <w:rsid w:val="00C03FC6"/>
    <w:rsid w:val="00C11035"/>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96831"/>
    <w:rsid w:val="00CA18FD"/>
    <w:rsid w:val="00CA27E5"/>
    <w:rsid w:val="00CA4897"/>
    <w:rsid w:val="00CA6928"/>
    <w:rsid w:val="00CB3D3F"/>
    <w:rsid w:val="00CB5A1A"/>
    <w:rsid w:val="00CC59E6"/>
    <w:rsid w:val="00CC6665"/>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67D7C"/>
    <w:rsid w:val="00D80FEF"/>
    <w:rsid w:val="00D8285B"/>
    <w:rsid w:val="00D862EB"/>
    <w:rsid w:val="00D86619"/>
    <w:rsid w:val="00D93E7C"/>
    <w:rsid w:val="00DB2BE6"/>
    <w:rsid w:val="00DB76B3"/>
    <w:rsid w:val="00DC19CB"/>
    <w:rsid w:val="00DD1052"/>
    <w:rsid w:val="00DD3C7B"/>
    <w:rsid w:val="00DE2B21"/>
    <w:rsid w:val="00DE48DE"/>
    <w:rsid w:val="00DF25F2"/>
    <w:rsid w:val="00DF2814"/>
    <w:rsid w:val="00DF4166"/>
    <w:rsid w:val="00E000F4"/>
    <w:rsid w:val="00E01231"/>
    <w:rsid w:val="00E04279"/>
    <w:rsid w:val="00E11393"/>
    <w:rsid w:val="00E125D9"/>
    <w:rsid w:val="00E16D30"/>
    <w:rsid w:val="00E31E69"/>
    <w:rsid w:val="00E32E38"/>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12A2"/>
    <w:rsid w:val="00E93ADD"/>
    <w:rsid w:val="00E952D8"/>
    <w:rsid w:val="00EB00E4"/>
    <w:rsid w:val="00EB28DA"/>
    <w:rsid w:val="00EB3812"/>
    <w:rsid w:val="00EB44EB"/>
    <w:rsid w:val="00EB66B8"/>
    <w:rsid w:val="00EB791E"/>
    <w:rsid w:val="00EC11B8"/>
    <w:rsid w:val="00EC70A9"/>
    <w:rsid w:val="00ED466C"/>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64523"/>
    <w:rsid w:val="00F73D03"/>
    <w:rsid w:val="00F76CB9"/>
    <w:rsid w:val="00F77A73"/>
    <w:rsid w:val="00F80E46"/>
    <w:rsid w:val="00F84AA3"/>
    <w:rsid w:val="00F96236"/>
    <w:rsid w:val="00FA10CE"/>
    <w:rsid w:val="00FA222F"/>
    <w:rsid w:val="00FA2891"/>
    <w:rsid w:val="00FB693D"/>
    <w:rsid w:val="00FB7768"/>
    <w:rsid w:val="00FC7489"/>
    <w:rsid w:val="00FD1BA8"/>
    <w:rsid w:val="00FD218F"/>
    <w:rsid w:val="00FD5663"/>
    <w:rsid w:val="00FD56C6"/>
    <w:rsid w:val="00FD5F2C"/>
    <w:rsid w:val="00FE3221"/>
    <w:rsid w:val="00FE48EA"/>
    <w:rsid w:val="00FE571F"/>
    <w:rsid w:val="00FF47F6"/>
    <w:rsid w:val="01017684"/>
    <w:rsid w:val="016E63C2"/>
    <w:rsid w:val="01FD62E0"/>
    <w:rsid w:val="01FF3BC3"/>
    <w:rsid w:val="021C29C7"/>
    <w:rsid w:val="024B0C39"/>
    <w:rsid w:val="024C2B81"/>
    <w:rsid w:val="0250441F"/>
    <w:rsid w:val="02585372"/>
    <w:rsid w:val="02FE50B7"/>
    <w:rsid w:val="03DB240E"/>
    <w:rsid w:val="047168CE"/>
    <w:rsid w:val="04763EE5"/>
    <w:rsid w:val="06532730"/>
    <w:rsid w:val="06691E3E"/>
    <w:rsid w:val="07487EE2"/>
    <w:rsid w:val="08251EAA"/>
    <w:rsid w:val="08510EF1"/>
    <w:rsid w:val="08CA47FF"/>
    <w:rsid w:val="098B3A72"/>
    <w:rsid w:val="09CB16BA"/>
    <w:rsid w:val="0A3A36E4"/>
    <w:rsid w:val="0A79472F"/>
    <w:rsid w:val="0A8128A6"/>
    <w:rsid w:val="0ACC2AB1"/>
    <w:rsid w:val="0AD57BB7"/>
    <w:rsid w:val="0AFA13CC"/>
    <w:rsid w:val="0BAB0918"/>
    <w:rsid w:val="0BF32A1B"/>
    <w:rsid w:val="0C000C64"/>
    <w:rsid w:val="0D3112F1"/>
    <w:rsid w:val="0D904269"/>
    <w:rsid w:val="0E065FCB"/>
    <w:rsid w:val="0EB74DCB"/>
    <w:rsid w:val="0F256C33"/>
    <w:rsid w:val="0FE73EE9"/>
    <w:rsid w:val="10BD2C22"/>
    <w:rsid w:val="10D1683B"/>
    <w:rsid w:val="1129747F"/>
    <w:rsid w:val="11B9343A"/>
    <w:rsid w:val="11CC3396"/>
    <w:rsid w:val="12241424"/>
    <w:rsid w:val="12B84E65"/>
    <w:rsid w:val="12CA72F9"/>
    <w:rsid w:val="13F37300"/>
    <w:rsid w:val="145854BE"/>
    <w:rsid w:val="159B19FD"/>
    <w:rsid w:val="15F1786F"/>
    <w:rsid w:val="160550C9"/>
    <w:rsid w:val="1752433D"/>
    <w:rsid w:val="17E23913"/>
    <w:rsid w:val="18EB67F8"/>
    <w:rsid w:val="198B7B05"/>
    <w:rsid w:val="19FA779B"/>
    <w:rsid w:val="1AAB26E2"/>
    <w:rsid w:val="1BED0AD9"/>
    <w:rsid w:val="1C2A7637"/>
    <w:rsid w:val="1CCE090A"/>
    <w:rsid w:val="1DCD2970"/>
    <w:rsid w:val="1E340C41"/>
    <w:rsid w:val="1EC43D73"/>
    <w:rsid w:val="1F9951FF"/>
    <w:rsid w:val="1FB2006F"/>
    <w:rsid w:val="1FC33368"/>
    <w:rsid w:val="1FFE1506"/>
    <w:rsid w:val="203C5B8B"/>
    <w:rsid w:val="20586E69"/>
    <w:rsid w:val="205E01F7"/>
    <w:rsid w:val="208D46BF"/>
    <w:rsid w:val="20E06E5E"/>
    <w:rsid w:val="20F63F8C"/>
    <w:rsid w:val="21B06830"/>
    <w:rsid w:val="22987C80"/>
    <w:rsid w:val="22E20B33"/>
    <w:rsid w:val="23F21382"/>
    <w:rsid w:val="23F8626D"/>
    <w:rsid w:val="24192CCC"/>
    <w:rsid w:val="24704055"/>
    <w:rsid w:val="2564005E"/>
    <w:rsid w:val="25B41562"/>
    <w:rsid w:val="25DF5936"/>
    <w:rsid w:val="267F51B3"/>
    <w:rsid w:val="278542BB"/>
    <w:rsid w:val="27A652F0"/>
    <w:rsid w:val="27AB64EE"/>
    <w:rsid w:val="27E2170E"/>
    <w:rsid w:val="280276BA"/>
    <w:rsid w:val="28D7653F"/>
    <w:rsid w:val="296C128F"/>
    <w:rsid w:val="299627B0"/>
    <w:rsid w:val="2A6D3510"/>
    <w:rsid w:val="2ABA24CE"/>
    <w:rsid w:val="2AF14198"/>
    <w:rsid w:val="2BC2152A"/>
    <w:rsid w:val="2BE315B0"/>
    <w:rsid w:val="2C11436F"/>
    <w:rsid w:val="2C8D005C"/>
    <w:rsid w:val="2C9F7BCD"/>
    <w:rsid w:val="2CAB0320"/>
    <w:rsid w:val="2D3B0E53"/>
    <w:rsid w:val="2DC07DFB"/>
    <w:rsid w:val="2DC84F02"/>
    <w:rsid w:val="2E42114A"/>
    <w:rsid w:val="2F4800A8"/>
    <w:rsid w:val="2FB27C17"/>
    <w:rsid w:val="2FCD202A"/>
    <w:rsid w:val="30662EDC"/>
    <w:rsid w:val="309B06AC"/>
    <w:rsid w:val="30A13F14"/>
    <w:rsid w:val="3105606D"/>
    <w:rsid w:val="31994BEB"/>
    <w:rsid w:val="321C75CA"/>
    <w:rsid w:val="331237BE"/>
    <w:rsid w:val="33174961"/>
    <w:rsid w:val="336254B1"/>
    <w:rsid w:val="33A07F2C"/>
    <w:rsid w:val="33BA6151"/>
    <w:rsid w:val="341B5004"/>
    <w:rsid w:val="34D60CBB"/>
    <w:rsid w:val="3538296D"/>
    <w:rsid w:val="353F5AA9"/>
    <w:rsid w:val="358838F4"/>
    <w:rsid w:val="358D688D"/>
    <w:rsid w:val="35DA3A24"/>
    <w:rsid w:val="364F61C0"/>
    <w:rsid w:val="36F62AE0"/>
    <w:rsid w:val="376437FD"/>
    <w:rsid w:val="37991DE9"/>
    <w:rsid w:val="37A83DDA"/>
    <w:rsid w:val="37E8067A"/>
    <w:rsid w:val="37F32A9A"/>
    <w:rsid w:val="382F62A9"/>
    <w:rsid w:val="3877581E"/>
    <w:rsid w:val="38910D12"/>
    <w:rsid w:val="39A66CD4"/>
    <w:rsid w:val="39C62C3D"/>
    <w:rsid w:val="39CB0253"/>
    <w:rsid w:val="3A4A561C"/>
    <w:rsid w:val="3B251BE5"/>
    <w:rsid w:val="3B8E32E7"/>
    <w:rsid w:val="3C771FCD"/>
    <w:rsid w:val="3CA628B2"/>
    <w:rsid w:val="3CAD12C0"/>
    <w:rsid w:val="3CD52CE1"/>
    <w:rsid w:val="3DB039E8"/>
    <w:rsid w:val="3DC81317"/>
    <w:rsid w:val="3DF15DAF"/>
    <w:rsid w:val="3EF618CF"/>
    <w:rsid w:val="3F20694C"/>
    <w:rsid w:val="3FE61943"/>
    <w:rsid w:val="406867FC"/>
    <w:rsid w:val="4093139F"/>
    <w:rsid w:val="410F2E6A"/>
    <w:rsid w:val="414D3EFB"/>
    <w:rsid w:val="418D4040"/>
    <w:rsid w:val="41C71300"/>
    <w:rsid w:val="428939BE"/>
    <w:rsid w:val="42EC59EC"/>
    <w:rsid w:val="431C38CE"/>
    <w:rsid w:val="431E2E56"/>
    <w:rsid w:val="43864418"/>
    <w:rsid w:val="44095C00"/>
    <w:rsid w:val="4430136C"/>
    <w:rsid w:val="4484172B"/>
    <w:rsid w:val="468A0B4E"/>
    <w:rsid w:val="47156DE7"/>
    <w:rsid w:val="48266CC0"/>
    <w:rsid w:val="49831FB1"/>
    <w:rsid w:val="4A9D70A2"/>
    <w:rsid w:val="4AB0382B"/>
    <w:rsid w:val="4B600CF3"/>
    <w:rsid w:val="4BE43BA3"/>
    <w:rsid w:val="4C5B0783"/>
    <w:rsid w:val="4D391488"/>
    <w:rsid w:val="4D754306"/>
    <w:rsid w:val="4E832A53"/>
    <w:rsid w:val="508036EE"/>
    <w:rsid w:val="51B178D7"/>
    <w:rsid w:val="52A1794C"/>
    <w:rsid w:val="53242D01"/>
    <w:rsid w:val="533D7674"/>
    <w:rsid w:val="559F4616"/>
    <w:rsid w:val="55DF0EB7"/>
    <w:rsid w:val="562543F0"/>
    <w:rsid w:val="569868B5"/>
    <w:rsid w:val="56ED315F"/>
    <w:rsid w:val="57A63F2F"/>
    <w:rsid w:val="57A71560"/>
    <w:rsid w:val="5813309A"/>
    <w:rsid w:val="583E3A64"/>
    <w:rsid w:val="589A10C5"/>
    <w:rsid w:val="58DF4D2A"/>
    <w:rsid w:val="59771406"/>
    <w:rsid w:val="5996188C"/>
    <w:rsid w:val="5AE40D1D"/>
    <w:rsid w:val="5AEE74A6"/>
    <w:rsid w:val="5B433C96"/>
    <w:rsid w:val="5B445E5C"/>
    <w:rsid w:val="5C0E0AC2"/>
    <w:rsid w:val="5C4E644E"/>
    <w:rsid w:val="5D867E6A"/>
    <w:rsid w:val="5DD961EC"/>
    <w:rsid w:val="5E082F75"/>
    <w:rsid w:val="5E3D2C1E"/>
    <w:rsid w:val="5E665EF6"/>
    <w:rsid w:val="5E7D126D"/>
    <w:rsid w:val="5F0766D7"/>
    <w:rsid w:val="5F1119B5"/>
    <w:rsid w:val="5F322057"/>
    <w:rsid w:val="5F3B27A7"/>
    <w:rsid w:val="5F5A7800"/>
    <w:rsid w:val="5F9920D6"/>
    <w:rsid w:val="601D2D07"/>
    <w:rsid w:val="605B738C"/>
    <w:rsid w:val="60B60A66"/>
    <w:rsid w:val="611B4D6D"/>
    <w:rsid w:val="611F6817"/>
    <w:rsid w:val="615B364C"/>
    <w:rsid w:val="61EA1238"/>
    <w:rsid w:val="62943029"/>
    <w:rsid w:val="631F6D97"/>
    <w:rsid w:val="63691DC0"/>
    <w:rsid w:val="63D156BB"/>
    <w:rsid w:val="64055F8C"/>
    <w:rsid w:val="65091AAC"/>
    <w:rsid w:val="658D448B"/>
    <w:rsid w:val="668B64F1"/>
    <w:rsid w:val="66925AD1"/>
    <w:rsid w:val="66B23A7E"/>
    <w:rsid w:val="66CA1754"/>
    <w:rsid w:val="67185FD7"/>
    <w:rsid w:val="675F3C06"/>
    <w:rsid w:val="68E24AEE"/>
    <w:rsid w:val="694330B3"/>
    <w:rsid w:val="69BA15C7"/>
    <w:rsid w:val="6B200A51"/>
    <w:rsid w:val="6B945E48"/>
    <w:rsid w:val="6C120EDE"/>
    <w:rsid w:val="6D6F68CC"/>
    <w:rsid w:val="6E02353D"/>
    <w:rsid w:val="6F082DD5"/>
    <w:rsid w:val="6F1E65D4"/>
    <w:rsid w:val="6F266C86"/>
    <w:rsid w:val="6F484F7F"/>
    <w:rsid w:val="6F5042C2"/>
    <w:rsid w:val="6FEA4288"/>
    <w:rsid w:val="702459EC"/>
    <w:rsid w:val="70E46F2A"/>
    <w:rsid w:val="70FA674D"/>
    <w:rsid w:val="712B2DAA"/>
    <w:rsid w:val="714B0D57"/>
    <w:rsid w:val="715611F3"/>
    <w:rsid w:val="72616EBB"/>
    <w:rsid w:val="74143FCA"/>
    <w:rsid w:val="742E5F05"/>
    <w:rsid w:val="74316312"/>
    <w:rsid w:val="747A6F05"/>
    <w:rsid w:val="74A745AA"/>
    <w:rsid w:val="74EA0887"/>
    <w:rsid w:val="7592164A"/>
    <w:rsid w:val="75BA64AB"/>
    <w:rsid w:val="761E6A3A"/>
    <w:rsid w:val="76816FC9"/>
    <w:rsid w:val="76AF2E83"/>
    <w:rsid w:val="77277B70"/>
    <w:rsid w:val="777F79AC"/>
    <w:rsid w:val="780F13C8"/>
    <w:rsid w:val="786D5A56"/>
    <w:rsid w:val="78721921"/>
    <w:rsid w:val="78A100ED"/>
    <w:rsid w:val="78D930EC"/>
    <w:rsid w:val="792A0EF9"/>
    <w:rsid w:val="7AC322A6"/>
    <w:rsid w:val="7BAB5214"/>
    <w:rsid w:val="7C385448"/>
    <w:rsid w:val="7CB3663D"/>
    <w:rsid w:val="7D11554A"/>
    <w:rsid w:val="7D5D4A8C"/>
    <w:rsid w:val="7E0332B7"/>
    <w:rsid w:val="7E9957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alloon Text"/>
    <w:basedOn w:val="1"/>
    <w:link w:val="24"/>
    <w:semiHidden/>
    <w:unhideWhenUsed/>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Char"/>
    <w:basedOn w:val="10"/>
    <w:link w:val="6"/>
    <w:autoRedefine/>
    <w:semiHidden/>
    <w:qFormat/>
    <w:uiPriority w:val="99"/>
    <w:rPr>
      <w:sz w:val="18"/>
      <w:szCs w:val="18"/>
    </w:rPr>
  </w:style>
  <w:style w:type="character" w:customStyle="1" w:styleId="13">
    <w:name w:val="页脚 Char"/>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widowControl w:val="0"/>
      <w:jc w:val="both"/>
    </w:pPr>
    <w:rPr>
      <w:rFonts w:ascii="黑体" w:hAnsi="黑体" w:eastAsia="黑体" w:cs="Times New Roman"/>
      <w:color w:val="000000" w:themeColor="text1"/>
      <w:sz w:val="21"/>
      <w:szCs w:val="21"/>
      <w14:textFill>
        <w14:solidFill>
          <w14:schemeClr w14:val="tx1"/>
        </w14:solidFill>
      </w14:textFill>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widowControl w:val="0"/>
      <w:snapToGrid w:val="0"/>
      <w:jc w:val="center"/>
      <w:outlineLvl w:val="0"/>
    </w:pPr>
    <w:rPr>
      <w:rFonts w:ascii="黑体" w:eastAsia="黑体"/>
      <w:sz w:val="28"/>
      <w:szCs w:val="28"/>
    </w:rPr>
  </w:style>
  <w:style w:type="paragraph" w:customStyle="1" w:styleId="18">
    <w:name w:val="二级标题DG"/>
    <w:basedOn w:val="7"/>
    <w:autoRedefine/>
    <w:qFormat/>
    <w:uiPriority w:val="0"/>
    <w:pPr>
      <w:spacing w:before="81" w:beforeLines="25" w:beforeAutospacing="0" w:after="163" w:afterLines="50" w:afterAutospacing="0" w:line="440" w:lineRule="exact"/>
      <w:outlineLvl w:val="1"/>
    </w:pPr>
    <w:rPr>
      <w:rFonts w:ascii="黑体" w:hAnsi="黑体" w:eastAsia="黑体"/>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2"/>
    <w:autoRedefine/>
    <w:qFormat/>
    <w:uiPriority w:val="9"/>
    <w:rPr>
      <w:rFonts w:ascii="Calibri" w:hAnsi="Calibri" w:eastAsia="宋体" w:cs="Times New Roman"/>
      <w:b/>
      <w:bCs/>
      <w:kern w:val="44"/>
      <w:sz w:val="44"/>
      <w:szCs w:val="44"/>
    </w:rPr>
  </w:style>
  <w:style w:type="character" w:customStyle="1" w:styleId="21">
    <w:name w:val="批注文字 Char"/>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character" w:customStyle="1" w:styleId="24">
    <w:name w:val="批注框文本 Char"/>
    <w:basedOn w:val="10"/>
    <w:link w:val="4"/>
    <w:semiHidden/>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01A6DD-80C1-46FA-9837-EBA1960FF4B8}">
  <ds:schemaRefs/>
</ds:datastoreItem>
</file>

<file path=docProps/app.xml><?xml version="1.0" encoding="utf-8"?>
<Properties xmlns="http://schemas.openxmlformats.org/officeDocument/2006/extended-properties" xmlns:vt="http://schemas.openxmlformats.org/officeDocument/2006/docPropsVTypes">
  <Template>Normal</Template>
  <Pages>5</Pages>
  <Words>3196</Words>
  <Characters>3356</Characters>
  <Lines>32</Lines>
  <Paragraphs>9</Paragraphs>
  <TotalTime>0</TotalTime>
  <ScaleCrop>false</ScaleCrop>
  <LinksUpToDate>false</LinksUpToDate>
  <CharactersWithSpaces>3461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归去来兮</cp:lastModifiedBy>
  <cp:lastPrinted>2023-11-21T00:52:00Z</cp:lastPrinted>
  <dcterms:modified xsi:type="dcterms:W3CDTF">2026-03-12T06:10:56Z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2B7B73427F154F859C862542C52872CA_12</vt:lpwstr>
  </property>
  <property fmtid="{D5CDD505-2E9C-101B-9397-08002B2CF9AE}" pid="4" name="KSOTemplateDocerSaveRecord">
    <vt:lpwstr>eyJoZGlkIjoiZjMzNGFjOTI5MzVmNGZkZTA1ZTNhNDQxNGIxYTVlNzAiLCJ1c2VySWQiOiIyMjgwODQyMDIifQ==</vt:lpwstr>
  </property>
</Properties>
</file>