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3600A">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B194C85">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2B194C85">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14:paraId="1AADA87E">
      <w:pPr>
        <w:spacing w:line="288" w:lineRule="auto"/>
        <w:jc w:val="center"/>
        <w:rPr>
          <w:b/>
          <w:sz w:val="28"/>
          <w:szCs w:val="30"/>
        </w:rPr>
      </w:pPr>
      <w:r>
        <w:rPr>
          <w:rFonts w:hint="eastAsia"/>
          <w:b/>
          <w:sz w:val="28"/>
          <w:szCs w:val="30"/>
        </w:rPr>
        <w:t>【</w:t>
      </w:r>
      <w:r>
        <w:rPr>
          <w:rFonts w:hint="eastAsia" w:ascii="宋体" w:hAnsi="宋体"/>
          <w:b/>
          <w:bCs/>
          <w:sz w:val="28"/>
          <w:szCs w:val="28"/>
        </w:rPr>
        <w:t>少儿歌曲鉴赏</w:t>
      </w:r>
      <w:r>
        <w:rPr>
          <w:rFonts w:hint="eastAsia"/>
          <w:b/>
          <w:sz w:val="28"/>
          <w:szCs w:val="30"/>
        </w:rPr>
        <w:t>】</w:t>
      </w:r>
    </w:p>
    <w:p w14:paraId="650B4D5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sz w:val="24"/>
          <w:szCs w:val="24"/>
        </w:rPr>
        <w:t>Appreciation of Children's Songs</w:t>
      </w:r>
      <w:r>
        <w:rPr>
          <w:rFonts w:hint="eastAsia"/>
          <w:b/>
          <w:sz w:val="28"/>
          <w:szCs w:val="30"/>
        </w:rPr>
        <w:t>】</w:t>
      </w:r>
      <w:bookmarkStart w:id="0" w:name="a2"/>
      <w:bookmarkEnd w:id="0"/>
    </w:p>
    <w:p w14:paraId="427777C3">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14:paraId="37B37E22">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2135017</w:t>
      </w:r>
      <w:r>
        <w:rPr>
          <w:color w:val="000000"/>
          <w:sz w:val="20"/>
          <w:szCs w:val="20"/>
        </w:rPr>
        <w:t>】</w:t>
      </w:r>
    </w:p>
    <w:p w14:paraId="2ABEAA5D">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15A40B97">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14:paraId="39890224">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r>
        <w:rPr>
          <w:rFonts w:hint="eastAsia" w:ascii="宋体" w:hAnsi="宋体"/>
          <w:color w:val="000000"/>
          <w:sz w:val="20"/>
          <w:szCs w:val="20"/>
        </w:rPr>
        <w:t>◎</w:t>
      </w:r>
    </w:p>
    <w:p w14:paraId="616C5897">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学前教育系</w:t>
      </w:r>
    </w:p>
    <w:p w14:paraId="5F4028AE">
      <w:pPr>
        <w:snapToGrid w:val="0"/>
        <w:spacing w:line="288" w:lineRule="auto"/>
        <w:ind w:firstLine="400" w:firstLineChars="200"/>
        <w:rPr>
          <w:color w:val="000000"/>
          <w:sz w:val="20"/>
          <w:szCs w:val="20"/>
        </w:rPr>
      </w:pPr>
      <w:r>
        <w:rPr>
          <w:b/>
          <w:bCs/>
          <w:color w:val="000000"/>
          <w:sz w:val="20"/>
          <w:szCs w:val="20"/>
        </w:rPr>
        <w:t>使用教材：</w:t>
      </w:r>
      <w:r>
        <w:rPr>
          <w:rFonts w:hint="eastAsia"/>
          <w:color w:val="000000"/>
          <w:sz w:val="20"/>
          <w:szCs w:val="20"/>
        </w:rPr>
        <w:t xml:space="preserve"> </w:t>
      </w:r>
    </w:p>
    <w:p w14:paraId="7089DCA6">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《新学堂乐歌》著者： 谷建芬  </w:t>
      </w:r>
      <w:r>
        <w:rPr>
          <w:color w:val="000000"/>
          <w:sz w:val="20"/>
          <w:szCs w:val="20"/>
        </w:rPr>
        <w:t>出版社</w:t>
      </w:r>
      <w:r>
        <w:rPr>
          <w:rFonts w:hint="eastAsia"/>
          <w:color w:val="000000"/>
          <w:sz w:val="20"/>
          <w:szCs w:val="20"/>
        </w:rPr>
        <w:t>：上海世纪初八某集团</w:t>
      </w:r>
      <w:r>
        <w:rPr>
          <w:color w:val="000000"/>
          <w:sz w:val="20"/>
          <w:szCs w:val="20"/>
        </w:rPr>
        <w:t xml:space="preserve"> </w:t>
      </w:r>
      <w:r>
        <w:rPr>
          <w:rFonts w:hint="eastAsia"/>
          <w:color w:val="000000"/>
          <w:sz w:val="20"/>
          <w:szCs w:val="20"/>
        </w:rPr>
        <w:t>上海音乐</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w:t>
      </w:r>
      <w:r>
        <w:rPr>
          <w:rFonts w:hint="eastAsia"/>
          <w:color w:val="000000"/>
          <w:sz w:val="20"/>
          <w:szCs w:val="20"/>
        </w:rPr>
        <w:t>1</w:t>
      </w:r>
      <w:r>
        <w:rPr>
          <w:color w:val="000000"/>
          <w:sz w:val="20"/>
          <w:szCs w:val="20"/>
        </w:rPr>
        <w:t>】</w:t>
      </w:r>
    </w:p>
    <w:p w14:paraId="55E3F5C7">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《音乐欣赏、表演与创作心理分析》</w:t>
      </w:r>
      <w:r>
        <w:rPr>
          <w:color w:val="000000"/>
          <w:sz w:val="20"/>
          <w:szCs w:val="20"/>
        </w:rPr>
        <w:t>作者</w:t>
      </w:r>
      <w:r>
        <w:rPr>
          <w:rFonts w:hint="eastAsia"/>
          <w:color w:val="000000"/>
          <w:sz w:val="20"/>
          <w:szCs w:val="20"/>
        </w:rPr>
        <w:t xml:space="preserve">：张前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：中央音乐学院</w:t>
      </w:r>
      <w:r>
        <w:rPr>
          <w:color w:val="000000"/>
          <w:sz w:val="20"/>
          <w:szCs w:val="20"/>
        </w:rPr>
        <w:t>出版社</w:t>
      </w:r>
      <w:r>
        <w:rPr>
          <w:rFonts w:hint="eastAsia"/>
          <w:color w:val="000000"/>
          <w:sz w:val="20"/>
          <w:szCs w:val="20"/>
        </w:rPr>
        <w:t xml:space="preserve"> 出版日期：200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p>
    <w:p w14:paraId="47F77740">
      <w:r>
        <w:rPr>
          <w:color w:val="000000"/>
          <w:sz w:val="20"/>
          <w:szCs w:val="20"/>
        </w:rPr>
        <w:t>参考</w:t>
      </w:r>
      <w:r>
        <w:rPr>
          <w:rFonts w:hint="eastAsia"/>
          <w:color w:val="000000"/>
          <w:sz w:val="20"/>
          <w:szCs w:val="20"/>
        </w:rPr>
        <w:t>书目【《音乐鉴赏》</w:t>
      </w:r>
      <w:r>
        <w:rPr>
          <w:color w:val="000000"/>
          <w:sz w:val="20"/>
          <w:szCs w:val="20"/>
        </w:rPr>
        <w:t>作者</w:t>
      </w:r>
      <w:r>
        <w:rPr>
          <w:rFonts w:hint="eastAsia"/>
          <w:color w:val="000000"/>
          <w:sz w:val="20"/>
          <w:szCs w:val="20"/>
        </w:rPr>
        <w:t xml:space="preserve">：周伟 主编 王拥军 丁静 副主编  </w:t>
      </w:r>
      <w:r>
        <w:rPr>
          <w:color w:val="000000"/>
          <w:sz w:val="20"/>
          <w:szCs w:val="20"/>
        </w:rPr>
        <w:t>出版社</w:t>
      </w:r>
      <w:r>
        <w:rPr>
          <w:rFonts w:hint="eastAsia"/>
          <w:color w:val="000000"/>
          <w:sz w:val="20"/>
          <w:szCs w:val="20"/>
        </w:rPr>
        <w:t>：陕西出版传媒集团 陕西人民</w:t>
      </w:r>
      <w:r>
        <w:rPr>
          <w:color w:val="000000"/>
          <w:sz w:val="20"/>
          <w:szCs w:val="20"/>
        </w:rPr>
        <w:t>出版社</w:t>
      </w:r>
      <w:r>
        <w:rPr>
          <w:rFonts w:hint="eastAsia"/>
          <w:color w:val="000000"/>
          <w:sz w:val="20"/>
          <w:szCs w:val="20"/>
        </w:rPr>
        <w:t xml:space="preserve"> 出版日期：2014-</w:t>
      </w:r>
      <w:r>
        <w:rPr>
          <w:color w:val="000000"/>
          <w:sz w:val="20"/>
          <w:szCs w:val="20"/>
        </w:rPr>
        <w:t>0</w:t>
      </w:r>
      <w:r>
        <w:rPr>
          <w:rFonts w:hint="eastAsia"/>
          <w:color w:val="000000"/>
          <w:sz w:val="20"/>
          <w:szCs w:val="20"/>
        </w:rPr>
        <w:t>6】</w:t>
      </w:r>
    </w:p>
    <w:p w14:paraId="17715FFF">
      <w:pPr>
        <w:snapToGrid w:val="0"/>
        <w:spacing w:line="288" w:lineRule="auto"/>
        <w:rPr>
          <w:color w:val="000000"/>
          <w:sz w:val="20"/>
          <w:szCs w:val="20"/>
        </w:rPr>
      </w:pPr>
      <w:r>
        <w:rPr>
          <w:color w:val="000000"/>
          <w:sz w:val="20"/>
          <w:szCs w:val="20"/>
        </w:rPr>
        <w:t>参考</w:t>
      </w:r>
      <w:r>
        <w:rPr>
          <w:rFonts w:hint="eastAsia"/>
          <w:color w:val="000000"/>
          <w:sz w:val="20"/>
          <w:szCs w:val="20"/>
        </w:rPr>
        <w:t xml:space="preserve">书目【《声乐考级曲集（少儿卷）》主编：唐进发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：上海音乐家协会声乐专业委员会 出版日期：2018-11】</w:t>
      </w:r>
    </w:p>
    <w:p w14:paraId="1200809E">
      <w:pPr>
        <w:snapToGrid w:val="0"/>
        <w:spacing w:line="288" w:lineRule="auto"/>
        <w:ind w:firstLine="392" w:firstLineChars="196"/>
        <w:rPr>
          <w:b/>
          <w:bCs/>
          <w:color w:val="000000"/>
          <w:sz w:val="20"/>
          <w:szCs w:val="20"/>
        </w:rPr>
      </w:pPr>
    </w:p>
    <w:p w14:paraId="5BF822E2">
      <w:pPr>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4FE1BA10">
      <w:pPr>
        <w:snapToGrid w:val="0"/>
        <w:spacing w:line="288" w:lineRule="auto"/>
        <w:ind w:firstLine="392" w:firstLineChars="196"/>
        <w:rPr>
          <w:color w:val="000000"/>
          <w:sz w:val="20"/>
          <w:szCs w:val="20"/>
        </w:rPr>
      </w:pPr>
    </w:p>
    <w:p w14:paraId="60D0BB77">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14:paraId="1E064DDE">
      <w:pPr>
        <w:adjustRightInd w:val="0"/>
        <w:snapToGrid w:val="0"/>
        <w:spacing w:before="156" w:beforeLines="50" w:after="156" w:afterLines="50" w:line="288" w:lineRule="auto"/>
        <w:ind w:firstLine="400" w:firstLineChars="200"/>
        <w:rPr>
          <w:color w:val="000000"/>
          <w:sz w:val="20"/>
          <w:szCs w:val="20"/>
        </w:rPr>
      </w:pPr>
      <w:r>
        <w:rPr>
          <w:rFonts w:hint="eastAsia"/>
          <w:color w:val="000000"/>
          <w:sz w:val="20"/>
          <w:szCs w:val="20"/>
        </w:rPr>
        <w:t>课程宗旨：本课程是学前教育专业的选修课程，围绕国家的教育方针和本校学前教育专业的学科特点，培养学生发现美、鉴赏美、创造美的能力。</w:t>
      </w:r>
    </w:p>
    <w:p w14:paraId="2923856E">
      <w:pPr>
        <w:adjustRightInd w:val="0"/>
        <w:snapToGrid w:val="0"/>
        <w:spacing w:before="156" w:beforeLines="50" w:after="156" w:afterLines="50" w:line="288" w:lineRule="auto"/>
        <w:ind w:firstLine="400" w:firstLineChars="200"/>
        <w:rPr>
          <w:color w:val="000000"/>
          <w:sz w:val="20"/>
          <w:szCs w:val="20"/>
        </w:rPr>
      </w:pPr>
      <w:r>
        <w:rPr>
          <w:rFonts w:hint="eastAsia"/>
          <w:color w:val="000000"/>
          <w:sz w:val="20"/>
          <w:szCs w:val="20"/>
        </w:rPr>
        <w:t>课程内容：大致分为</w:t>
      </w:r>
      <w:r>
        <w:rPr>
          <w:rFonts w:hint="eastAsia"/>
          <w:color w:val="000000"/>
          <w:sz w:val="20"/>
          <w:szCs w:val="20"/>
          <w:lang w:val="en-US" w:eastAsia="zh-CN"/>
        </w:rPr>
        <w:t>以幼儿园小、中、</w:t>
      </w:r>
      <w:r>
        <w:rPr>
          <w:rFonts w:hint="eastAsia"/>
          <w:color w:val="000000"/>
          <w:sz w:val="20"/>
          <w:szCs w:val="20"/>
        </w:rPr>
        <w:t>大</w:t>
      </w:r>
      <w:r>
        <w:rPr>
          <w:rFonts w:hint="eastAsia"/>
          <w:color w:val="000000"/>
          <w:sz w:val="20"/>
          <w:szCs w:val="20"/>
          <w:lang w:val="en-US" w:eastAsia="zh-CN"/>
        </w:rPr>
        <w:t>三个年龄阶段为主的三个</w:t>
      </w:r>
      <w:r>
        <w:rPr>
          <w:rFonts w:hint="eastAsia"/>
          <w:color w:val="000000"/>
          <w:sz w:val="20"/>
          <w:szCs w:val="20"/>
        </w:rPr>
        <w:t>板块，以少儿歌曲的发展为线索，对较为典型并且颇具特色的少儿歌曲进行欣赏、分析和演唱</w:t>
      </w:r>
      <w:r>
        <w:rPr>
          <w:rFonts w:hint="eastAsia"/>
          <w:color w:val="000000"/>
          <w:sz w:val="20"/>
          <w:szCs w:val="20"/>
          <w:lang w:val="en-US" w:eastAsia="zh-CN"/>
        </w:rPr>
        <w:t>并与游戏进行结合，形成音乐游戏化课程</w:t>
      </w:r>
      <w:r>
        <w:rPr>
          <w:rFonts w:hint="eastAsia"/>
          <w:color w:val="000000"/>
          <w:sz w:val="20"/>
          <w:szCs w:val="20"/>
        </w:rPr>
        <w:t>。</w:t>
      </w:r>
    </w:p>
    <w:p w14:paraId="5A2130A2">
      <w:pPr>
        <w:adjustRightInd w:val="0"/>
        <w:snapToGrid w:val="0"/>
        <w:spacing w:before="156" w:beforeLines="50" w:after="156" w:afterLines="50" w:line="288" w:lineRule="auto"/>
        <w:ind w:firstLine="400" w:firstLineChars="200"/>
        <w:rPr>
          <w:color w:val="000000"/>
          <w:sz w:val="20"/>
          <w:szCs w:val="20"/>
        </w:rPr>
      </w:pPr>
      <w:r>
        <w:rPr>
          <w:rFonts w:hint="eastAsia"/>
          <w:color w:val="000000"/>
          <w:sz w:val="20"/>
          <w:szCs w:val="20"/>
        </w:rPr>
        <w:t>教学意义：本课程是学前教育专业课程的有机分支，对学科建设起积极作用。课程一方面帮助学生积累理论知识，另一方面着实培养实际操作能力，有利于提升音乐综合素质，提高就业能力，推动学前教育事业的发展。</w:t>
      </w:r>
    </w:p>
    <w:p w14:paraId="1B6B89A2">
      <w:pPr>
        <w:adjustRightInd w:val="0"/>
        <w:snapToGrid w:val="0"/>
        <w:spacing w:before="156" w:beforeLines="50" w:after="156" w:afterLines="50" w:line="288" w:lineRule="auto"/>
        <w:ind w:firstLine="490" w:firstLineChars="245"/>
        <w:rPr>
          <w:color w:val="000000"/>
          <w:sz w:val="20"/>
          <w:szCs w:val="20"/>
        </w:rPr>
      </w:pPr>
    </w:p>
    <w:p w14:paraId="72E2B15D">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14:paraId="5336DC09">
      <w:pPr>
        <w:widowControl/>
        <w:spacing w:before="156" w:beforeLines="50" w:after="156" w:afterLines="50" w:line="288" w:lineRule="auto"/>
        <w:ind w:firstLine="400" w:firstLineChars="200"/>
        <w:jc w:val="left"/>
        <w:rPr>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三</w:t>
      </w:r>
      <w:r>
        <w:rPr>
          <w:rFonts w:hint="eastAsia"/>
          <w:color w:val="000000"/>
          <w:sz w:val="20"/>
          <w:szCs w:val="20"/>
        </w:rPr>
        <w:t>年级</w:t>
      </w:r>
      <w:r>
        <w:rPr>
          <w:rFonts w:hint="eastAsia"/>
          <w:color w:val="000000"/>
          <w:sz w:val="20"/>
          <w:szCs w:val="20"/>
          <w:lang w:val="en-US" w:eastAsia="zh-CN"/>
        </w:rPr>
        <w:t>上</w:t>
      </w:r>
      <w:r>
        <w:rPr>
          <w:rFonts w:hint="eastAsia"/>
          <w:color w:val="000000"/>
          <w:sz w:val="20"/>
          <w:szCs w:val="20"/>
        </w:rPr>
        <w:t>学期学生修课，不仅</w:t>
      </w:r>
      <w:r>
        <w:rPr>
          <w:color w:val="000000"/>
          <w:sz w:val="20"/>
          <w:szCs w:val="20"/>
        </w:rPr>
        <w:t>可以</w:t>
      </w:r>
      <w:r>
        <w:rPr>
          <w:rFonts w:hint="eastAsia"/>
          <w:color w:val="000000"/>
          <w:sz w:val="20"/>
          <w:szCs w:val="20"/>
        </w:rPr>
        <w:t>培养正确的歌唱观念，还可以培养学生对声乐作品的分析能力和审美能力，从而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14:paraId="3FA5AA76">
      <w:pPr>
        <w:widowControl/>
        <w:spacing w:before="156" w:beforeLines="50" w:after="156" w:afterLines="50" w:line="288" w:lineRule="auto"/>
        <w:ind w:firstLine="400" w:firstLineChars="200"/>
        <w:jc w:val="left"/>
        <w:rPr>
          <w:color w:val="000000"/>
          <w:sz w:val="20"/>
          <w:szCs w:val="20"/>
        </w:rPr>
      </w:pPr>
    </w:p>
    <w:p w14:paraId="7F098244">
      <w:pPr>
        <w:widowControl/>
        <w:spacing w:before="156" w:beforeLines="50" w:after="156" w:afterLines="50" w:line="288" w:lineRule="auto"/>
        <w:ind w:left="210" w:leftChars="100" w:firstLine="120" w:firstLineChars="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1243"/>
      </w:tblGrid>
      <w:tr w14:paraId="472E26E5">
        <w:tc>
          <w:tcPr>
            <w:tcW w:w="6803" w:type="dxa"/>
          </w:tcPr>
          <w:p w14:paraId="32BBF92E">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1243" w:type="dxa"/>
          </w:tcPr>
          <w:p w14:paraId="40721F0B">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303BA8B0">
        <w:tc>
          <w:tcPr>
            <w:tcW w:w="6803" w:type="dxa"/>
            <w:vAlign w:val="center"/>
          </w:tcPr>
          <w:p w14:paraId="66DF3888">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XQ111:</w:t>
            </w:r>
            <w:r>
              <w:rPr>
                <w:rFonts w:hint="eastAsia" w:ascii="楷体_GB2312" w:hAnsi="楷体" w:eastAsia="楷体_GB2312"/>
                <w:bCs/>
                <w:sz w:val="24"/>
              </w:rPr>
              <w:t>认同社会主义核心价值观</w:t>
            </w:r>
          </w:p>
        </w:tc>
        <w:tc>
          <w:tcPr>
            <w:tcW w:w="1243" w:type="dxa"/>
            <w:vAlign w:val="center"/>
          </w:tcPr>
          <w:p w14:paraId="04DC0549">
            <w:pPr>
              <w:widowControl/>
              <w:jc w:val="center"/>
              <w:rPr>
                <w:rFonts w:ascii="仿宋" w:hAnsi="仿宋" w:eastAsia="仿宋" w:cs="宋体"/>
                <w:color w:val="000000"/>
                <w:kern w:val="0"/>
                <w:sz w:val="24"/>
                <w:szCs w:val="20"/>
              </w:rPr>
            </w:pPr>
          </w:p>
        </w:tc>
      </w:tr>
      <w:tr w14:paraId="33C75B7E">
        <w:tc>
          <w:tcPr>
            <w:tcW w:w="6803" w:type="dxa"/>
            <w:vAlign w:val="center"/>
          </w:tcPr>
          <w:p w14:paraId="591A92EF">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XQ112:</w:t>
            </w:r>
            <w:r>
              <w:rPr>
                <w:rFonts w:hint="eastAsia" w:ascii="楷体_GB2312" w:hAnsi="楷体" w:eastAsia="楷体_GB2312"/>
                <w:bCs/>
                <w:sz w:val="24"/>
              </w:rPr>
              <w:t>理解与践行学前教育核心价值</w:t>
            </w:r>
          </w:p>
        </w:tc>
        <w:tc>
          <w:tcPr>
            <w:tcW w:w="1243" w:type="dxa"/>
            <w:vAlign w:val="center"/>
          </w:tcPr>
          <w:p w14:paraId="093B6637">
            <w:pPr>
              <w:widowControl/>
              <w:jc w:val="center"/>
              <w:rPr>
                <w:rFonts w:ascii="仿宋" w:hAnsi="仿宋" w:eastAsia="仿宋" w:cs="宋体"/>
                <w:color w:val="000000"/>
                <w:kern w:val="0"/>
                <w:sz w:val="24"/>
                <w:szCs w:val="20"/>
              </w:rPr>
            </w:pPr>
          </w:p>
        </w:tc>
      </w:tr>
      <w:tr w14:paraId="75D314AC">
        <w:trPr>
          <w:trHeight w:val="260" w:hRule="atLeast"/>
        </w:trPr>
        <w:tc>
          <w:tcPr>
            <w:tcW w:w="6803" w:type="dxa"/>
            <w:vAlign w:val="center"/>
          </w:tcPr>
          <w:p w14:paraId="75146B53">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XQ113:</w:t>
            </w:r>
            <w:r>
              <w:rPr>
                <w:rFonts w:hint="eastAsia" w:ascii="楷体_GB2312" w:hAnsi="楷体" w:eastAsia="楷体_GB2312"/>
                <w:bCs/>
                <w:sz w:val="24"/>
              </w:rPr>
              <w:t>明确与践行幼儿园教师保教行为规范</w:t>
            </w:r>
          </w:p>
        </w:tc>
        <w:tc>
          <w:tcPr>
            <w:tcW w:w="1243" w:type="dxa"/>
            <w:vAlign w:val="center"/>
          </w:tcPr>
          <w:p w14:paraId="781741EB">
            <w:pPr>
              <w:widowControl/>
              <w:jc w:val="center"/>
              <w:rPr>
                <w:rFonts w:ascii="仿宋" w:hAnsi="仿宋" w:eastAsia="仿宋" w:cs="宋体"/>
                <w:color w:val="000000"/>
                <w:kern w:val="0"/>
                <w:sz w:val="24"/>
                <w:szCs w:val="20"/>
              </w:rPr>
            </w:pPr>
          </w:p>
        </w:tc>
      </w:tr>
      <w:tr w14:paraId="7DC752AB">
        <w:tc>
          <w:tcPr>
            <w:tcW w:w="6803" w:type="dxa"/>
            <w:vAlign w:val="center"/>
          </w:tcPr>
          <w:p w14:paraId="68438A5B">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XQ121:</w:t>
            </w:r>
            <w:r>
              <w:rPr>
                <w:rFonts w:hint="eastAsia" w:ascii="楷体_GB2312" w:hAnsi="楷体" w:eastAsia="楷体_GB2312"/>
                <w:bCs/>
                <w:sz w:val="24"/>
              </w:rPr>
              <w:t>增强专业认同感和使命感</w:t>
            </w:r>
          </w:p>
        </w:tc>
        <w:tc>
          <w:tcPr>
            <w:tcW w:w="1243" w:type="dxa"/>
            <w:vAlign w:val="center"/>
          </w:tcPr>
          <w:p w14:paraId="6F150CE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B7059AA">
        <w:tc>
          <w:tcPr>
            <w:tcW w:w="6803" w:type="dxa"/>
            <w:vAlign w:val="center"/>
          </w:tcPr>
          <w:p w14:paraId="7CF7D598">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XQ122:</w:t>
            </w:r>
            <w:r>
              <w:rPr>
                <w:rFonts w:hint="eastAsia" w:ascii="楷体_GB2312" w:hAnsi="楷体" w:eastAsia="楷体_GB2312"/>
                <w:bCs/>
                <w:sz w:val="24"/>
              </w:rPr>
              <w:t>具有人文底蕴、生命关怀和科学精神</w:t>
            </w:r>
          </w:p>
        </w:tc>
        <w:tc>
          <w:tcPr>
            <w:tcW w:w="1243" w:type="dxa"/>
            <w:vAlign w:val="center"/>
          </w:tcPr>
          <w:p w14:paraId="20AE7081">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B7C2248">
        <w:tc>
          <w:tcPr>
            <w:tcW w:w="6803" w:type="dxa"/>
            <w:vAlign w:val="center"/>
          </w:tcPr>
          <w:p w14:paraId="7AB148CC">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XQ123:</w:t>
            </w:r>
            <w:r>
              <w:rPr>
                <w:rFonts w:hint="eastAsia" w:ascii="楷体_GB2312" w:hAnsi="楷体" w:eastAsia="楷体_GB2312"/>
                <w:bCs/>
                <w:sz w:val="24"/>
              </w:rPr>
              <w:t>践行幼儿为本和爱与自由理念</w:t>
            </w:r>
          </w:p>
        </w:tc>
        <w:tc>
          <w:tcPr>
            <w:tcW w:w="1243" w:type="dxa"/>
            <w:vAlign w:val="center"/>
          </w:tcPr>
          <w:p w14:paraId="5DEF94DA">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F12DDF6">
        <w:tc>
          <w:tcPr>
            <w:tcW w:w="6803" w:type="dxa"/>
            <w:vAlign w:val="center"/>
          </w:tcPr>
          <w:p w14:paraId="228165EB">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XQ211:</w:t>
            </w:r>
            <w:r>
              <w:rPr>
                <w:rFonts w:hint="eastAsia" w:ascii="楷体_GB2312" w:hAnsi="楷体" w:eastAsia="楷体_GB2312"/>
                <w:bCs/>
                <w:sz w:val="24"/>
              </w:rPr>
              <w:t>掌握儿童发展、儿童研究的基本理论</w:t>
            </w:r>
          </w:p>
        </w:tc>
        <w:tc>
          <w:tcPr>
            <w:tcW w:w="1243" w:type="dxa"/>
            <w:vAlign w:val="center"/>
          </w:tcPr>
          <w:p w14:paraId="4F0BE5DE">
            <w:pPr>
              <w:widowControl/>
              <w:jc w:val="center"/>
              <w:rPr>
                <w:rFonts w:ascii="仿宋" w:hAnsi="仿宋" w:eastAsia="仿宋" w:cs="宋体"/>
                <w:color w:val="000000"/>
                <w:kern w:val="0"/>
                <w:sz w:val="24"/>
                <w:szCs w:val="20"/>
              </w:rPr>
            </w:pPr>
          </w:p>
        </w:tc>
      </w:tr>
      <w:tr w14:paraId="20B69DF5">
        <w:tc>
          <w:tcPr>
            <w:tcW w:w="6803" w:type="dxa"/>
            <w:vAlign w:val="center"/>
          </w:tcPr>
          <w:p w14:paraId="068EDFEF">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XQ212:</w:t>
            </w:r>
            <w:r>
              <w:rPr>
                <w:rFonts w:hint="eastAsia" w:ascii="楷体_GB2312" w:hAnsi="楷体" w:eastAsia="楷体_GB2312"/>
                <w:bCs/>
                <w:sz w:val="24"/>
              </w:rPr>
              <w:t>具备现场观察、记录、分析幼儿的意识和能力</w:t>
            </w:r>
          </w:p>
        </w:tc>
        <w:tc>
          <w:tcPr>
            <w:tcW w:w="1243" w:type="dxa"/>
            <w:vAlign w:val="center"/>
          </w:tcPr>
          <w:p w14:paraId="190DFA1C">
            <w:pPr>
              <w:widowControl/>
              <w:jc w:val="center"/>
              <w:rPr>
                <w:rFonts w:ascii="仿宋" w:hAnsi="仿宋" w:eastAsia="仿宋" w:cs="宋体"/>
                <w:color w:val="000000"/>
                <w:kern w:val="0"/>
                <w:sz w:val="24"/>
                <w:szCs w:val="20"/>
              </w:rPr>
            </w:pPr>
          </w:p>
        </w:tc>
      </w:tr>
      <w:tr w14:paraId="26560588">
        <w:tc>
          <w:tcPr>
            <w:tcW w:w="6803" w:type="dxa"/>
            <w:vAlign w:val="center"/>
          </w:tcPr>
          <w:p w14:paraId="05A9B643">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XQ213:</w:t>
            </w:r>
            <w:r>
              <w:rPr>
                <w:rFonts w:hint="eastAsia" w:ascii="楷体_GB2312" w:hAnsi="楷体" w:eastAsia="楷体_GB2312"/>
                <w:bCs/>
                <w:sz w:val="24"/>
              </w:rPr>
              <w:t>具备评价幼儿园教育活动的能力</w:t>
            </w:r>
          </w:p>
        </w:tc>
        <w:tc>
          <w:tcPr>
            <w:tcW w:w="1243" w:type="dxa"/>
            <w:vAlign w:val="center"/>
          </w:tcPr>
          <w:p w14:paraId="6E3AFF4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7D64DC79">
        <w:tc>
          <w:tcPr>
            <w:tcW w:w="6803" w:type="dxa"/>
            <w:vAlign w:val="center"/>
          </w:tcPr>
          <w:p w14:paraId="1879CC9F">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XQ221:</w:t>
            </w:r>
            <w:r>
              <w:rPr>
                <w:rFonts w:hint="eastAsia" w:ascii="楷体_GB2312" w:hAnsi="楷体" w:eastAsia="楷体_GB2312"/>
                <w:bCs/>
                <w:sz w:val="24"/>
              </w:rPr>
              <w:t>把握幼儿生理、心理特点</w:t>
            </w:r>
          </w:p>
        </w:tc>
        <w:tc>
          <w:tcPr>
            <w:tcW w:w="1243" w:type="dxa"/>
            <w:vAlign w:val="center"/>
          </w:tcPr>
          <w:p w14:paraId="092D2320">
            <w:pPr>
              <w:widowControl/>
              <w:jc w:val="center"/>
              <w:rPr>
                <w:color w:val="000000"/>
                <w:kern w:val="0"/>
                <w:sz w:val="20"/>
                <w:szCs w:val="20"/>
              </w:rPr>
            </w:pPr>
          </w:p>
        </w:tc>
      </w:tr>
      <w:tr w14:paraId="361FA39E">
        <w:tc>
          <w:tcPr>
            <w:tcW w:w="6803" w:type="dxa"/>
            <w:vAlign w:val="center"/>
          </w:tcPr>
          <w:p w14:paraId="35323D0C">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XQ222:</w:t>
            </w:r>
            <w:r>
              <w:rPr>
                <w:rFonts w:hint="eastAsia" w:ascii="楷体_GB2312" w:hAnsi="楷体" w:eastAsia="楷体_GB2312"/>
                <w:bCs/>
                <w:sz w:val="24"/>
              </w:rPr>
              <w:t>掌握幼儿园保育和教育的基本知识和方法</w:t>
            </w:r>
          </w:p>
        </w:tc>
        <w:tc>
          <w:tcPr>
            <w:tcW w:w="1243" w:type="dxa"/>
            <w:vAlign w:val="center"/>
          </w:tcPr>
          <w:p w14:paraId="0D1D1CE9">
            <w:pPr>
              <w:widowControl/>
              <w:jc w:val="center"/>
              <w:rPr>
                <w:color w:val="000000"/>
                <w:kern w:val="0"/>
                <w:sz w:val="20"/>
                <w:szCs w:val="20"/>
              </w:rPr>
            </w:pPr>
          </w:p>
        </w:tc>
      </w:tr>
      <w:tr w14:paraId="73988144">
        <w:tc>
          <w:tcPr>
            <w:tcW w:w="6803" w:type="dxa"/>
            <w:vAlign w:val="center"/>
          </w:tcPr>
          <w:p w14:paraId="27D77298">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XQ223:</w:t>
            </w:r>
            <w:r>
              <w:rPr>
                <w:rFonts w:hint="eastAsia" w:ascii="楷体_GB2312" w:hAnsi="楷体" w:eastAsia="楷体_GB2312"/>
                <w:bCs/>
                <w:sz w:val="24"/>
              </w:rPr>
              <w:t>熟悉五大领域知识并能合理运用于综合活动中</w:t>
            </w:r>
          </w:p>
        </w:tc>
        <w:tc>
          <w:tcPr>
            <w:tcW w:w="1243" w:type="dxa"/>
            <w:vAlign w:val="center"/>
          </w:tcPr>
          <w:p w14:paraId="652F9660">
            <w:pPr>
              <w:widowControl/>
              <w:jc w:val="center"/>
              <w:rPr>
                <w:color w:val="000000"/>
                <w:kern w:val="0"/>
                <w:sz w:val="20"/>
                <w:szCs w:val="20"/>
              </w:rPr>
            </w:pPr>
            <w:r>
              <w:rPr>
                <w:color w:val="000000"/>
                <w:kern w:val="0"/>
                <w:sz w:val="20"/>
                <w:szCs w:val="20"/>
              </w:rPr>
              <w:sym w:font="Wingdings 2" w:char="F098"/>
            </w:r>
          </w:p>
        </w:tc>
      </w:tr>
      <w:tr w14:paraId="5EA03D81">
        <w:tc>
          <w:tcPr>
            <w:tcW w:w="6803" w:type="dxa"/>
            <w:vAlign w:val="center"/>
          </w:tcPr>
          <w:p w14:paraId="26F7FF83">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XQ231:</w:t>
            </w:r>
            <w:r>
              <w:rPr>
                <w:rFonts w:hint="eastAsia" w:ascii="楷体_GB2312" w:hAnsi="楷体" w:eastAsia="楷体_GB2312"/>
                <w:bCs/>
                <w:sz w:val="24"/>
              </w:rPr>
              <w:t>充分认识大自然、大社会对幼儿发展的价值</w:t>
            </w:r>
          </w:p>
        </w:tc>
        <w:tc>
          <w:tcPr>
            <w:tcW w:w="1243" w:type="dxa"/>
            <w:vAlign w:val="center"/>
          </w:tcPr>
          <w:p w14:paraId="65BED3B9">
            <w:pPr>
              <w:widowControl/>
              <w:jc w:val="center"/>
              <w:rPr>
                <w:color w:val="000000"/>
                <w:kern w:val="0"/>
                <w:sz w:val="20"/>
                <w:szCs w:val="20"/>
              </w:rPr>
            </w:pPr>
          </w:p>
        </w:tc>
      </w:tr>
      <w:tr w14:paraId="41024D52">
        <w:tc>
          <w:tcPr>
            <w:tcW w:w="6803" w:type="dxa"/>
            <w:vAlign w:val="center"/>
          </w:tcPr>
          <w:p w14:paraId="4E77318D">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XQ232:</w:t>
            </w:r>
            <w:r>
              <w:rPr>
                <w:rFonts w:hint="eastAsia" w:ascii="楷体_GB2312" w:hAnsi="楷体" w:eastAsia="楷体_GB2312"/>
                <w:bCs/>
                <w:sz w:val="24"/>
              </w:rPr>
              <w:t>具备创设有准备的环境的知识和能力</w:t>
            </w:r>
          </w:p>
        </w:tc>
        <w:tc>
          <w:tcPr>
            <w:tcW w:w="1243" w:type="dxa"/>
            <w:vAlign w:val="center"/>
          </w:tcPr>
          <w:p w14:paraId="14679930">
            <w:pPr>
              <w:widowControl/>
              <w:jc w:val="center"/>
              <w:rPr>
                <w:color w:val="000000"/>
                <w:kern w:val="0"/>
                <w:sz w:val="20"/>
                <w:szCs w:val="20"/>
              </w:rPr>
            </w:pPr>
          </w:p>
        </w:tc>
      </w:tr>
      <w:tr w14:paraId="0A3FEEB3">
        <w:tc>
          <w:tcPr>
            <w:tcW w:w="6803" w:type="dxa"/>
            <w:vAlign w:val="center"/>
          </w:tcPr>
          <w:p w14:paraId="10F2CFAE">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XQ233:</w:t>
            </w:r>
            <w:r>
              <w:rPr>
                <w:rFonts w:hint="eastAsia" w:ascii="楷体_GB2312" w:hAnsi="楷体" w:eastAsia="楷体_GB2312"/>
                <w:bCs/>
                <w:sz w:val="24"/>
              </w:rPr>
              <w:t>具备幼儿与环境互动质量的评价能力</w:t>
            </w:r>
          </w:p>
        </w:tc>
        <w:tc>
          <w:tcPr>
            <w:tcW w:w="1243" w:type="dxa"/>
            <w:vAlign w:val="center"/>
          </w:tcPr>
          <w:p w14:paraId="2C14DD73">
            <w:pPr>
              <w:widowControl/>
              <w:jc w:val="center"/>
              <w:rPr>
                <w:color w:val="000000"/>
                <w:kern w:val="0"/>
                <w:sz w:val="20"/>
                <w:szCs w:val="20"/>
              </w:rPr>
            </w:pPr>
          </w:p>
        </w:tc>
      </w:tr>
      <w:tr w14:paraId="6CC48C31">
        <w:tc>
          <w:tcPr>
            <w:tcW w:w="6803" w:type="dxa"/>
            <w:vAlign w:val="center"/>
          </w:tcPr>
          <w:p w14:paraId="65C5D108">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XQ311:</w:t>
            </w:r>
            <w:r>
              <w:rPr>
                <w:rFonts w:hint="eastAsia" w:ascii="楷体_GB2312" w:hAnsi="楷体" w:eastAsia="楷体_GB2312"/>
                <w:bCs/>
                <w:sz w:val="24"/>
              </w:rPr>
              <w:t>能引导幼儿建立班级的秩序与规则</w:t>
            </w:r>
          </w:p>
        </w:tc>
        <w:tc>
          <w:tcPr>
            <w:tcW w:w="1243" w:type="dxa"/>
            <w:vAlign w:val="center"/>
          </w:tcPr>
          <w:p w14:paraId="0D7614A7">
            <w:pPr>
              <w:widowControl/>
              <w:jc w:val="center"/>
              <w:rPr>
                <w:color w:val="000000"/>
                <w:kern w:val="0"/>
                <w:sz w:val="20"/>
                <w:szCs w:val="20"/>
              </w:rPr>
            </w:pPr>
          </w:p>
        </w:tc>
      </w:tr>
      <w:tr w14:paraId="67609CA0">
        <w:tc>
          <w:tcPr>
            <w:tcW w:w="6803" w:type="dxa"/>
            <w:vAlign w:val="center"/>
          </w:tcPr>
          <w:p w14:paraId="6B64F63C">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XQ312:</w:t>
            </w:r>
            <w:r>
              <w:rPr>
                <w:rFonts w:hint="eastAsia" w:ascii="楷体_GB2312" w:hAnsi="楷体" w:eastAsia="楷体_GB2312"/>
                <w:bCs/>
                <w:sz w:val="24"/>
              </w:rPr>
              <w:t>能营造愉悦、尊重、平等、积极的班级氛围</w:t>
            </w:r>
          </w:p>
        </w:tc>
        <w:tc>
          <w:tcPr>
            <w:tcW w:w="1243" w:type="dxa"/>
            <w:vAlign w:val="center"/>
          </w:tcPr>
          <w:p w14:paraId="55A4938B">
            <w:pPr>
              <w:widowControl/>
              <w:jc w:val="center"/>
              <w:rPr>
                <w:color w:val="000000"/>
                <w:kern w:val="0"/>
                <w:sz w:val="20"/>
                <w:szCs w:val="20"/>
              </w:rPr>
            </w:pPr>
            <w:r>
              <w:rPr>
                <w:color w:val="000000"/>
                <w:kern w:val="0"/>
                <w:sz w:val="20"/>
                <w:szCs w:val="20"/>
              </w:rPr>
              <w:sym w:font="Wingdings 2" w:char="F098"/>
            </w:r>
          </w:p>
        </w:tc>
      </w:tr>
      <w:tr w14:paraId="3CBDEAB7">
        <w:tc>
          <w:tcPr>
            <w:tcW w:w="6803" w:type="dxa"/>
            <w:vAlign w:val="center"/>
          </w:tcPr>
          <w:p w14:paraId="20DC74AB">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XQ313:</w:t>
            </w:r>
            <w:r>
              <w:rPr>
                <w:rFonts w:hint="eastAsia" w:ascii="楷体_GB2312" w:hAnsi="楷体" w:eastAsia="楷体_GB2312"/>
                <w:bCs/>
                <w:sz w:val="24"/>
              </w:rPr>
              <w:t>有以班级为纽带调动家庭和社区资源的意识和能力</w:t>
            </w:r>
          </w:p>
        </w:tc>
        <w:tc>
          <w:tcPr>
            <w:tcW w:w="1243" w:type="dxa"/>
            <w:vAlign w:val="center"/>
          </w:tcPr>
          <w:p w14:paraId="10742322">
            <w:pPr>
              <w:widowControl/>
              <w:jc w:val="center"/>
              <w:rPr>
                <w:color w:val="000000"/>
                <w:kern w:val="0"/>
                <w:sz w:val="20"/>
                <w:szCs w:val="20"/>
              </w:rPr>
            </w:pPr>
          </w:p>
        </w:tc>
      </w:tr>
      <w:tr w14:paraId="0267AF85">
        <w:tc>
          <w:tcPr>
            <w:tcW w:w="6803" w:type="dxa"/>
            <w:vAlign w:val="center"/>
          </w:tcPr>
          <w:p w14:paraId="085041FD">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XQ321:</w:t>
            </w:r>
            <w:r>
              <w:rPr>
                <w:rFonts w:hint="eastAsia" w:ascii="楷体_GB2312" w:hAnsi="楷体" w:eastAsia="楷体_GB2312"/>
                <w:bCs/>
                <w:sz w:val="24"/>
              </w:rPr>
              <w:t>充分认识一日生活的课程价值</w:t>
            </w:r>
          </w:p>
        </w:tc>
        <w:tc>
          <w:tcPr>
            <w:tcW w:w="1243" w:type="dxa"/>
            <w:vAlign w:val="center"/>
          </w:tcPr>
          <w:p w14:paraId="7C9CFF4C">
            <w:pPr>
              <w:widowControl/>
              <w:jc w:val="center"/>
              <w:rPr>
                <w:color w:val="000000"/>
                <w:kern w:val="0"/>
                <w:sz w:val="20"/>
                <w:szCs w:val="20"/>
              </w:rPr>
            </w:pPr>
            <w:r>
              <w:rPr>
                <w:color w:val="000000"/>
                <w:kern w:val="0"/>
                <w:sz w:val="20"/>
                <w:szCs w:val="20"/>
              </w:rPr>
              <w:sym w:font="Wingdings 2" w:char="F098"/>
            </w:r>
          </w:p>
        </w:tc>
      </w:tr>
      <w:tr w14:paraId="214EFFBB">
        <w:tc>
          <w:tcPr>
            <w:tcW w:w="6803" w:type="dxa"/>
            <w:vAlign w:val="center"/>
          </w:tcPr>
          <w:p w14:paraId="0929F602">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XQ322:</w:t>
            </w:r>
            <w:r>
              <w:rPr>
                <w:rFonts w:hint="eastAsia" w:ascii="楷体_GB2312" w:hAnsi="楷体" w:eastAsia="楷体_GB2312"/>
                <w:bCs/>
                <w:sz w:val="24"/>
              </w:rPr>
              <w:t>具备以游戏为幼儿园基本活动的意识和能力</w:t>
            </w:r>
          </w:p>
        </w:tc>
        <w:tc>
          <w:tcPr>
            <w:tcW w:w="1243" w:type="dxa"/>
            <w:vAlign w:val="center"/>
          </w:tcPr>
          <w:p w14:paraId="4E2C1245">
            <w:pPr>
              <w:widowControl/>
              <w:jc w:val="center"/>
              <w:rPr>
                <w:color w:val="000000"/>
                <w:kern w:val="0"/>
                <w:sz w:val="20"/>
                <w:szCs w:val="20"/>
              </w:rPr>
            </w:pPr>
          </w:p>
        </w:tc>
      </w:tr>
      <w:tr w14:paraId="6C664C05">
        <w:tc>
          <w:tcPr>
            <w:tcW w:w="6803" w:type="dxa"/>
            <w:vAlign w:val="center"/>
          </w:tcPr>
          <w:p w14:paraId="3F040DEF">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XQ323:</w:t>
            </w:r>
            <w:r>
              <w:rPr>
                <w:rFonts w:hint="eastAsia" w:ascii="楷体_GB2312" w:hAnsi="楷体" w:eastAsia="楷体_GB2312"/>
                <w:bCs/>
                <w:sz w:val="24"/>
              </w:rPr>
              <w:t>具有整合幼儿园、家庭与社区资源的能力</w:t>
            </w:r>
          </w:p>
        </w:tc>
        <w:tc>
          <w:tcPr>
            <w:tcW w:w="1243" w:type="dxa"/>
            <w:vAlign w:val="center"/>
          </w:tcPr>
          <w:p w14:paraId="7583AB1F">
            <w:pPr>
              <w:widowControl/>
              <w:jc w:val="center"/>
              <w:rPr>
                <w:color w:val="000000"/>
                <w:kern w:val="0"/>
                <w:sz w:val="20"/>
                <w:szCs w:val="20"/>
              </w:rPr>
            </w:pPr>
          </w:p>
        </w:tc>
      </w:tr>
      <w:tr w14:paraId="5C817C43">
        <w:tc>
          <w:tcPr>
            <w:tcW w:w="6803" w:type="dxa"/>
            <w:vAlign w:val="center"/>
          </w:tcPr>
          <w:p w14:paraId="0A55F6EB">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XQ411:</w:t>
            </w:r>
            <w:r>
              <w:rPr>
                <w:rFonts w:hint="eastAsia" w:ascii="楷体_GB2312" w:hAnsi="楷体" w:eastAsia="楷体_GB2312"/>
                <w:bCs/>
                <w:sz w:val="24"/>
              </w:rPr>
              <w:t>养成主动学习、批判性思考的习惯和品格</w:t>
            </w:r>
          </w:p>
        </w:tc>
        <w:tc>
          <w:tcPr>
            <w:tcW w:w="1243" w:type="dxa"/>
            <w:vAlign w:val="center"/>
          </w:tcPr>
          <w:p w14:paraId="0CCAA336">
            <w:pPr>
              <w:widowControl/>
              <w:jc w:val="center"/>
              <w:rPr>
                <w:color w:val="000000"/>
                <w:kern w:val="0"/>
                <w:sz w:val="20"/>
                <w:szCs w:val="20"/>
              </w:rPr>
            </w:pPr>
          </w:p>
        </w:tc>
      </w:tr>
      <w:tr w14:paraId="52BFF175">
        <w:tc>
          <w:tcPr>
            <w:tcW w:w="6803" w:type="dxa"/>
            <w:vAlign w:val="center"/>
          </w:tcPr>
          <w:p w14:paraId="41954ED9">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XQ412:</w:t>
            </w:r>
            <w:r>
              <w:rPr>
                <w:rFonts w:hint="eastAsia" w:ascii="楷体_GB2312" w:hAnsi="楷体" w:eastAsia="楷体_GB2312"/>
                <w:bCs/>
                <w:sz w:val="24"/>
              </w:rPr>
              <w:t>具有自我反思和引导幼儿反思的意识和能力</w:t>
            </w:r>
          </w:p>
        </w:tc>
        <w:tc>
          <w:tcPr>
            <w:tcW w:w="1243" w:type="dxa"/>
            <w:vAlign w:val="center"/>
          </w:tcPr>
          <w:p w14:paraId="3ED8B23D">
            <w:pPr>
              <w:widowControl/>
              <w:jc w:val="center"/>
              <w:rPr>
                <w:color w:val="000000"/>
                <w:kern w:val="0"/>
                <w:sz w:val="20"/>
                <w:szCs w:val="20"/>
              </w:rPr>
            </w:pPr>
            <w:r>
              <w:rPr>
                <w:color w:val="000000"/>
                <w:kern w:val="0"/>
                <w:sz w:val="20"/>
                <w:szCs w:val="20"/>
              </w:rPr>
              <w:sym w:font="Wingdings 2" w:char="F098"/>
            </w:r>
          </w:p>
        </w:tc>
      </w:tr>
      <w:tr w14:paraId="6B6DE422">
        <w:tc>
          <w:tcPr>
            <w:tcW w:w="6803" w:type="dxa"/>
            <w:vAlign w:val="center"/>
          </w:tcPr>
          <w:p w14:paraId="41B138B8">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XQ413:</w:t>
            </w:r>
            <w:r>
              <w:rPr>
                <w:rFonts w:hint="eastAsia" w:ascii="楷体_GB2312" w:hAnsi="楷体" w:eastAsia="楷体_GB2312"/>
                <w:bCs/>
                <w:sz w:val="24"/>
              </w:rPr>
              <w:t>具有创造性解决问题的意识与能力</w:t>
            </w:r>
          </w:p>
        </w:tc>
        <w:tc>
          <w:tcPr>
            <w:tcW w:w="1243" w:type="dxa"/>
            <w:vAlign w:val="center"/>
          </w:tcPr>
          <w:p w14:paraId="71B28D9D">
            <w:pPr>
              <w:widowControl/>
              <w:jc w:val="center"/>
              <w:rPr>
                <w:color w:val="000000"/>
                <w:kern w:val="0"/>
                <w:sz w:val="20"/>
                <w:szCs w:val="20"/>
              </w:rPr>
            </w:pPr>
          </w:p>
        </w:tc>
      </w:tr>
      <w:tr w14:paraId="7F8913CD">
        <w:tc>
          <w:tcPr>
            <w:tcW w:w="6803" w:type="dxa"/>
            <w:vAlign w:val="center"/>
          </w:tcPr>
          <w:p w14:paraId="49980ED4">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XQ421:</w:t>
            </w:r>
            <w:r>
              <w:rPr>
                <w:rFonts w:hint="eastAsia" w:ascii="楷体_GB2312" w:hAnsi="楷体" w:eastAsia="楷体_GB2312"/>
                <w:bCs/>
                <w:sz w:val="24"/>
              </w:rPr>
              <w:t>有参与国际教育交流的意识和能力</w:t>
            </w:r>
          </w:p>
        </w:tc>
        <w:tc>
          <w:tcPr>
            <w:tcW w:w="1243" w:type="dxa"/>
            <w:vAlign w:val="center"/>
          </w:tcPr>
          <w:p w14:paraId="599D3DFE">
            <w:pPr>
              <w:widowControl/>
              <w:jc w:val="center"/>
              <w:rPr>
                <w:color w:val="000000"/>
                <w:kern w:val="0"/>
                <w:sz w:val="20"/>
                <w:szCs w:val="20"/>
              </w:rPr>
            </w:pPr>
          </w:p>
        </w:tc>
      </w:tr>
      <w:tr w14:paraId="7906744D">
        <w:tc>
          <w:tcPr>
            <w:tcW w:w="6803" w:type="dxa"/>
            <w:vAlign w:val="center"/>
          </w:tcPr>
          <w:p w14:paraId="6A2D29FD">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XQ422:</w:t>
            </w:r>
            <w:r>
              <w:rPr>
                <w:rFonts w:hint="eastAsia" w:ascii="楷体_GB2312" w:hAnsi="楷体" w:eastAsia="楷体_GB2312"/>
                <w:bCs/>
                <w:sz w:val="24"/>
              </w:rPr>
              <w:t>把握学前教育改革发展趋势和前沿动态</w:t>
            </w:r>
          </w:p>
        </w:tc>
        <w:tc>
          <w:tcPr>
            <w:tcW w:w="1243" w:type="dxa"/>
            <w:vAlign w:val="center"/>
          </w:tcPr>
          <w:p w14:paraId="33C80DA9">
            <w:pPr>
              <w:widowControl/>
              <w:jc w:val="center"/>
              <w:rPr>
                <w:color w:val="000000"/>
                <w:kern w:val="0"/>
                <w:sz w:val="20"/>
                <w:szCs w:val="20"/>
              </w:rPr>
            </w:pPr>
            <w:r>
              <w:rPr>
                <w:color w:val="000000"/>
                <w:kern w:val="0"/>
                <w:sz w:val="20"/>
                <w:szCs w:val="20"/>
              </w:rPr>
              <w:sym w:font="Wingdings 2" w:char="F098"/>
            </w:r>
          </w:p>
        </w:tc>
      </w:tr>
      <w:tr w14:paraId="575AA983">
        <w:tc>
          <w:tcPr>
            <w:tcW w:w="6803" w:type="dxa"/>
            <w:vAlign w:val="center"/>
          </w:tcPr>
          <w:p w14:paraId="1A37130B">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XQ423:</w:t>
            </w:r>
            <w:r>
              <w:rPr>
                <w:rFonts w:hint="eastAsia" w:ascii="楷体_GB2312" w:hAnsi="楷体" w:eastAsia="楷体_GB2312"/>
                <w:bCs/>
                <w:sz w:val="24"/>
              </w:rPr>
              <w:t>有分析和借鉴国际教育理念与实践的能力</w:t>
            </w:r>
          </w:p>
        </w:tc>
        <w:tc>
          <w:tcPr>
            <w:tcW w:w="1243" w:type="dxa"/>
            <w:vAlign w:val="center"/>
          </w:tcPr>
          <w:p w14:paraId="58D3FC28">
            <w:pPr>
              <w:widowControl/>
              <w:jc w:val="center"/>
              <w:rPr>
                <w:color w:val="000000"/>
                <w:kern w:val="0"/>
                <w:sz w:val="20"/>
                <w:szCs w:val="20"/>
              </w:rPr>
            </w:pPr>
          </w:p>
        </w:tc>
      </w:tr>
      <w:tr w14:paraId="7DD35C18">
        <w:tc>
          <w:tcPr>
            <w:tcW w:w="6803" w:type="dxa"/>
            <w:vAlign w:val="center"/>
          </w:tcPr>
          <w:p w14:paraId="70FFD334">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XQ431:</w:t>
            </w:r>
            <w:r>
              <w:rPr>
                <w:rFonts w:hint="eastAsia" w:ascii="楷体_GB2312" w:hAnsi="楷体" w:eastAsia="楷体_GB2312"/>
                <w:bCs/>
                <w:sz w:val="24"/>
              </w:rPr>
              <w:t>具有团队协作精神，认同学习共同体的价值</w:t>
            </w:r>
          </w:p>
        </w:tc>
        <w:tc>
          <w:tcPr>
            <w:tcW w:w="1243" w:type="dxa"/>
            <w:vAlign w:val="center"/>
          </w:tcPr>
          <w:p w14:paraId="44A14E93">
            <w:pPr>
              <w:widowControl/>
              <w:jc w:val="center"/>
              <w:rPr>
                <w:color w:val="000000"/>
                <w:kern w:val="0"/>
                <w:sz w:val="20"/>
                <w:szCs w:val="20"/>
              </w:rPr>
            </w:pPr>
            <w:r>
              <w:rPr>
                <w:color w:val="000000"/>
                <w:kern w:val="0"/>
                <w:sz w:val="20"/>
                <w:szCs w:val="20"/>
              </w:rPr>
              <w:sym w:font="Wingdings 2" w:char="F098"/>
            </w:r>
          </w:p>
        </w:tc>
      </w:tr>
      <w:tr w14:paraId="32FED3F7">
        <w:tc>
          <w:tcPr>
            <w:tcW w:w="6803" w:type="dxa"/>
            <w:vAlign w:val="center"/>
          </w:tcPr>
          <w:p w14:paraId="6A18D7B2">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XQ432:</w:t>
            </w:r>
            <w:r>
              <w:rPr>
                <w:rFonts w:hint="eastAsia" w:ascii="楷体_GB2312" w:hAnsi="楷体" w:eastAsia="楷体_GB2312"/>
                <w:bCs/>
                <w:sz w:val="24"/>
              </w:rPr>
              <w:t>掌握沟通合作的技能</w:t>
            </w:r>
          </w:p>
        </w:tc>
        <w:tc>
          <w:tcPr>
            <w:tcW w:w="1243" w:type="dxa"/>
            <w:vAlign w:val="center"/>
          </w:tcPr>
          <w:p w14:paraId="572326E1">
            <w:pPr>
              <w:widowControl/>
              <w:jc w:val="center"/>
              <w:rPr>
                <w:color w:val="000000"/>
                <w:kern w:val="0"/>
                <w:sz w:val="20"/>
                <w:szCs w:val="20"/>
              </w:rPr>
            </w:pPr>
          </w:p>
        </w:tc>
      </w:tr>
      <w:tr w14:paraId="45502F64">
        <w:tc>
          <w:tcPr>
            <w:tcW w:w="6803" w:type="dxa"/>
            <w:vAlign w:val="center"/>
          </w:tcPr>
          <w:p w14:paraId="7FAA817C">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XQ433:</w:t>
            </w:r>
            <w:r>
              <w:rPr>
                <w:rFonts w:hint="eastAsia" w:ascii="楷体_GB2312" w:hAnsi="楷体" w:eastAsia="楷体_GB2312"/>
                <w:bCs/>
                <w:sz w:val="24"/>
              </w:rPr>
              <w:t>有参与、组织专业团队开展合作学习的意识和能力</w:t>
            </w:r>
          </w:p>
        </w:tc>
        <w:tc>
          <w:tcPr>
            <w:tcW w:w="1243" w:type="dxa"/>
            <w:vAlign w:val="center"/>
          </w:tcPr>
          <w:p w14:paraId="5037080B">
            <w:pPr>
              <w:widowControl/>
              <w:jc w:val="center"/>
              <w:rPr>
                <w:color w:val="000000"/>
                <w:kern w:val="0"/>
                <w:sz w:val="20"/>
                <w:szCs w:val="20"/>
              </w:rPr>
            </w:pPr>
            <w:r>
              <w:rPr>
                <w:color w:val="000000"/>
                <w:kern w:val="0"/>
                <w:sz w:val="20"/>
                <w:szCs w:val="20"/>
              </w:rPr>
              <w:sym w:font="Wingdings 2" w:char="F098"/>
            </w:r>
          </w:p>
        </w:tc>
      </w:tr>
    </w:tbl>
    <w:p w14:paraId="24B238C3">
      <w:pPr>
        <w:widowControl/>
        <w:spacing w:before="156" w:beforeLines="50" w:after="156" w:afterLines="50" w:line="288" w:lineRule="auto"/>
        <w:jc w:val="left"/>
        <w:rPr>
          <w:rFonts w:ascii="黑体" w:hAnsi="宋体" w:eastAsia="黑体"/>
          <w:sz w:val="24"/>
        </w:rPr>
      </w:pPr>
    </w:p>
    <w:p w14:paraId="38D719B6">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14:paraId="6885D548">
        <w:tc>
          <w:tcPr>
            <w:tcW w:w="535" w:type="dxa"/>
            <w:shd w:val="clear" w:color="auto" w:fill="auto"/>
          </w:tcPr>
          <w:p w14:paraId="1FDF772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66F6E81D">
            <w:pPr>
              <w:snapToGrid w:val="0"/>
              <w:spacing w:line="288" w:lineRule="auto"/>
              <w:jc w:val="center"/>
              <w:rPr>
                <w:b/>
                <w:color w:val="000000"/>
                <w:sz w:val="20"/>
                <w:szCs w:val="20"/>
              </w:rPr>
            </w:pPr>
            <w:r>
              <w:rPr>
                <w:rFonts w:hint="eastAsia"/>
                <w:b/>
                <w:color w:val="000000"/>
                <w:sz w:val="20"/>
                <w:szCs w:val="20"/>
              </w:rPr>
              <w:t>课程预期</w:t>
            </w:r>
          </w:p>
          <w:p w14:paraId="21E9061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19867DB">
            <w:pPr>
              <w:snapToGrid w:val="0"/>
              <w:spacing w:line="288" w:lineRule="auto"/>
              <w:jc w:val="center"/>
              <w:rPr>
                <w:b/>
                <w:color w:val="000000"/>
                <w:sz w:val="20"/>
                <w:szCs w:val="20"/>
              </w:rPr>
            </w:pPr>
            <w:r>
              <w:rPr>
                <w:rFonts w:hint="eastAsia"/>
                <w:b/>
                <w:color w:val="000000"/>
                <w:sz w:val="20"/>
                <w:szCs w:val="20"/>
              </w:rPr>
              <w:t>课程目标</w:t>
            </w:r>
          </w:p>
          <w:p w14:paraId="36D564B7">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4FC0D043">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14:paraId="5E70D676">
            <w:pPr>
              <w:snapToGrid w:val="0"/>
              <w:spacing w:line="288" w:lineRule="auto"/>
              <w:jc w:val="center"/>
              <w:rPr>
                <w:b/>
                <w:color w:val="000000"/>
                <w:sz w:val="20"/>
                <w:szCs w:val="20"/>
              </w:rPr>
            </w:pPr>
            <w:r>
              <w:rPr>
                <w:rFonts w:hint="eastAsia"/>
                <w:b/>
                <w:color w:val="000000"/>
                <w:sz w:val="20"/>
                <w:szCs w:val="20"/>
              </w:rPr>
              <w:t>评价方式</w:t>
            </w:r>
          </w:p>
        </w:tc>
      </w:tr>
      <w:tr w14:paraId="6AF07F83">
        <w:tc>
          <w:tcPr>
            <w:tcW w:w="535" w:type="dxa"/>
            <w:shd w:val="clear" w:color="auto" w:fill="auto"/>
          </w:tcPr>
          <w:p w14:paraId="5892BBAA">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14:paraId="508343B4">
            <w:pPr>
              <w:snapToGrid w:val="0"/>
              <w:spacing w:line="288" w:lineRule="auto"/>
              <w:jc w:val="center"/>
              <w:rPr>
                <w:color w:val="000000"/>
                <w:sz w:val="20"/>
                <w:szCs w:val="20"/>
              </w:rPr>
            </w:pPr>
            <w:r>
              <w:rPr>
                <w:color w:val="000000"/>
                <w:sz w:val="20"/>
                <w:szCs w:val="20"/>
              </w:rPr>
              <w:t xml:space="preserve">XQ122 </w:t>
            </w:r>
          </w:p>
        </w:tc>
        <w:tc>
          <w:tcPr>
            <w:tcW w:w="2470" w:type="dxa"/>
            <w:shd w:val="clear" w:color="auto" w:fill="auto"/>
            <w:vAlign w:val="center"/>
          </w:tcPr>
          <w:p w14:paraId="33DEF6F9">
            <w:pPr>
              <w:snapToGrid w:val="0"/>
              <w:spacing w:line="288" w:lineRule="auto"/>
              <w:jc w:val="center"/>
              <w:rPr>
                <w:color w:val="000000"/>
                <w:sz w:val="20"/>
                <w:szCs w:val="20"/>
              </w:rPr>
            </w:pPr>
            <w:r>
              <w:rPr>
                <w:rFonts w:hint="eastAsia"/>
                <w:color w:val="000000"/>
                <w:sz w:val="20"/>
                <w:szCs w:val="20"/>
              </w:rPr>
              <w:t>能够应用书面或口头形式，阐述少儿歌曲鉴赏对学生综合素质培养及提升所产生的意义。</w:t>
            </w:r>
          </w:p>
        </w:tc>
        <w:tc>
          <w:tcPr>
            <w:tcW w:w="2199" w:type="dxa"/>
            <w:shd w:val="clear" w:color="auto" w:fill="auto"/>
            <w:vAlign w:val="center"/>
          </w:tcPr>
          <w:p w14:paraId="3A63936A">
            <w:pPr>
              <w:rPr>
                <w:color w:val="000000"/>
                <w:sz w:val="20"/>
                <w:szCs w:val="20"/>
              </w:rPr>
            </w:pPr>
            <w:r>
              <w:rPr>
                <w:rFonts w:hint="eastAsia"/>
                <w:color w:val="000000"/>
                <w:sz w:val="20"/>
                <w:szCs w:val="20"/>
              </w:rPr>
              <w:t>课堂运用答问及翻转课堂的方式让学生对课程的内容进行分析及演唱。</w:t>
            </w:r>
          </w:p>
        </w:tc>
        <w:tc>
          <w:tcPr>
            <w:tcW w:w="1526" w:type="dxa"/>
            <w:shd w:val="clear" w:color="auto" w:fill="auto"/>
            <w:vAlign w:val="center"/>
          </w:tcPr>
          <w:p w14:paraId="34A92055">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14:paraId="51E48530">
        <w:tc>
          <w:tcPr>
            <w:tcW w:w="535" w:type="dxa"/>
            <w:shd w:val="clear" w:color="auto" w:fill="auto"/>
          </w:tcPr>
          <w:p w14:paraId="0C88C757">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14:paraId="0C03590D">
            <w:pPr>
              <w:snapToGrid w:val="0"/>
              <w:spacing w:line="288" w:lineRule="auto"/>
              <w:jc w:val="center"/>
              <w:rPr>
                <w:color w:val="000000"/>
                <w:sz w:val="20"/>
                <w:szCs w:val="20"/>
              </w:rPr>
            </w:pPr>
            <w:r>
              <w:rPr>
                <w:color w:val="000000"/>
                <w:sz w:val="20"/>
                <w:szCs w:val="20"/>
              </w:rPr>
              <w:t>XQ</w:t>
            </w:r>
            <w:r>
              <w:rPr>
                <w:rFonts w:hint="eastAsia"/>
                <w:color w:val="000000"/>
                <w:sz w:val="20"/>
                <w:szCs w:val="20"/>
              </w:rPr>
              <w:t>1</w:t>
            </w:r>
            <w:r>
              <w:rPr>
                <w:color w:val="000000"/>
                <w:sz w:val="20"/>
                <w:szCs w:val="20"/>
              </w:rPr>
              <w:t>23</w:t>
            </w:r>
          </w:p>
        </w:tc>
        <w:tc>
          <w:tcPr>
            <w:tcW w:w="2470" w:type="dxa"/>
            <w:shd w:val="clear" w:color="auto" w:fill="auto"/>
            <w:vAlign w:val="center"/>
          </w:tcPr>
          <w:p w14:paraId="7EB17498">
            <w:pPr>
              <w:rPr>
                <w:color w:val="000000"/>
                <w:sz w:val="20"/>
                <w:szCs w:val="20"/>
              </w:rPr>
            </w:pPr>
            <w:r>
              <w:rPr>
                <w:rFonts w:hint="eastAsia"/>
                <w:color w:val="000000"/>
                <w:sz w:val="20"/>
                <w:szCs w:val="20"/>
              </w:rPr>
              <w:t xml:space="preserve"> 能够解释并应用教师所提出的重难点，对幼儿歌曲进行分析及演唱。</w:t>
            </w:r>
          </w:p>
        </w:tc>
        <w:tc>
          <w:tcPr>
            <w:tcW w:w="2199" w:type="dxa"/>
            <w:shd w:val="clear" w:color="auto" w:fill="auto"/>
            <w:vAlign w:val="center"/>
          </w:tcPr>
          <w:p w14:paraId="0E7F9955">
            <w:pPr>
              <w:rPr>
                <w:color w:val="000000"/>
                <w:sz w:val="20"/>
                <w:szCs w:val="20"/>
              </w:rPr>
            </w:pPr>
            <w:r>
              <w:rPr>
                <w:rFonts w:hint="eastAsia"/>
                <w:color w:val="000000"/>
                <w:sz w:val="20"/>
                <w:szCs w:val="20"/>
              </w:rPr>
              <w:t>课堂采用小组模式，让学生沟通交流或用网络平台分享欣赏感受。</w:t>
            </w:r>
          </w:p>
        </w:tc>
        <w:tc>
          <w:tcPr>
            <w:tcW w:w="1526" w:type="dxa"/>
            <w:shd w:val="clear" w:color="auto" w:fill="auto"/>
            <w:vAlign w:val="center"/>
          </w:tcPr>
          <w:p w14:paraId="466BD754">
            <w:pPr>
              <w:rPr>
                <w:color w:val="000000"/>
                <w:sz w:val="20"/>
                <w:szCs w:val="20"/>
              </w:rPr>
            </w:pPr>
            <w:r>
              <w:rPr>
                <w:rFonts w:hint="eastAsia"/>
                <w:color w:val="000000"/>
                <w:sz w:val="20"/>
                <w:szCs w:val="20"/>
              </w:rPr>
              <w:t>课堂小组答疑情况评分。</w:t>
            </w:r>
          </w:p>
        </w:tc>
      </w:tr>
      <w:tr w14:paraId="5C5029BE">
        <w:tc>
          <w:tcPr>
            <w:tcW w:w="535" w:type="dxa"/>
            <w:shd w:val="clear" w:color="auto" w:fill="auto"/>
          </w:tcPr>
          <w:p w14:paraId="618FF380">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14:paraId="64ACCB47">
            <w:pPr>
              <w:snapToGrid w:val="0"/>
              <w:spacing w:line="288" w:lineRule="auto"/>
              <w:jc w:val="center"/>
              <w:rPr>
                <w:color w:val="000000"/>
                <w:sz w:val="20"/>
                <w:szCs w:val="20"/>
              </w:rPr>
            </w:pPr>
            <w:r>
              <w:rPr>
                <w:color w:val="000000"/>
                <w:sz w:val="20"/>
                <w:szCs w:val="20"/>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14:paraId="0CFF0F14">
            <w:pPr>
              <w:widowControl/>
              <w:rPr>
                <w:color w:val="000000"/>
                <w:sz w:val="20"/>
                <w:szCs w:val="20"/>
              </w:rPr>
            </w:pPr>
            <w:r>
              <w:rPr>
                <w:rFonts w:hint="eastAsia"/>
                <w:color w:val="000000"/>
                <w:sz w:val="20"/>
                <w:szCs w:val="20"/>
              </w:rPr>
              <w:t xml:space="preserve"> 将艺术知识合理应用于幼儿园综合活动中。 </w:t>
            </w:r>
            <w:r>
              <w:rPr>
                <w:color w:val="000000"/>
                <w:sz w:val="20"/>
                <w:szCs w:val="20"/>
              </w:rPr>
              <w:t xml:space="preserve"> </w:t>
            </w:r>
          </w:p>
        </w:tc>
        <w:tc>
          <w:tcPr>
            <w:tcW w:w="2199" w:type="dxa"/>
            <w:shd w:val="clear" w:color="auto" w:fill="auto"/>
            <w:vAlign w:val="center"/>
          </w:tcPr>
          <w:p w14:paraId="54D79D1E">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14:paraId="4EC06DF7">
            <w:pPr>
              <w:rPr>
                <w:color w:val="000000"/>
                <w:sz w:val="20"/>
                <w:szCs w:val="20"/>
              </w:rPr>
            </w:pPr>
            <w:r>
              <w:rPr>
                <w:rFonts w:hint="eastAsia"/>
                <w:color w:val="000000"/>
                <w:sz w:val="20"/>
                <w:szCs w:val="20"/>
              </w:rPr>
              <w:t>课堂小组展示情况评分。</w:t>
            </w:r>
          </w:p>
        </w:tc>
      </w:tr>
      <w:tr w14:paraId="1820B898">
        <w:tc>
          <w:tcPr>
            <w:tcW w:w="535" w:type="dxa"/>
            <w:shd w:val="clear" w:color="auto" w:fill="auto"/>
          </w:tcPr>
          <w:p w14:paraId="492C0AAB">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14:paraId="1CE8BB45">
            <w:pPr>
              <w:snapToGrid w:val="0"/>
              <w:spacing w:line="288" w:lineRule="auto"/>
              <w:jc w:val="center"/>
              <w:rPr>
                <w:color w:val="000000"/>
                <w:sz w:val="20"/>
                <w:szCs w:val="20"/>
              </w:rPr>
            </w:pPr>
            <w:r>
              <w:rPr>
                <w:color w:val="000000"/>
                <w:sz w:val="20"/>
                <w:szCs w:val="20"/>
              </w:rPr>
              <w:t>XQ 431</w:t>
            </w:r>
          </w:p>
        </w:tc>
        <w:tc>
          <w:tcPr>
            <w:tcW w:w="2470" w:type="dxa"/>
            <w:shd w:val="clear" w:color="auto" w:fill="auto"/>
            <w:vAlign w:val="center"/>
          </w:tcPr>
          <w:p w14:paraId="12E3936C">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14:paraId="5054DB37">
            <w:pPr>
              <w:rPr>
                <w:color w:val="000000"/>
                <w:sz w:val="20"/>
                <w:szCs w:val="20"/>
              </w:rPr>
            </w:pPr>
            <w:r>
              <w:rPr>
                <w:rFonts w:hint="eastAsia"/>
                <w:color w:val="000000"/>
                <w:sz w:val="20"/>
                <w:szCs w:val="20"/>
              </w:rPr>
              <w:t>课堂采用小组模式，让学生主动承担相应的责任。</w:t>
            </w:r>
          </w:p>
        </w:tc>
        <w:tc>
          <w:tcPr>
            <w:tcW w:w="1526" w:type="dxa"/>
            <w:shd w:val="clear" w:color="auto" w:fill="auto"/>
            <w:vAlign w:val="center"/>
          </w:tcPr>
          <w:p w14:paraId="028CA5BE">
            <w:pPr>
              <w:rPr>
                <w:color w:val="000000"/>
                <w:sz w:val="20"/>
                <w:szCs w:val="20"/>
              </w:rPr>
            </w:pPr>
            <w:r>
              <w:rPr>
                <w:rFonts w:hint="eastAsia"/>
                <w:color w:val="000000"/>
                <w:sz w:val="20"/>
                <w:szCs w:val="20"/>
              </w:rPr>
              <w:t>课堂小组展示情况评分。</w:t>
            </w:r>
          </w:p>
        </w:tc>
      </w:tr>
      <w:tr w14:paraId="2945AAB7">
        <w:trPr>
          <w:trHeight w:val="1402" w:hRule="atLeast"/>
        </w:trPr>
        <w:tc>
          <w:tcPr>
            <w:tcW w:w="535" w:type="dxa"/>
            <w:shd w:val="clear" w:color="auto" w:fill="auto"/>
          </w:tcPr>
          <w:p w14:paraId="1BC0F2F7">
            <w:pP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175" w:type="dxa"/>
            <w:shd w:val="clear" w:color="auto" w:fill="auto"/>
          </w:tcPr>
          <w:p w14:paraId="1D429DD1">
            <w:pPr>
              <w:snapToGrid w:val="0"/>
              <w:spacing w:line="288" w:lineRule="auto"/>
              <w:jc w:val="center"/>
              <w:rPr>
                <w:color w:val="000000"/>
                <w:sz w:val="20"/>
                <w:szCs w:val="20"/>
              </w:rPr>
            </w:pPr>
            <w:r>
              <w:rPr>
                <w:color w:val="000000"/>
                <w:sz w:val="20"/>
                <w:szCs w:val="20"/>
              </w:rPr>
              <w:t>XQ 433</w:t>
            </w:r>
          </w:p>
        </w:tc>
        <w:tc>
          <w:tcPr>
            <w:tcW w:w="2470" w:type="dxa"/>
            <w:shd w:val="clear" w:color="auto" w:fill="auto"/>
            <w:vAlign w:val="center"/>
          </w:tcPr>
          <w:p w14:paraId="7C43EAB3">
            <w:pPr>
              <w:widowControl/>
              <w:rPr>
                <w:sz w:val="20"/>
                <w:szCs w:val="20"/>
              </w:rPr>
            </w:pPr>
            <w:r>
              <w:rPr>
                <w:rFonts w:hint="eastAsia"/>
                <w:sz w:val="20"/>
                <w:szCs w:val="20"/>
              </w:rPr>
              <w:t>通过组织及策划专业汇演提高学生的团队合作学习的意识和能力。</w:t>
            </w:r>
          </w:p>
          <w:p w14:paraId="4F5841B2">
            <w:pPr>
              <w:widowControl/>
              <w:rPr>
                <w:sz w:val="20"/>
                <w:szCs w:val="20"/>
              </w:rPr>
            </w:pPr>
          </w:p>
        </w:tc>
        <w:tc>
          <w:tcPr>
            <w:tcW w:w="2199" w:type="dxa"/>
            <w:shd w:val="clear" w:color="auto" w:fill="auto"/>
            <w:vAlign w:val="center"/>
          </w:tcPr>
          <w:p w14:paraId="290784DF">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14:paraId="7A2BDFD3">
            <w:pPr>
              <w:rPr>
                <w:color w:val="000000"/>
                <w:sz w:val="20"/>
                <w:szCs w:val="20"/>
              </w:rPr>
            </w:pPr>
            <w:r>
              <w:rPr>
                <w:rFonts w:hint="eastAsia"/>
                <w:color w:val="000000"/>
                <w:sz w:val="20"/>
                <w:szCs w:val="20"/>
              </w:rPr>
              <w:t>展示情况评分。</w:t>
            </w:r>
          </w:p>
        </w:tc>
      </w:tr>
    </w:tbl>
    <w:p w14:paraId="64E80881">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5"/>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14:paraId="651A7717">
        <w:trPr>
          <w:jc w:val="center"/>
        </w:trPr>
        <w:tc>
          <w:tcPr>
            <w:tcW w:w="1304" w:type="dxa"/>
            <w:vAlign w:val="center"/>
          </w:tcPr>
          <w:p w14:paraId="06C262CA">
            <w:pPr>
              <w:jc w:val="center"/>
              <w:rPr>
                <w:rFonts w:asciiTheme="minorEastAsia" w:hAnsiTheme="minorEastAsia" w:eastAsiaTheme="minorEastAsia"/>
                <w:b/>
                <w:szCs w:val="21"/>
              </w:rPr>
            </w:pPr>
            <w:bookmarkStart w:id="1" w:name="_Hlk16325263"/>
            <w:r>
              <w:rPr>
                <w:rFonts w:hint="eastAsia" w:asciiTheme="minorEastAsia" w:hAnsiTheme="minorEastAsia" w:eastAsiaTheme="minorEastAsia"/>
                <w:b/>
                <w:szCs w:val="21"/>
              </w:rPr>
              <w:t>单元</w:t>
            </w:r>
          </w:p>
        </w:tc>
        <w:tc>
          <w:tcPr>
            <w:tcW w:w="2199" w:type="dxa"/>
            <w:vAlign w:val="center"/>
          </w:tcPr>
          <w:p w14:paraId="1BA0E5D3">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14:paraId="39A3551F">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14:paraId="4D1D4729">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14:paraId="1BD613D0">
        <w:trPr>
          <w:trHeight w:val="557" w:hRule="atLeast"/>
          <w:jc w:val="center"/>
        </w:trPr>
        <w:tc>
          <w:tcPr>
            <w:tcW w:w="1304" w:type="dxa"/>
            <w:vAlign w:val="center"/>
          </w:tcPr>
          <w:p w14:paraId="54FE9013">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一．</w:t>
            </w:r>
          </w:p>
          <w:p w14:paraId="5332C5A4">
            <w:pPr>
              <w:widowControl/>
              <w:rPr>
                <w:rFonts w:asciiTheme="minorEastAsia" w:hAnsiTheme="minorEastAsia"/>
                <w:b/>
                <w:szCs w:val="21"/>
              </w:rPr>
            </w:pPr>
            <w:r>
              <w:rPr>
                <w:rFonts w:hint="eastAsia" w:ascii="宋体" w:hAnsi="宋体" w:cs="Arial"/>
                <w:kern w:val="0"/>
                <w:sz w:val="18"/>
                <w:szCs w:val="18"/>
                <w:lang w:val="en-US" w:eastAsia="zh-CN"/>
              </w:rPr>
              <w:t>幼儿园小班</w:t>
            </w:r>
            <w:r>
              <w:rPr>
                <w:rFonts w:hint="eastAsia" w:ascii="宋体" w:hAnsi="宋体" w:cs="Arial"/>
                <w:kern w:val="0"/>
                <w:sz w:val="18"/>
                <w:szCs w:val="18"/>
              </w:rPr>
              <w:t>歌曲赏析与演唱</w:t>
            </w:r>
          </w:p>
        </w:tc>
        <w:tc>
          <w:tcPr>
            <w:tcW w:w="2199" w:type="dxa"/>
            <w:vAlign w:val="center"/>
          </w:tcPr>
          <w:p w14:paraId="170D2479">
            <w:pPr>
              <w:adjustRightInd w:val="0"/>
              <w:snapToGrid w:val="0"/>
              <w:ind w:left="-50" w:right="-50"/>
              <w:rPr>
                <w:rFonts w:asciiTheme="minorEastAsia" w:hAnsiTheme="minorEastAsia" w:eastAsiaTheme="minorEastAsia"/>
                <w:color w:val="000000"/>
                <w:sz w:val="20"/>
                <w:szCs w:val="20"/>
              </w:rPr>
            </w:pPr>
            <w:r>
              <w:rPr>
                <w:rFonts w:hint="eastAsia" w:ascii="宋体" w:hAnsi="宋体" w:cs="Arial"/>
                <w:kern w:val="0"/>
                <w:sz w:val="18"/>
                <w:szCs w:val="18"/>
                <w:lang w:val="en-US" w:eastAsia="zh-CN"/>
              </w:rPr>
              <w:t>《大猫小猫》《小鸡抓虫》《鳄鱼与猴子》《小蝌蚪找妈妈》《艾玛捉迷藏》《会跳舞的跳跳糖》《小老鼠的探险日记》《两只小小鸭》《我们在一起》等少儿歌曲进行讲解及鉴赏</w:t>
            </w:r>
          </w:p>
        </w:tc>
        <w:tc>
          <w:tcPr>
            <w:tcW w:w="2381" w:type="dxa"/>
            <w:vAlign w:val="center"/>
          </w:tcPr>
          <w:p w14:paraId="27F4C504">
            <w:pPr>
              <w:widowControl/>
              <w:rPr>
                <w:rFonts w:ascii="宋体" w:hAnsi="宋体" w:cs="Arial"/>
                <w:kern w:val="0"/>
                <w:sz w:val="18"/>
                <w:szCs w:val="18"/>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 xml:space="preserve"> </w:t>
            </w:r>
            <w:r>
              <w:rPr>
                <w:rFonts w:hint="eastAsia" w:ascii="宋体" w:hAnsi="宋体" w:cs="Arial" w:eastAsiaTheme="minorEastAsia"/>
                <w:kern w:val="0"/>
                <w:sz w:val="18"/>
                <w:szCs w:val="18"/>
                <w:lang w:val="en-US" w:eastAsia="zh-CN"/>
              </w:rPr>
              <w:t>幼儿园小班歌曲</w:t>
            </w:r>
            <w:r>
              <w:rPr>
                <w:rFonts w:hint="eastAsia" w:ascii="宋体" w:hAnsi="宋体" w:cs="Arial"/>
                <w:kern w:val="0"/>
                <w:sz w:val="18"/>
                <w:szCs w:val="18"/>
              </w:rPr>
              <w:t>音乐欣赏。</w:t>
            </w:r>
          </w:p>
          <w:p w14:paraId="47783B43">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2．能分析歌词和音乐，熟悉演唱2-3首歌曲。</w:t>
            </w:r>
          </w:p>
        </w:tc>
        <w:tc>
          <w:tcPr>
            <w:tcW w:w="2194" w:type="dxa"/>
            <w:vAlign w:val="center"/>
          </w:tcPr>
          <w:p w14:paraId="765D31ED">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1.歌词的分析与理解。</w:t>
            </w:r>
          </w:p>
          <w:p w14:paraId="685D5DA3">
            <w:pPr>
              <w:rPr>
                <w:rFonts w:asciiTheme="minorEastAsia" w:hAnsiTheme="minorEastAsia" w:eastAsiaTheme="minorEastAsia"/>
                <w:bCs/>
                <w:sz w:val="20"/>
                <w:szCs w:val="20"/>
              </w:rPr>
            </w:pPr>
            <w:r>
              <w:rPr>
                <w:rFonts w:hint="eastAsia" w:asciiTheme="minorEastAsia" w:hAnsiTheme="minorEastAsia" w:eastAsiaTheme="minorEastAsia"/>
                <w:color w:val="000000"/>
                <w:sz w:val="20"/>
                <w:szCs w:val="20"/>
              </w:rPr>
              <w:t>2.对二度创作的理解和驾驭能力。</w:t>
            </w:r>
          </w:p>
        </w:tc>
      </w:tr>
      <w:tr w14:paraId="4C462B75">
        <w:trPr>
          <w:trHeight w:val="1593" w:hRule="atLeast"/>
          <w:jc w:val="center"/>
        </w:trPr>
        <w:tc>
          <w:tcPr>
            <w:tcW w:w="1304" w:type="dxa"/>
            <w:vAlign w:val="center"/>
          </w:tcPr>
          <w:p w14:paraId="4F5F7A7F">
            <w:pPr>
              <w:jc w:val="left"/>
              <w:rPr>
                <w:color w:val="000000"/>
              </w:rPr>
            </w:pPr>
            <w:r>
              <w:rPr>
                <w:rFonts w:hint="eastAsia"/>
                <w:color w:val="000000"/>
              </w:rPr>
              <w:t xml:space="preserve">二． </w:t>
            </w:r>
          </w:p>
          <w:p w14:paraId="448546AF">
            <w:pPr>
              <w:widowControl/>
              <w:jc w:val="left"/>
              <w:rPr>
                <w:rFonts w:ascii="宋体" w:hAnsi="宋体" w:cs="Arial"/>
                <w:kern w:val="0"/>
                <w:sz w:val="18"/>
                <w:szCs w:val="18"/>
              </w:rPr>
            </w:pPr>
            <w:r>
              <w:rPr>
                <w:rFonts w:hint="eastAsia" w:ascii="宋体" w:hAnsi="宋体" w:cs="Arial"/>
                <w:kern w:val="0"/>
                <w:sz w:val="18"/>
                <w:szCs w:val="18"/>
                <w:lang w:val="en-US" w:eastAsia="zh-CN"/>
              </w:rPr>
              <w:t>幼儿园中班</w:t>
            </w:r>
            <w:r>
              <w:rPr>
                <w:rFonts w:hint="eastAsia" w:ascii="宋体" w:hAnsi="宋体" w:cs="Arial"/>
                <w:kern w:val="0"/>
                <w:sz w:val="18"/>
                <w:szCs w:val="18"/>
              </w:rPr>
              <w:t>歌曲赏析与演唱</w:t>
            </w:r>
          </w:p>
          <w:p w14:paraId="3432DE57">
            <w:pPr>
              <w:jc w:val="left"/>
              <w:rPr>
                <w:color w:val="000000"/>
              </w:rPr>
            </w:pPr>
          </w:p>
        </w:tc>
        <w:tc>
          <w:tcPr>
            <w:tcW w:w="2199" w:type="dxa"/>
            <w:vAlign w:val="center"/>
          </w:tcPr>
          <w:p w14:paraId="67E60783">
            <w:pPr>
              <w:ind w:right="-50"/>
              <w:rPr>
                <w:rFonts w:asciiTheme="minorEastAsia" w:hAnsiTheme="minorEastAsia" w:eastAsiaTheme="minorEastAsia"/>
                <w:color w:val="000000"/>
                <w:sz w:val="20"/>
                <w:szCs w:val="20"/>
              </w:rPr>
            </w:pPr>
            <w:r>
              <w:rPr>
                <w:rFonts w:hint="eastAsia" w:ascii="宋体" w:hAnsi="宋体" w:cs="Arial"/>
                <w:kern w:val="0"/>
                <w:sz w:val="18"/>
                <w:szCs w:val="18"/>
                <w:lang w:val="en-US" w:eastAsia="zh-CN"/>
              </w:rPr>
              <w:t>《大巨人小矮人》《金孔雀轻轻跳》《幸福拍手歌》《火车开啦》《四季歌》《快乐的农场》《鼓上的小米粒》《表情歌》等少儿歌曲进行讲解及鉴赏</w:t>
            </w:r>
          </w:p>
        </w:tc>
        <w:tc>
          <w:tcPr>
            <w:tcW w:w="2381" w:type="dxa"/>
            <w:vAlign w:val="center"/>
          </w:tcPr>
          <w:p w14:paraId="5959BB4C">
            <w:pPr>
              <w:ind w:right="-50"/>
              <w:rPr>
                <w:rFonts w:ascii="宋体" w:hAnsi="宋体" w:cs="Arial"/>
                <w:kern w:val="0"/>
                <w:sz w:val="18"/>
                <w:szCs w:val="18"/>
              </w:rPr>
            </w:pPr>
            <w:r>
              <w:rPr>
                <w:rFonts w:hint="eastAsia" w:asciiTheme="minorEastAsia" w:hAnsiTheme="minorEastAsia" w:eastAsiaTheme="minorEastAsia"/>
                <w:color w:val="000000"/>
                <w:sz w:val="20"/>
                <w:szCs w:val="20"/>
              </w:rPr>
              <w:t>1.能</w:t>
            </w:r>
            <w:r>
              <w:rPr>
                <w:rFonts w:hint="eastAsia" w:ascii="宋体" w:hAnsi="宋体" w:cs="Arial" w:eastAsiaTheme="minorEastAsia"/>
                <w:kern w:val="0"/>
                <w:sz w:val="18"/>
                <w:szCs w:val="18"/>
                <w:lang w:val="en-US" w:eastAsia="zh-CN"/>
              </w:rPr>
              <w:t>将音乐融入到游戏中，形成音乐游戏化课程的雏形</w:t>
            </w:r>
            <w:r>
              <w:rPr>
                <w:rFonts w:hint="eastAsia" w:ascii="宋体" w:hAnsi="宋体" w:cs="Arial"/>
                <w:kern w:val="0"/>
                <w:sz w:val="18"/>
                <w:szCs w:val="18"/>
              </w:rPr>
              <w:t>。</w:t>
            </w:r>
          </w:p>
          <w:p w14:paraId="7A8F85D5">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 能了解歌曲创作背景和音乐特点，并熟悉演唱2-3首少儿歌曲。</w:t>
            </w:r>
          </w:p>
        </w:tc>
        <w:tc>
          <w:tcPr>
            <w:tcW w:w="2194" w:type="dxa"/>
            <w:vAlign w:val="center"/>
          </w:tcPr>
          <w:p w14:paraId="65263AB6">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1.歌曲创作背景和音乐特点。</w:t>
            </w:r>
          </w:p>
          <w:p w14:paraId="1F334CE6">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2.对二度创作的理解和驾驭能力。</w:t>
            </w:r>
          </w:p>
        </w:tc>
      </w:tr>
      <w:tr w14:paraId="6C7AD43A">
        <w:trPr>
          <w:trHeight w:val="1833" w:hRule="atLeast"/>
          <w:jc w:val="center"/>
        </w:trPr>
        <w:tc>
          <w:tcPr>
            <w:tcW w:w="1304" w:type="dxa"/>
            <w:vAlign w:val="center"/>
          </w:tcPr>
          <w:p w14:paraId="0782977F">
            <w:pPr>
              <w:jc w:val="left"/>
              <w:rPr>
                <w:color w:val="000000"/>
              </w:rPr>
            </w:pPr>
            <w:r>
              <w:rPr>
                <w:rFonts w:hint="eastAsia"/>
                <w:color w:val="000000"/>
              </w:rPr>
              <w:t>三．</w:t>
            </w:r>
          </w:p>
          <w:p w14:paraId="172B8B8F">
            <w:pPr>
              <w:jc w:val="left"/>
              <w:rPr>
                <w:color w:val="000000"/>
              </w:rPr>
            </w:pPr>
            <w:r>
              <w:rPr>
                <w:rFonts w:hint="eastAsia" w:ascii="宋体" w:hAnsi="宋体" w:cs="Arial"/>
                <w:kern w:val="0"/>
                <w:sz w:val="18"/>
                <w:szCs w:val="18"/>
                <w:lang w:val="en-US" w:eastAsia="zh-CN"/>
              </w:rPr>
              <w:t>幼儿园大班</w:t>
            </w:r>
            <w:r>
              <w:rPr>
                <w:rFonts w:hint="eastAsia" w:ascii="宋体" w:hAnsi="宋体" w:cs="Arial"/>
                <w:kern w:val="0"/>
                <w:sz w:val="18"/>
                <w:szCs w:val="18"/>
              </w:rPr>
              <w:t>歌曲赏析与演唱</w:t>
            </w:r>
          </w:p>
        </w:tc>
        <w:tc>
          <w:tcPr>
            <w:tcW w:w="2199" w:type="dxa"/>
            <w:vAlign w:val="center"/>
          </w:tcPr>
          <w:p w14:paraId="435D8881">
            <w:pPr>
              <w:rPr>
                <w:rFonts w:asciiTheme="minorEastAsia" w:hAnsiTheme="minorEastAsia" w:eastAsiaTheme="minorEastAsia"/>
                <w:color w:val="000000"/>
                <w:sz w:val="20"/>
                <w:szCs w:val="20"/>
              </w:rPr>
            </w:pPr>
            <w:r>
              <w:rPr>
                <w:rFonts w:hint="eastAsia" w:ascii="宋体" w:hAnsi="宋体" w:cs="Arial"/>
                <w:kern w:val="0"/>
                <w:sz w:val="18"/>
                <w:szCs w:val="18"/>
                <w:lang w:val="en-US" w:eastAsia="zh-CN"/>
              </w:rPr>
              <w:t>《</w:t>
            </w:r>
            <w:r>
              <w:rPr>
                <w:rFonts w:hint="eastAsia" w:ascii="宋体" w:hAnsi="宋体" w:cs="Arial"/>
                <w:kern w:val="0"/>
                <w:sz w:val="18"/>
                <w:szCs w:val="18"/>
              </w:rPr>
              <w:t>捉泥鳅</w:t>
            </w:r>
            <w:r>
              <w:rPr>
                <w:rFonts w:hint="eastAsia" w:ascii="宋体" w:hAnsi="宋体" w:cs="Arial"/>
                <w:kern w:val="0"/>
                <w:sz w:val="18"/>
                <w:szCs w:val="18"/>
                <w:lang w:val="en-US" w:eastAsia="zh-CN"/>
              </w:rPr>
              <w:t>》《田纳西摇摆》《粗心的小画家》《夏天的雷雨》《建筑工人》《春天在哪里》《老巫婆的汤》《兔子跳跳跳》《小红帽》等少儿歌曲进行讲解及鉴赏</w:t>
            </w:r>
          </w:p>
          <w:p w14:paraId="0923BBDB">
            <w:pPr>
              <w:ind w:right="-50"/>
              <w:rPr>
                <w:rFonts w:asciiTheme="minorEastAsia" w:hAnsiTheme="minorEastAsia" w:eastAsiaTheme="minorEastAsia"/>
                <w:color w:val="000000"/>
                <w:sz w:val="20"/>
                <w:szCs w:val="20"/>
              </w:rPr>
            </w:pPr>
          </w:p>
        </w:tc>
        <w:tc>
          <w:tcPr>
            <w:tcW w:w="2381" w:type="dxa"/>
            <w:vAlign w:val="center"/>
          </w:tcPr>
          <w:p w14:paraId="2BFC420A">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1.能了解歌曲创作背景和音乐特点，并熟悉演唱2-3首少儿歌曲。</w:t>
            </w:r>
          </w:p>
          <w:p w14:paraId="77F8642C">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2.能从多个角度分析</w:t>
            </w:r>
            <w:r>
              <w:rPr>
                <w:rFonts w:hint="eastAsia" w:asciiTheme="minorEastAsia" w:hAnsiTheme="minorEastAsia" w:eastAsiaTheme="minorEastAsia"/>
                <w:color w:val="000000"/>
                <w:sz w:val="20"/>
                <w:szCs w:val="20"/>
                <w:lang w:val="en-US" w:eastAsia="zh-CN"/>
              </w:rPr>
              <w:t>并形成音乐活动素材</w:t>
            </w:r>
            <w:r>
              <w:rPr>
                <w:rFonts w:hint="eastAsia" w:asciiTheme="minorEastAsia" w:hAnsiTheme="minorEastAsia" w:eastAsiaTheme="minorEastAsia"/>
                <w:color w:val="000000"/>
                <w:sz w:val="20"/>
                <w:szCs w:val="20"/>
              </w:rPr>
              <w:t>。</w:t>
            </w:r>
          </w:p>
        </w:tc>
        <w:tc>
          <w:tcPr>
            <w:tcW w:w="2194" w:type="dxa"/>
            <w:vAlign w:val="center"/>
          </w:tcPr>
          <w:p w14:paraId="6FE11A44">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1.对歌曲的理解。</w:t>
            </w:r>
          </w:p>
          <w:p w14:paraId="51DDA66C">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2．鉴赏的多维度思考。</w:t>
            </w:r>
          </w:p>
        </w:tc>
      </w:tr>
      <w:bookmarkEnd w:id="1"/>
    </w:tbl>
    <w:p w14:paraId="67E43ACE">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七、课内实验名称及基本要求（选填，适用于课内实验）</w:t>
      </w:r>
    </w:p>
    <w:p w14:paraId="2ABD4321">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4E77B209">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194BAB7">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4E8C16C">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4383CA7">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81905A">
            <w:pPr>
              <w:snapToGrid w:val="0"/>
              <w:jc w:val="center"/>
              <w:rPr>
                <w:rFonts w:ascii="宋体" w:hAnsi="宋体"/>
                <w:sz w:val="20"/>
                <w:szCs w:val="20"/>
              </w:rPr>
            </w:pPr>
            <w:r>
              <w:rPr>
                <w:rFonts w:hint="eastAsia" w:ascii="宋体" w:hAnsi="宋体"/>
                <w:sz w:val="20"/>
                <w:szCs w:val="20"/>
              </w:rPr>
              <w:t>实验</w:t>
            </w:r>
          </w:p>
          <w:p w14:paraId="2531F429">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14:paraId="687DC16C">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7D27DED0">
            <w:pPr>
              <w:snapToGrid w:val="0"/>
              <w:jc w:val="center"/>
              <w:rPr>
                <w:rFonts w:ascii="宋体"/>
                <w:sz w:val="20"/>
                <w:szCs w:val="20"/>
              </w:rPr>
            </w:pPr>
            <w:r>
              <w:rPr>
                <w:rFonts w:hint="eastAsia" w:ascii="宋体" w:hAnsi="宋体"/>
                <w:sz w:val="20"/>
                <w:szCs w:val="20"/>
              </w:rPr>
              <w:t>备注</w:t>
            </w:r>
          </w:p>
        </w:tc>
      </w:tr>
      <w:tr w14:paraId="0D9B67B4">
        <w:trPr>
          <w:trHeight w:val="102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94BB335">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3574D29">
            <w:pPr>
              <w:snapToGrid w:val="0"/>
              <w:spacing w:before="156" w:beforeLines="50" w:after="156" w:afterLines="50" w:line="288" w:lineRule="auto"/>
              <w:jc w:val="center"/>
              <w:rPr>
                <w:rFonts w:ascii="宋体" w:hAnsi="宋体"/>
                <w:sz w:val="20"/>
                <w:szCs w:val="20"/>
              </w:rPr>
            </w:pPr>
            <w:r>
              <w:rPr>
                <w:rFonts w:hint="eastAsia"/>
                <w:color w:val="000000"/>
                <w:sz w:val="20"/>
                <w:szCs w:val="20"/>
              </w:rPr>
              <w:t>少儿歌曲欣赏</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34C99EA">
            <w:pPr>
              <w:rPr>
                <w:rFonts w:asciiTheme="minorEastAsia" w:hAnsiTheme="minorEastAsia" w:eastAsiaTheme="minorEastAsia"/>
                <w:sz w:val="20"/>
                <w:szCs w:val="20"/>
              </w:rPr>
            </w:pPr>
            <w:r>
              <w:rPr>
                <w:rFonts w:hint="eastAsia"/>
                <w:color w:val="000000"/>
                <w:sz w:val="20"/>
                <w:szCs w:val="20"/>
              </w:rPr>
              <w:t>欣赏</w:t>
            </w:r>
            <w:r>
              <w:rPr>
                <w:rFonts w:hint="eastAsia"/>
                <w:color w:val="000000"/>
                <w:sz w:val="20"/>
                <w:szCs w:val="20"/>
                <w:lang w:val="en-US" w:eastAsia="zh-CN"/>
              </w:rPr>
              <w:t>幼儿园各年龄阶段幼儿适宜</w:t>
            </w:r>
            <w:r>
              <w:rPr>
                <w:rFonts w:hint="eastAsia"/>
                <w:color w:val="000000"/>
                <w:sz w:val="20"/>
                <w:szCs w:val="20"/>
              </w:rPr>
              <w:t>的少儿歌曲。</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F3CA864">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7" w:type="dxa"/>
            <w:tcBorders>
              <w:left w:val="single" w:color="auto" w:sz="4" w:space="0"/>
              <w:right w:val="single" w:color="auto" w:sz="4" w:space="0"/>
            </w:tcBorders>
            <w:shd w:val="clear" w:color="auto" w:fill="auto"/>
            <w:vAlign w:val="center"/>
          </w:tcPr>
          <w:p w14:paraId="6EA62521">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14:paraId="721DD116">
            <w:pPr>
              <w:snapToGrid w:val="0"/>
              <w:spacing w:before="156" w:beforeLines="50" w:after="156" w:afterLines="50" w:line="288" w:lineRule="auto"/>
              <w:jc w:val="center"/>
              <w:rPr>
                <w:rFonts w:ascii="宋体"/>
                <w:sz w:val="16"/>
                <w:szCs w:val="16"/>
              </w:rPr>
            </w:pPr>
          </w:p>
        </w:tc>
      </w:tr>
      <w:tr w14:paraId="405DDB81">
        <w:trPr>
          <w:trHeight w:val="99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6A8257E">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B5596AB">
            <w:pPr>
              <w:snapToGrid w:val="0"/>
              <w:spacing w:before="156" w:beforeLines="50" w:after="156" w:afterLines="50" w:line="288" w:lineRule="auto"/>
              <w:jc w:val="center"/>
              <w:rPr>
                <w:rFonts w:ascii="宋体" w:hAnsi="宋体"/>
                <w:sz w:val="20"/>
                <w:szCs w:val="20"/>
              </w:rPr>
            </w:pPr>
            <w:r>
              <w:rPr>
                <w:rFonts w:hint="eastAsia"/>
                <w:color w:val="000000"/>
                <w:sz w:val="20"/>
                <w:szCs w:val="20"/>
              </w:rPr>
              <w:t>少儿歌曲演唱</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EE565A7">
            <w:pPr>
              <w:ind w:right="-50"/>
              <w:rPr>
                <w:color w:val="000000"/>
                <w:sz w:val="20"/>
                <w:szCs w:val="20"/>
              </w:rPr>
            </w:pPr>
            <w:r>
              <w:rPr>
                <w:rFonts w:hint="eastAsia"/>
                <w:color w:val="000000"/>
                <w:sz w:val="20"/>
                <w:szCs w:val="20"/>
              </w:rPr>
              <w:t>通过对歌曲的分析和理解，对歌曲进行二度创作，演唱少儿歌曲。</w:t>
            </w:r>
          </w:p>
          <w:p w14:paraId="4FD06D14">
            <w:pPr>
              <w:ind w:right="-50"/>
              <w:rPr>
                <w:rFonts w:asciiTheme="minorEastAsia" w:hAnsiTheme="minorEastAsia" w:eastAsiaTheme="minorEastAsia"/>
                <w:color w:val="000000"/>
                <w:sz w:val="20"/>
                <w:szCs w:val="20"/>
              </w:rPr>
            </w:pPr>
          </w:p>
          <w:p w14:paraId="08AF4D98">
            <w:pPr>
              <w:snapToGrid w:val="0"/>
              <w:spacing w:before="156" w:beforeLines="50" w:after="156" w:afterLines="50" w:line="288" w:lineRule="auto"/>
              <w:jc w:val="center"/>
              <w:rPr>
                <w:rFonts w:asciiTheme="minorEastAsia" w:hAnsiTheme="minorEastAsia" w:eastAsiaTheme="minor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FD721ED">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7" w:type="dxa"/>
            <w:tcBorders>
              <w:left w:val="single" w:color="auto" w:sz="4" w:space="0"/>
              <w:right w:val="single" w:color="auto" w:sz="4" w:space="0"/>
            </w:tcBorders>
            <w:shd w:val="clear" w:color="auto" w:fill="auto"/>
            <w:vAlign w:val="center"/>
          </w:tcPr>
          <w:p w14:paraId="15A22566">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14:paraId="0B1BA75D">
            <w:pPr>
              <w:snapToGrid w:val="0"/>
              <w:spacing w:before="156" w:beforeLines="50" w:after="156" w:afterLines="50" w:line="288" w:lineRule="auto"/>
              <w:jc w:val="center"/>
              <w:rPr>
                <w:rFonts w:ascii="宋体"/>
                <w:sz w:val="16"/>
                <w:szCs w:val="16"/>
              </w:rPr>
            </w:pPr>
          </w:p>
        </w:tc>
      </w:tr>
      <w:tr w14:paraId="2D7F7134">
        <w:trPr>
          <w:trHeight w:val="98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F77E5F4">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FCAF840">
            <w:pPr>
              <w:ind w:right="-50"/>
              <w:jc w:val="center"/>
              <w:rPr>
                <w:rFonts w:ascii="宋体" w:hAnsi="宋体"/>
                <w:sz w:val="20"/>
                <w:szCs w:val="20"/>
              </w:rPr>
            </w:pPr>
            <w:r>
              <w:rPr>
                <w:rFonts w:hint="eastAsia"/>
                <w:color w:val="000000"/>
                <w:sz w:val="20"/>
                <w:szCs w:val="20"/>
              </w:rPr>
              <w:t>少儿歌曲鉴赏</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94A616C">
            <w:pPr>
              <w:ind w:right="-50"/>
              <w:rPr>
                <w:color w:val="000000"/>
                <w:sz w:val="20"/>
                <w:szCs w:val="20"/>
              </w:rPr>
            </w:pPr>
            <w:r>
              <w:rPr>
                <w:rFonts w:hint="eastAsia"/>
                <w:color w:val="000000"/>
                <w:sz w:val="20"/>
                <w:szCs w:val="20"/>
              </w:rPr>
              <w:t>综合运用所学的鉴赏方法，理论与实践相结合，分析与演唱歌曲</w:t>
            </w:r>
            <w:r>
              <w:rPr>
                <w:rFonts w:hint="eastAsia"/>
                <w:color w:val="000000"/>
                <w:sz w:val="20"/>
                <w:szCs w:val="20"/>
                <w:lang w:eastAsia="zh-CN"/>
              </w:rPr>
              <w:t>，</w:t>
            </w:r>
            <w:r>
              <w:rPr>
                <w:rFonts w:hint="eastAsia"/>
                <w:color w:val="000000"/>
                <w:sz w:val="20"/>
                <w:szCs w:val="20"/>
                <w:lang w:val="en-US" w:eastAsia="zh-CN"/>
              </w:rPr>
              <w:t>将音乐与游戏相结合</w:t>
            </w:r>
            <w:r>
              <w:rPr>
                <w:rFonts w:hint="eastAsia"/>
                <w:color w:val="000000"/>
                <w:sz w:val="20"/>
                <w:szCs w:val="20"/>
              </w:rPr>
              <w:t>。</w:t>
            </w:r>
          </w:p>
          <w:p w14:paraId="65589CA3">
            <w:pPr>
              <w:snapToGrid w:val="0"/>
              <w:spacing w:before="156" w:beforeLines="50" w:after="156" w:afterLines="50" w:line="288" w:lineRule="auto"/>
              <w:jc w:val="center"/>
              <w:rPr>
                <w:rFonts w:asci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1F7F988">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057" w:type="dxa"/>
            <w:tcBorders>
              <w:left w:val="single" w:color="auto" w:sz="4" w:space="0"/>
              <w:right w:val="single" w:color="auto" w:sz="4" w:space="0"/>
            </w:tcBorders>
            <w:shd w:val="clear" w:color="auto" w:fill="auto"/>
            <w:vAlign w:val="center"/>
          </w:tcPr>
          <w:p w14:paraId="6585A685">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715" w:type="dxa"/>
            <w:tcBorders>
              <w:left w:val="single" w:color="auto" w:sz="4" w:space="0"/>
              <w:right w:val="single" w:color="auto" w:sz="4" w:space="0"/>
            </w:tcBorders>
            <w:shd w:val="clear" w:color="auto" w:fill="auto"/>
            <w:vAlign w:val="center"/>
          </w:tcPr>
          <w:p w14:paraId="09517F16">
            <w:pPr>
              <w:snapToGrid w:val="0"/>
              <w:spacing w:before="156" w:beforeLines="50" w:after="156" w:afterLines="50" w:line="288" w:lineRule="auto"/>
              <w:jc w:val="center"/>
              <w:rPr>
                <w:rFonts w:ascii="宋体"/>
                <w:sz w:val="16"/>
                <w:szCs w:val="16"/>
              </w:rPr>
            </w:pPr>
          </w:p>
        </w:tc>
      </w:tr>
    </w:tbl>
    <w:p w14:paraId="1A36ACA6">
      <w:pPr>
        <w:snapToGrid w:val="0"/>
        <w:spacing w:line="288" w:lineRule="auto"/>
        <w:ind w:right="2520"/>
        <w:rPr>
          <w:sz w:val="20"/>
          <w:szCs w:val="20"/>
        </w:rPr>
      </w:pPr>
    </w:p>
    <w:p w14:paraId="11A0FD98">
      <w:pPr>
        <w:snapToGrid w:val="0"/>
        <w:spacing w:line="288" w:lineRule="auto"/>
        <w:ind w:right="2520"/>
        <w:rPr>
          <w:sz w:val="20"/>
          <w:szCs w:val="20"/>
        </w:rPr>
      </w:pPr>
    </w:p>
    <w:p w14:paraId="2EAFCB2C">
      <w:pPr>
        <w:snapToGrid w:val="0"/>
        <w:spacing w:line="288" w:lineRule="auto"/>
        <w:ind w:right="2520"/>
        <w:rPr>
          <w:sz w:val="20"/>
          <w:szCs w:val="20"/>
        </w:rPr>
      </w:pPr>
    </w:p>
    <w:p w14:paraId="44EEB8AE">
      <w:pPr>
        <w:snapToGrid w:val="0"/>
        <w:spacing w:line="288" w:lineRule="auto"/>
        <w:ind w:right="2520"/>
        <w:rPr>
          <w:rFonts w:ascii="黑体" w:hAnsi="宋体" w:eastAsia="黑体"/>
          <w:sz w:val="24"/>
        </w:rPr>
      </w:pPr>
    </w:p>
    <w:p w14:paraId="10A6B350">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p w14:paraId="528CD41A">
      <w:pPr>
        <w:snapToGrid w:val="0"/>
        <w:spacing w:line="288" w:lineRule="auto"/>
        <w:ind w:right="2520" w:firstLine="480" w:firstLineChars="200"/>
        <w:rPr>
          <w:rFonts w:ascii="黑体" w:hAnsi="宋体" w:eastAsia="黑体"/>
          <w:sz w:val="24"/>
        </w:rPr>
      </w:pP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14:paraId="35F0516C">
        <w:tc>
          <w:tcPr>
            <w:tcW w:w="1809" w:type="dxa"/>
            <w:shd w:val="clear" w:color="auto" w:fill="auto"/>
          </w:tcPr>
          <w:p w14:paraId="532D4315">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5076F4AB">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14:paraId="73C52EE2">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14:paraId="0359FAA3">
        <w:tc>
          <w:tcPr>
            <w:tcW w:w="1809" w:type="dxa"/>
            <w:shd w:val="clear" w:color="auto" w:fill="auto"/>
          </w:tcPr>
          <w:p w14:paraId="03192E6B">
            <w:pPr>
              <w:snapToGrid w:val="0"/>
              <w:spacing w:before="180" w:beforeLines="50" w:after="180"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tcPr>
          <w:p w14:paraId="24BDF283">
            <w:pPr>
              <w:snapToGrid w:val="0"/>
              <w:spacing w:before="180" w:beforeLines="50" w:after="180" w:afterLines="50"/>
              <w:jc w:val="center"/>
              <w:rPr>
                <w:rFonts w:hint="default" w:ascii="宋体" w:hAnsi="宋体"/>
                <w:bCs/>
                <w:color w:val="000000"/>
                <w:szCs w:val="20"/>
                <w:lang w:val="en-US" w:eastAsia="zh-Hans"/>
              </w:rPr>
            </w:pPr>
            <w:r>
              <w:rPr>
                <w:rFonts w:hint="eastAsia" w:ascii="宋体" w:hAnsi="宋体" w:eastAsia="宋体" w:cs="Arial"/>
                <w:kern w:val="0"/>
                <w:sz w:val="18"/>
                <w:szCs w:val="18"/>
                <w:lang w:val="en-US" w:eastAsia="zh-CN"/>
              </w:rPr>
              <w:t>使用</w:t>
            </w:r>
            <w:r>
              <w:rPr>
                <w:rFonts w:hint="eastAsia" w:ascii="宋体" w:hAnsi="宋体" w:eastAsia="宋体" w:cs="Arial"/>
                <w:kern w:val="0"/>
                <w:sz w:val="18"/>
                <w:szCs w:val="18"/>
                <w:lang w:eastAsia="zh-Hans"/>
              </w:rPr>
              <w:t>幼儿</w:t>
            </w:r>
            <w:r>
              <w:rPr>
                <w:rFonts w:hint="eastAsia" w:ascii="宋体" w:hAnsi="宋体" w:eastAsia="宋体" w:cs="Arial"/>
                <w:kern w:val="0"/>
                <w:sz w:val="18"/>
                <w:szCs w:val="18"/>
                <w:lang w:val="en-US" w:eastAsia="zh-CN"/>
              </w:rPr>
              <w:t>园大班音乐进行音乐设计展示</w:t>
            </w:r>
          </w:p>
        </w:tc>
        <w:tc>
          <w:tcPr>
            <w:tcW w:w="2127" w:type="dxa"/>
            <w:shd w:val="clear" w:color="auto" w:fill="auto"/>
          </w:tcPr>
          <w:p w14:paraId="6609CB43">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40</w:t>
            </w:r>
            <w:r>
              <w:rPr>
                <w:rFonts w:ascii="宋体" w:hAnsi="宋体"/>
                <w:bCs/>
                <w:color w:val="000000"/>
                <w:szCs w:val="20"/>
              </w:rPr>
              <w:t>%</w:t>
            </w:r>
          </w:p>
        </w:tc>
      </w:tr>
      <w:tr w14:paraId="650CCD08">
        <w:tc>
          <w:tcPr>
            <w:tcW w:w="1809" w:type="dxa"/>
            <w:shd w:val="clear" w:color="auto" w:fill="auto"/>
          </w:tcPr>
          <w:p w14:paraId="45D3D504">
            <w:pPr>
              <w:snapToGrid w:val="0"/>
              <w:spacing w:before="180" w:beforeLines="50" w:after="180" w:afterLines="50"/>
              <w:jc w:val="center"/>
              <w:rPr>
                <w:rFonts w:hint="eastAsia" w:ascii="宋体" w:hAnsi="宋体" w:eastAsia="宋体"/>
                <w:bCs/>
                <w:color w:val="000000"/>
                <w:szCs w:val="20"/>
                <w:lang w:val="en-US" w:eastAsia="zh-CN"/>
              </w:rPr>
            </w:pPr>
            <w:r>
              <w:rPr>
                <w:rFonts w:ascii="宋体" w:hAnsi="宋体"/>
                <w:bCs/>
                <w:color w:val="000000"/>
                <w:szCs w:val="20"/>
              </w:rPr>
              <w:t>X</w:t>
            </w:r>
            <w:r>
              <w:rPr>
                <w:rFonts w:hint="eastAsia" w:ascii="宋体" w:hAnsi="宋体" w:eastAsia="宋体"/>
                <w:bCs/>
                <w:color w:val="000000"/>
                <w:szCs w:val="20"/>
                <w:lang w:val="en-US" w:eastAsia="zh-CN"/>
              </w:rPr>
              <w:t>1</w:t>
            </w:r>
          </w:p>
        </w:tc>
        <w:tc>
          <w:tcPr>
            <w:tcW w:w="5103" w:type="dxa"/>
            <w:shd w:val="clear" w:color="auto" w:fill="auto"/>
          </w:tcPr>
          <w:p w14:paraId="7AD95F4E">
            <w:pPr>
              <w:snapToGrid w:val="0"/>
              <w:spacing w:before="180" w:beforeLines="50" w:after="180" w:afterLines="50"/>
              <w:jc w:val="center"/>
              <w:rPr>
                <w:rFonts w:hint="default" w:ascii="宋体" w:hAnsi="宋体"/>
                <w:bCs/>
                <w:color w:val="000000"/>
                <w:szCs w:val="20"/>
                <w:lang w:val="en-US" w:eastAsia="zh-Hans"/>
              </w:rPr>
            </w:pPr>
            <w:r>
              <w:rPr>
                <w:rFonts w:hint="eastAsia" w:ascii="宋体" w:hAnsi="宋体" w:eastAsia="宋体" w:cs="Arial"/>
                <w:kern w:val="0"/>
                <w:sz w:val="18"/>
                <w:szCs w:val="18"/>
                <w:lang w:val="en-US" w:eastAsia="zh-CN"/>
              </w:rPr>
              <w:t>使用</w:t>
            </w:r>
            <w:r>
              <w:rPr>
                <w:rFonts w:hint="eastAsia" w:ascii="宋体" w:hAnsi="宋体" w:eastAsia="宋体" w:cs="Arial"/>
                <w:kern w:val="0"/>
                <w:sz w:val="18"/>
                <w:szCs w:val="18"/>
                <w:lang w:eastAsia="zh-Hans"/>
              </w:rPr>
              <w:t>幼儿</w:t>
            </w:r>
            <w:r>
              <w:rPr>
                <w:rFonts w:hint="eastAsia" w:ascii="宋体" w:hAnsi="宋体" w:eastAsia="宋体" w:cs="Arial"/>
                <w:kern w:val="0"/>
                <w:sz w:val="18"/>
                <w:szCs w:val="18"/>
                <w:lang w:val="en-US" w:eastAsia="zh-CN"/>
              </w:rPr>
              <w:t>园中班音乐进行音乐设计展示</w:t>
            </w:r>
          </w:p>
        </w:tc>
        <w:tc>
          <w:tcPr>
            <w:tcW w:w="2127" w:type="dxa"/>
            <w:shd w:val="clear" w:color="auto" w:fill="auto"/>
          </w:tcPr>
          <w:p w14:paraId="506F2D4B">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3</w:t>
            </w:r>
            <w:r>
              <w:rPr>
                <w:rFonts w:ascii="宋体" w:hAnsi="宋体"/>
                <w:bCs/>
                <w:color w:val="000000"/>
                <w:szCs w:val="20"/>
              </w:rPr>
              <w:t>0%</w:t>
            </w:r>
          </w:p>
        </w:tc>
      </w:tr>
      <w:tr w14:paraId="52A4D747">
        <w:tc>
          <w:tcPr>
            <w:tcW w:w="1809" w:type="dxa"/>
            <w:shd w:val="clear" w:color="auto" w:fill="auto"/>
          </w:tcPr>
          <w:p w14:paraId="209B77A0">
            <w:pPr>
              <w:snapToGrid w:val="0"/>
              <w:spacing w:before="180" w:beforeLines="50" w:after="180" w:afterLines="50"/>
              <w:jc w:val="center"/>
              <w:rPr>
                <w:rFonts w:hint="eastAsia" w:ascii="宋体" w:hAnsi="宋体" w:eastAsia="宋体"/>
                <w:bCs/>
                <w:color w:val="000000"/>
                <w:szCs w:val="20"/>
                <w:lang w:val="en-US" w:eastAsia="zh-CN"/>
              </w:rPr>
            </w:pPr>
            <w:r>
              <w:rPr>
                <w:rFonts w:ascii="宋体" w:hAnsi="宋体"/>
                <w:bCs/>
                <w:color w:val="000000"/>
                <w:szCs w:val="20"/>
              </w:rPr>
              <w:t>X</w:t>
            </w:r>
            <w:r>
              <w:rPr>
                <w:rFonts w:hint="eastAsia" w:ascii="宋体" w:hAnsi="宋体" w:eastAsia="宋体"/>
                <w:bCs/>
                <w:color w:val="000000"/>
                <w:szCs w:val="20"/>
                <w:lang w:val="en-US" w:eastAsia="zh-CN"/>
              </w:rPr>
              <w:t>2</w:t>
            </w:r>
          </w:p>
        </w:tc>
        <w:tc>
          <w:tcPr>
            <w:tcW w:w="5103" w:type="dxa"/>
            <w:shd w:val="clear" w:color="auto" w:fill="auto"/>
          </w:tcPr>
          <w:p w14:paraId="1D0425FA">
            <w:pPr>
              <w:snapToGrid w:val="0"/>
              <w:spacing w:before="180" w:beforeLines="50" w:after="180" w:afterLines="50"/>
              <w:jc w:val="center"/>
              <w:rPr>
                <w:rFonts w:hint="default" w:ascii="宋体" w:hAnsi="宋体"/>
                <w:bCs/>
                <w:color w:val="000000"/>
                <w:szCs w:val="20"/>
                <w:lang w:val="en-US" w:eastAsia="zh-Hans"/>
              </w:rPr>
            </w:pPr>
            <w:r>
              <w:rPr>
                <w:rFonts w:hint="eastAsia" w:ascii="宋体" w:hAnsi="宋体" w:eastAsia="宋体" w:cs="Arial"/>
                <w:kern w:val="0"/>
                <w:sz w:val="18"/>
                <w:szCs w:val="18"/>
                <w:lang w:val="en-US" w:eastAsia="zh-CN"/>
              </w:rPr>
              <w:t>使用</w:t>
            </w:r>
            <w:r>
              <w:rPr>
                <w:rFonts w:hint="eastAsia" w:ascii="宋体" w:hAnsi="宋体" w:eastAsia="宋体" w:cs="Arial"/>
                <w:kern w:val="0"/>
                <w:sz w:val="18"/>
                <w:szCs w:val="18"/>
                <w:lang w:eastAsia="zh-Hans"/>
              </w:rPr>
              <w:t>幼儿</w:t>
            </w:r>
            <w:r>
              <w:rPr>
                <w:rFonts w:hint="eastAsia" w:ascii="宋体" w:hAnsi="宋体" w:eastAsia="宋体" w:cs="Arial"/>
                <w:kern w:val="0"/>
                <w:sz w:val="18"/>
                <w:szCs w:val="18"/>
                <w:lang w:val="en-US" w:eastAsia="zh-CN"/>
              </w:rPr>
              <w:t>园小班音乐进行音乐设计展示</w:t>
            </w:r>
          </w:p>
        </w:tc>
        <w:tc>
          <w:tcPr>
            <w:tcW w:w="2127" w:type="dxa"/>
            <w:shd w:val="clear" w:color="auto" w:fill="auto"/>
          </w:tcPr>
          <w:p w14:paraId="0E07946A">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3</w:t>
            </w:r>
            <w:r>
              <w:rPr>
                <w:rFonts w:ascii="宋体" w:hAnsi="宋体"/>
                <w:bCs/>
                <w:color w:val="000000"/>
                <w:szCs w:val="20"/>
              </w:rPr>
              <w:t>0%</w:t>
            </w:r>
          </w:p>
        </w:tc>
      </w:tr>
    </w:tbl>
    <w:p w14:paraId="7BDACA2F">
      <w:pPr>
        <w:snapToGrid w:val="0"/>
        <w:spacing w:line="288" w:lineRule="auto"/>
        <w:ind w:right="2520" w:firstLine="400" w:firstLineChars="200"/>
        <w:rPr>
          <w:sz w:val="20"/>
          <w:szCs w:val="20"/>
        </w:rPr>
      </w:pPr>
    </w:p>
    <w:p w14:paraId="2A1BAD6D">
      <w:pPr>
        <w:snapToGrid w:val="0"/>
        <w:spacing w:line="288" w:lineRule="auto"/>
        <w:ind w:right="2520"/>
        <w:rPr>
          <w:sz w:val="20"/>
          <w:szCs w:val="20"/>
        </w:rPr>
      </w:pPr>
    </w:p>
    <w:p w14:paraId="0ADE789C">
      <w:pPr>
        <w:snapToGrid w:val="0"/>
        <w:spacing w:line="288" w:lineRule="auto"/>
        <w:ind w:right="2520" w:firstLine="400" w:firstLineChars="200"/>
        <w:rPr>
          <w:sz w:val="20"/>
          <w:szCs w:val="20"/>
        </w:rPr>
      </w:pPr>
    </w:p>
    <w:p w14:paraId="679022B3">
      <w:pPr>
        <w:snapToGrid w:val="0"/>
        <w:spacing w:line="288" w:lineRule="auto"/>
        <w:rPr>
          <w:rFonts w:hint="eastAsia"/>
          <w:sz w:val="28"/>
          <w:szCs w:val="28"/>
          <w:lang w:val="en-US" w:eastAsia="zh-CN"/>
        </w:rPr>
      </w:pPr>
      <w:r>
        <w:rPr>
          <w:rFonts w:hint="eastAsia"/>
          <w:sz w:val="28"/>
          <w:szCs w:val="28"/>
          <w:lang w:val="zh-TW"/>
        </w:rPr>
        <w:t>撰写人：</w:t>
      </w:r>
      <w:r>
        <w:rPr>
          <w:rFonts w:hint="eastAsia"/>
          <w:sz w:val="28"/>
          <w:szCs w:val="28"/>
          <w:lang w:val="en-US" w:eastAsia="zh-CN"/>
        </w:rPr>
        <w:t>谢丹萍</w:t>
      </w:r>
      <w:r>
        <w:rPr>
          <w:rFonts w:hint="eastAsia"/>
          <w:sz w:val="28"/>
          <w:szCs w:val="28"/>
          <w:lang w:val="zh-TW"/>
        </w:rPr>
        <w:t xml:space="preserve"> </w:t>
      </w:r>
      <w:r>
        <w:rPr>
          <w:rFonts w:eastAsia="PMingLiU"/>
          <w:sz w:val="28"/>
          <w:szCs w:val="28"/>
          <w:lang w:val="zh-TW" w:eastAsia="zh-TW"/>
        </w:rPr>
        <w:t xml:space="preserve">  </w:t>
      </w:r>
      <w:r>
        <w:rPr>
          <w:rFonts w:hint="eastAsia"/>
          <w:sz w:val="28"/>
          <w:szCs w:val="28"/>
          <w:lang w:val="zh-TW" w:eastAsia="zh-TW"/>
        </w:rPr>
        <w:t xml:space="preserve">  </w:t>
      </w:r>
      <w:r>
        <w:rPr>
          <w:rFonts w:eastAsia="PMingLiU"/>
          <w:sz w:val="28"/>
          <w:szCs w:val="28"/>
          <w:lang w:val="zh-TW" w:eastAsia="zh-TW"/>
        </w:rPr>
        <w:t xml:space="preserve">  </w:t>
      </w:r>
      <w:r>
        <w:rPr>
          <w:rFonts w:hint="eastAsia"/>
          <w:sz w:val="28"/>
          <w:szCs w:val="28"/>
          <w:lang w:val="zh-TW" w:eastAsia="zh-TW"/>
        </w:rPr>
        <w:t xml:space="preserve"> </w:t>
      </w:r>
      <w:r>
        <w:rPr>
          <w:rFonts w:hint="eastAsia"/>
          <w:sz w:val="28"/>
          <w:szCs w:val="28"/>
          <w:lang w:val="en-US" w:eastAsia="zh-CN"/>
        </w:rPr>
        <w:t>系主任审核： 步社民   日期：2023-9-3</w:t>
      </w:r>
    </w:p>
    <w:p w14:paraId="4082DFA9">
      <w:pPr>
        <w:rPr>
          <w:rFonts w:eastAsia="PMingLiU"/>
          <w:sz w:val="28"/>
          <w:szCs w:val="28"/>
        </w:rPr>
      </w:pPr>
    </w:p>
    <w:p w14:paraId="2CE85EB5">
      <w:pPr>
        <w:widowControl/>
        <w:spacing w:before="156" w:beforeLines="50" w:after="156" w:afterLines="50" w:line="288" w:lineRule="auto"/>
        <w:jc w:val="left"/>
        <w:rPr>
          <w:rFonts w:ascii="黑体" w:hAnsi="宋体" w:eastAsia="黑体"/>
          <w:sz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宋体-繁"/>
    <w:panose1 w:val="02010601000101010101"/>
    <w:charset w:val="88"/>
    <w:family w:val="roman"/>
    <w:pitch w:val="default"/>
    <w:sig w:usb0="00000000" w:usb1="00000000" w:usb2="00000016" w:usb3="00000000" w:csb0="0010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1A89"/>
    <w:rsid w:val="0001309B"/>
    <w:rsid w:val="000310E0"/>
    <w:rsid w:val="00046669"/>
    <w:rsid w:val="00090146"/>
    <w:rsid w:val="00096E0C"/>
    <w:rsid w:val="000F2A59"/>
    <w:rsid w:val="001072BC"/>
    <w:rsid w:val="00152028"/>
    <w:rsid w:val="0018703A"/>
    <w:rsid w:val="001B144E"/>
    <w:rsid w:val="001D20A2"/>
    <w:rsid w:val="002031D5"/>
    <w:rsid w:val="00256B39"/>
    <w:rsid w:val="0026033C"/>
    <w:rsid w:val="002808BC"/>
    <w:rsid w:val="002E3721"/>
    <w:rsid w:val="00310710"/>
    <w:rsid w:val="00313BBA"/>
    <w:rsid w:val="00324ECE"/>
    <w:rsid w:val="0032602E"/>
    <w:rsid w:val="003367AE"/>
    <w:rsid w:val="003673CB"/>
    <w:rsid w:val="003713C4"/>
    <w:rsid w:val="00381A68"/>
    <w:rsid w:val="003B0FD8"/>
    <w:rsid w:val="003B1258"/>
    <w:rsid w:val="00407D74"/>
    <w:rsid w:val="004100B0"/>
    <w:rsid w:val="00436A65"/>
    <w:rsid w:val="004452E4"/>
    <w:rsid w:val="0045063E"/>
    <w:rsid w:val="004735AE"/>
    <w:rsid w:val="004922C0"/>
    <w:rsid w:val="0049598F"/>
    <w:rsid w:val="005078C7"/>
    <w:rsid w:val="005467DC"/>
    <w:rsid w:val="00553D03"/>
    <w:rsid w:val="00584135"/>
    <w:rsid w:val="00584F27"/>
    <w:rsid w:val="005B2B6D"/>
    <w:rsid w:val="005B39D3"/>
    <w:rsid w:val="005B4B4E"/>
    <w:rsid w:val="005C087F"/>
    <w:rsid w:val="005C7AC5"/>
    <w:rsid w:val="005E57B0"/>
    <w:rsid w:val="00614E70"/>
    <w:rsid w:val="00624FE1"/>
    <w:rsid w:val="0065558F"/>
    <w:rsid w:val="006831CB"/>
    <w:rsid w:val="006A7E4A"/>
    <w:rsid w:val="006B3C2D"/>
    <w:rsid w:val="007208D6"/>
    <w:rsid w:val="00740E27"/>
    <w:rsid w:val="007905EB"/>
    <w:rsid w:val="007D37E8"/>
    <w:rsid w:val="007E6FE8"/>
    <w:rsid w:val="007F3EF2"/>
    <w:rsid w:val="007F4076"/>
    <w:rsid w:val="00801C33"/>
    <w:rsid w:val="0081547D"/>
    <w:rsid w:val="00831C53"/>
    <w:rsid w:val="00867346"/>
    <w:rsid w:val="008B397C"/>
    <w:rsid w:val="008B47F4"/>
    <w:rsid w:val="008B5BF5"/>
    <w:rsid w:val="008C3DF4"/>
    <w:rsid w:val="00900019"/>
    <w:rsid w:val="009055F0"/>
    <w:rsid w:val="00922B1C"/>
    <w:rsid w:val="00943396"/>
    <w:rsid w:val="009863B5"/>
    <w:rsid w:val="0099063E"/>
    <w:rsid w:val="00991EB7"/>
    <w:rsid w:val="009F1CBD"/>
    <w:rsid w:val="00A00EDB"/>
    <w:rsid w:val="00A10810"/>
    <w:rsid w:val="00A422CD"/>
    <w:rsid w:val="00A66C56"/>
    <w:rsid w:val="00A769B1"/>
    <w:rsid w:val="00A837D5"/>
    <w:rsid w:val="00A87EA9"/>
    <w:rsid w:val="00A97535"/>
    <w:rsid w:val="00AA48F7"/>
    <w:rsid w:val="00AB0104"/>
    <w:rsid w:val="00AC12D0"/>
    <w:rsid w:val="00AC4C45"/>
    <w:rsid w:val="00B00B48"/>
    <w:rsid w:val="00B46F21"/>
    <w:rsid w:val="00B511A5"/>
    <w:rsid w:val="00B71AA1"/>
    <w:rsid w:val="00B736A7"/>
    <w:rsid w:val="00B7651F"/>
    <w:rsid w:val="00B9596E"/>
    <w:rsid w:val="00BA26C9"/>
    <w:rsid w:val="00C351D0"/>
    <w:rsid w:val="00C56E09"/>
    <w:rsid w:val="00CA4041"/>
    <w:rsid w:val="00CB497D"/>
    <w:rsid w:val="00CC7705"/>
    <w:rsid w:val="00CF096B"/>
    <w:rsid w:val="00D32514"/>
    <w:rsid w:val="00DA1C0F"/>
    <w:rsid w:val="00DC67BF"/>
    <w:rsid w:val="00DE1405"/>
    <w:rsid w:val="00DF59F2"/>
    <w:rsid w:val="00E16D30"/>
    <w:rsid w:val="00E33169"/>
    <w:rsid w:val="00E70904"/>
    <w:rsid w:val="00EE1DFF"/>
    <w:rsid w:val="00EE53E3"/>
    <w:rsid w:val="00EF44B1"/>
    <w:rsid w:val="00F13A51"/>
    <w:rsid w:val="00F266A6"/>
    <w:rsid w:val="00F35AA0"/>
    <w:rsid w:val="00F37275"/>
    <w:rsid w:val="00FA143C"/>
    <w:rsid w:val="00FB0112"/>
    <w:rsid w:val="00FB1E49"/>
    <w:rsid w:val="016E63C2"/>
    <w:rsid w:val="024B0C39"/>
    <w:rsid w:val="0A8128A6"/>
    <w:rsid w:val="0BF32A1B"/>
    <w:rsid w:val="10BD2C22"/>
    <w:rsid w:val="22987C80"/>
    <w:rsid w:val="24192CCC"/>
    <w:rsid w:val="31ED4F37"/>
    <w:rsid w:val="343E496F"/>
    <w:rsid w:val="38DA1ADB"/>
    <w:rsid w:val="39A66CD4"/>
    <w:rsid w:val="3CD52CE1"/>
    <w:rsid w:val="410F2E6A"/>
    <w:rsid w:val="4430136C"/>
    <w:rsid w:val="4AB0382B"/>
    <w:rsid w:val="569868B5"/>
    <w:rsid w:val="5F294F51"/>
    <w:rsid w:val="611F6817"/>
    <w:rsid w:val="66CA1754"/>
    <w:rsid w:val="6F1E65D4"/>
    <w:rsid w:val="6F266C86"/>
    <w:rsid w:val="6F5042C2"/>
    <w:rsid w:val="74316312"/>
    <w:rsid w:val="780F13C8"/>
    <w:rsid w:val="7C385448"/>
    <w:rsid w:val="7CB3663D"/>
    <w:rsid w:val="7E5FE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uiPriority w:val="99"/>
    <w:pPr>
      <w:ind w:firstLine="420" w:firstLineChars="200"/>
    </w:pPr>
  </w:style>
  <w:style w:type="character" w:customStyle="1" w:styleId="11">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2365</Words>
  <Characters>2616</Characters>
  <Lines>20</Lines>
  <Paragraphs>5</Paragraphs>
  <TotalTime>0</TotalTime>
  <ScaleCrop>false</ScaleCrop>
  <LinksUpToDate>false</LinksUpToDate>
  <CharactersWithSpaces>2669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2022-08-30T22:37:00Z</dcterms:created>
  <dc:creator>juvg</dc:creator>
  <cp:lastModifiedBy>leee</cp:lastModifiedBy>
  <dcterms:modified xsi:type="dcterms:W3CDTF">2024-10-12T01:03:24Z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E253E3241A254A1EAA18B20F2B056FC3</vt:lpwstr>
  </property>
</Properties>
</file>