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A19869">
      <w:pPr>
        <w:jc w:val="center"/>
        <w:rPr>
          <w:rFonts w:ascii="黑体" w:hAnsi="黑体" w:eastAsia="黑体"/>
          <w:bCs/>
          <w:sz w:val="32"/>
          <w:szCs w:val="32"/>
        </w:rPr>
      </w:pPr>
      <w:r>
        <w:rPr>
          <w:rFonts w:hint="eastAsia" w:ascii="黑体" w:hAnsi="黑体" w:eastAsia="黑体"/>
          <w:bCs/>
          <w:sz w:val="32"/>
          <w:szCs w:val="32"/>
        </w:rPr>
        <w:t>《  大学物理</w:t>
      </w:r>
      <w:r>
        <w:rPr>
          <w:rFonts w:hint="eastAsia" w:ascii="黑体" w:hAnsi="黑体" w:eastAsia="黑体"/>
          <w:bCs/>
          <w:sz w:val="32"/>
          <w:szCs w:val="32"/>
          <w:lang w:eastAsia="zh-CN"/>
        </w:rPr>
        <w:t>（</w:t>
      </w:r>
      <w:r>
        <w:rPr>
          <w:rFonts w:hint="eastAsia" w:ascii="黑体" w:hAnsi="黑体" w:eastAsia="黑体"/>
          <w:bCs/>
          <w:sz w:val="32"/>
          <w:szCs w:val="32"/>
          <w:lang w:val="en-US" w:eastAsia="zh-CN"/>
        </w:rPr>
        <w:t>2</w:t>
      </w:r>
      <w:r>
        <w:rPr>
          <w:rFonts w:hint="eastAsia" w:ascii="黑体" w:hAnsi="黑体" w:eastAsia="黑体"/>
          <w:bCs/>
          <w:sz w:val="32"/>
          <w:szCs w:val="32"/>
          <w:lang w:eastAsia="zh-CN"/>
        </w:rPr>
        <w:t>）</w:t>
      </w:r>
      <w:r>
        <w:rPr>
          <w:rFonts w:hint="eastAsia" w:ascii="黑体" w:hAnsi="黑体" w:eastAsia="黑体"/>
          <w:bCs/>
          <w:sz w:val="32"/>
          <w:szCs w:val="32"/>
        </w:rPr>
        <w:t xml:space="preserve">  》本科课程教学大纲</w:t>
      </w:r>
    </w:p>
    <w:p w14:paraId="7236D9C3">
      <w:pPr>
        <w:pStyle w:val="16"/>
        <w:spacing w:before="326" w:beforeLines="100" w:line="360" w:lineRule="auto"/>
        <w:rPr>
          <w:rFonts w:ascii="黑体" w:hAnsi="宋体"/>
        </w:rPr>
      </w:pPr>
      <w:r>
        <w:rPr>
          <w:rFonts w:ascii="黑体" w:hAnsi="宋体"/>
        </w:rPr>
        <w:t>一</w:t>
      </w:r>
      <w:r>
        <w:rPr>
          <w:rFonts w:hint="eastAsia" w:ascii="黑体" w:hAnsi="宋体"/>
        </w:rPr>
        <w:t>、课程</w:t>
      </w:r>
      <w:r>
        <w:rPr>
          <w:rFonts w:ascii="黑体" w:hAnsi="宋体"/>
        </w:rPr>
        <w:t>基本信息</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85" w:type="dxa"/>
          <w:bottom w:w="57" w:type="dxa"/>
          <w:right w:w="85" w:type="dxa"/>
        </w:tblCellMar>
      </w:tblPr>
      <w:tblGrid>
        <w:gridCol w:w="1691"/>
        <w:gridCol w:w="2097"/>
        <w:gridCol w:w="1155"/>
        <w:gridCol w:w="1134"/>
        <w:gridCol w:w="336"/>
        <w:gridCol w:w="1077"/>
        <w:gridCol w:w="786"/>
      </w:tblGrid>
      <w:tr w14:paraId="21FB6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vMerge w:val="restart"/>
            <w:tcBorders>
              <w:top w:val="single" w:color="auto" w:sz="12" w:space="0"/>
              <w:left w:val="single" w:color="auto" w:sz="12" w:space="0"/>
            </w:tcBorders>
            <w:shd w:val="clear" w:color="auto" w:fill="auto"/>
            <w:vAlign w:val="center"/>
          </w:tcPr>
          <w:p w14:paraId="781F4D5D">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课程名称</w:t>
            </w:r>
          </w:p>
        </w:tc>
        <w:tc>
          <w:tcPr>
            <w:tcW w:w="6585" w:type="dxa"/>
            <w:gridSpan w:val="6"/>
            <w:tcBorders>
              <w:top w:val="single" w:color="auto" w:sz="12" w:space="0"/>
              <w:right w:val="single" w:color="auto" w:sz="12" w:space="0"/>
            </w:tcBorders>
            <w:vAlign w:val="center"/>
          </w:tcPr>
          <w:p w14:paraId="3D5A7386">
            <w:pPr>
              <w:widowControl w:val="0"/>
              <w:jc w:val="left"/>
              <w:rPr>
                <w:rFonts w:hint="default" w:ascii="Times New Roman" w:hAnsi="Times New Roman" w:eastAsia="宋体" w:cs="Times New Roman"/>
                <w:color w:val="000000" w:themeColor="text1"/>
                <w:sz w:val="21"/>
                <w:szCs w:val="18"/>
                <w:lang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（中文）大学物理</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4BFF0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vMerge w:val="continue"/>
            <w:tcBorders>
              <w:left w:val="single" w:color="auto" w:sz="12" w:space="0"/>
            </w:tcBorders>
            <w:shd w:val="clear" w:color="auto" w:fill="auto"/>
            <w:vAlign w:val="center"/>
          </w:tcPr>
          <w:p w14:paraId="082F2D83">
            <w:pPr>
              <w:widowControl w:val="0"/>
              <w:jc w:val="center"/>
              <w:rPr>
                <w:rFonts w:ascii="黑体" w:hAnsi="黑体" w:eastAsia="黑体"/>
                <w:color w:val="000000" w:themeColor="text1"/>
                <w:sz w:val="21"/>
                <w:szCs w:val="18"/>
                <w14:textFill>
                  <w14:solidFill>
                    <w14:schemeClr w14:val="tx1"/>
                  </w14:solidFill>
                </w14:textFill>
              </w:rPr>
            </w:pPr>
          </w:p>
        </w:tc>
        <w:tc>
          <w:tcPr>
            <w:tcW w:w="6585" w:type="dxa"/>
            <w:gridSpan w:val="6"/>
            <w:tcBorders>
              <w:right w:val="single" w:color="auto" w:sz="12" w:space="0"/>
            </w:tcBorders>
            <w:vAlign w:val="center"/>
          </w:tcPr>
          <w:p w14:paraId="579BCA61">
            <w:pPr>
              <w:widowControl w:val="0"/>
              <w:jc w:val="left"/>
              <w:rPr>
                <w:rFonts w:hint="default" w:ascii="Times New Roman" w:hAnsi="Times New Roman" w:eastAsia="宋体" w:cs="Times New Roman"/>
                <w:color w:val="000000" w:themeColor="text1"/>
                <w:sz w:val="21"/>
                <w:szCs w:val="18"/>
                <w:lang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（英文）University Physics</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27944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299FF85">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课程代码</w:t>
            </w:r>
          </w:p>
        </w:tc>
        <w:tc>
          <w:tcPr>
            <w:tcW w:w="2097" w:type="dxa"/>
            <w:vAlign w:val="center"/>
          </w:tcPr>
          <w:p w14:paraId="221A135F">
            <w:pPr>
              <w:widowControl w:val="0"/>
              <w:jc w:val="left"/>
              <w:rPr>
                <w:rFonts w:hint="default" w:ascii="Times New Roman" w:hAnsi="Times New Roman" w:eastAsia="黑体" w:cs="Times New Roman"/>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2110078</w:t>
            </w:r>
          </w:p>
        </w:tc>
        <w:tc>
          <w:tcPr>
            <w:tcW w:w="2289" w:type="dxa"/>
            <w:gridSpan w:val="2"/>
            <w:vAlign w:val="center"/>
          </w:tcPr>
          <w:p w14:paraId="5FFC468A">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课程学分</w:t>
            </w:r>
          </w:p>
        </w:tc>
        <w:tc>
          <w:tcPr>
            <w:tcW w:w="2199" w:type="dxa"/>
            <w:gridSpan w:val="3"/>
            <w:tcBorders>
              <w:right w:val="single" w:color="auto" w:sz="12" w:space="0"/>
            </w:tcBorders>
            <w:vAlign w:val="center"/>
          </w:tcPr>
          <w:p w14:paraId="5702EA4A">
            <w:pPr>
              <w:widowControl w:val="0"/>
              <w:jc w:val="left"/>
              <w:rPr>
                <w:rFonts w:hint="eastAsia" w:ascii="黑体" w:hAnsi="黑体" w:eastAsia="黑体"/>
                <w:color w:val="000000" w:themeColor="text1"/>
                <w:sz w:val="21"/>
                <w:szCs w:val="18"/>
                <w:lang w:val="en-US" w:eastAsia="zh-CN"/>
                <w14:textFill>
                  <w14:solidFill>
                    <w14:schemeClr w14:val="tx1"/>
                  </w14:solidFill>
                </w14:textFill>
              </w:rPr>
            </w:pPr>
            <w:r>
              <w:rPr>
                <w:rFonts w:hint="default" w:ascii="Times New Roman" w:hAnsi="Times New Roman" w:eastAsia="黑体" w:cs="Times New Roman"/>
                <w:color w:val="000000" w:themeColor="text1"/>
                <w:sz w:val="21"/>
                <w:szCs w:val="18"/>
                <w:lang w:val="en-US" w:eastAsia="zh-CN"/>
                <w14:textFill>
                  <w14:solidFill>
                    <w14:schemeClr w14:val="tx1"/>
                  </w14:solidFill>
                </w14:textFill>
              </w:rPr>
              <w:t>3</w:t>
            </w:r>
          </w:p>
        </w:tc>
      </w:tr>
      <w:tr w14:paraId="4F0E8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374196E6">
            <w:pPr>
              <w:widowControl w:val="0"/>
              <w:jc w:val="center"/>
              <w:rPr>
                <w:sz w:val="21"/>
                <w:szCs w:val="18"/>
              </w:rPr>
            </w:pPr>
            <w:r>
              <w:rPr>
                <w:rFonts w:hint="eastAsia" w:ascii="黑体" w:hAnsi="黑体" w:eastAsia="黑体"/>
                <w:color w:val="000000" w:themeColor="text1"/>
                <w:sz w:val="21"/>
                <w:szCs w:val="18"/>
                <w14:textFill>
                  <w14:solidFill>
                    <w14:schemeClr w14:val="tx1"/>
                  </w14:solidFill>
                </w14:textFill>
              </w:rPr>
              <w:t>课程学时</w:t>
            </w:r>
            <w:r>
              <w:rPr>
                <w:rFonts w:hint="eastAsia"/>
                <w:sz w:val="21"/>
                <w:szCs w:val="18"/>
              </w:rPr>
              <w:t xml:space="preserve"> </w:t>
            </w:r>
          </w:p>
        </w:tc>
        <w:tc>
          <w:tcPr>
            <w:tcW w:w="2097" w:type="dxa"/>
            <w:vAlign w:val="center"/>
          </w:tcPr>
          <w:p w14:paraId="54147DBD">
            <w:pPr>
              <w:widowControl w:val="0"/>
              <w:jc w:val="left"/>
              <w:rPr>
                <w:rFonts w:hint="default" w:ascii="Times New Roman" w:hAnsi="Times New Roman" w:eastAsia="黑体" w:cs="Times New Roman"/>
                <w:color w:val="000000" w:themeColor="text1"/>
                <w:sz w:val="21"/>
                <w:szCs w:val="18"/>
                <w:lang w:val="en-US" w:eastAsia="zh-CN"/>
                <w14:textFill>
                  <w14:solidFill>
                    <w14:schemeClr w14:val="tx1"/>
                  </w14:solidFill>
                </w14:textFill>
              </w:rPr>
            </w:pPr>
            <w:r>
              <w:rPr>
                <w:rFonts w:hint="default" w:ascii="Times New Roman" w:hAnsi="Times New Roman" w:eastAsia="黑体" w:cs="Times New Roman"/>
                <w:color w:val="000000" w:themeColor="text1"/>
                <w:sz w:val="21"/>
                <w:szCs w:val="18"/>
                <w:lang w:val="en-US" w:eastAsia="zh-CN"/>
                <w14:textFill>
                  <w14:solidFill>
                    <w14:schemeClr w14:val="tx1"/>
                  </w14:solidFill>
                </w14:textFill>
              </w:rPr>
              <w:t>48</w:t>
            </w:r>
          </w:p>
        </w:tc>
        <w:tc>
          <w:tcPr>
            <w:tcW w:w="1155" w:type="dxa"/>
            <w:vAlign w:val="center"/>
          </w:tcPr>
          <w:p w14:paraId="33F05558">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理论学时</w:t>
            </w:r>
          </w:p>
        </w:tc>
        <w:tc>
          <w:tcPr>
            <w:tcW w:w="1134" w:type="dxa"/>
            <w:vAlign w:val="center"/>
          </w:tcPr>
          <w:p w14:paraId="0CCB5974">
            <w:pPr>
              <w:widowControl w:val="0"/>
              <w:jc w:val="left"/>
              <w:rPr>
                <w:rFonts w:hint="default" w:ascii="黑体" w:hAnsi="黑体" w:eastAsia="黑体"/>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4</w:t>
            </w:r>
            <w:r>
              <w:rPr>
                <w:rFonts w:hint="default" w:ascii="Times New Roman" w:hAnsi="Times New Roman" w:eastAsia="黑体" w:cs="Times New Roman"/>
                <w:color w:val="000000" w:themeColor="text1"/>
                <w:sz w:val="21"/>
                <w:szCs w:val="18"/>
                <w:lang w:val="en-US" w:eastAsia="zh-CN"/>
                <w14:textFill>
                  <w14:solidFill>
                    <w14:schemeClr w14:val="tx1"/>
                  </w14:solidFill>
                </w14:textFill>
              </w:rPr>
              <w:t>8</w:t>
            </w:r>
          </w:p>
        </w:tc>
        <w:tc>
          <w:tcPr>
            <w:tcW w:w="1413" w:type="dxa"/>
            <w:gridSpan w:val="2"/>
            <w:vAlign w:val="center"/>
          </w:tcPr>
          <w:p w14:paraId="1029E493">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实践学时</w:t>
            </w:r>
          </w:p>
        </w:tc>
        <w:tc>
          <w:tcPr>
            <w:tcW w:w="786" w:type="dxa"/>
            <w:tcBorders>
              <w:right w:val="single" w:color="auto" w:sz="12" w:space="0"/>
            </w:tcBorders>
            <w:vAlign w:val="center"/>
          </w:tcPr>
          <w:p w14:paraId="45BEDC59">
            <w:pPr>
              <w:widowControl w:val="0"/>
              <w:jc w:val="left"/>
              <w:rPr>
                <w:rFonts w:hint="eastAsia" w:ascii="黑体" w:hAnsi="黑体" w:eastAsia="黑体"/>
                <w:color w:val="000000" w:themeColor="text1"/>
                <w:sz w:val="21"/>
                <w:szCs w:val="18"/>
                <w:lang w:val="en-US" w:eastAsia="zh-CN"/>
                <w14:textFill>
                  <w14:solidFill>
                    <w14:schemeClr w14:val="tx1"/>
                  </w14:solidFill>
                </w14:textFill>
              </w:rPr>
            </w:pPr>
            <w:r>
              <w:rPr>
                <w:rFonts w:hint="eastAsia" w:ascii="黑体" w:hAnsi="黑体" w:eastAsia="黑体"/>
                <w:color w:val="000000" w:themeColor="text1"/>
                <w:sz w:val="21"/>
                <w:szCs w:val="18"/>
                <w:lang w:val="en-US" w:eastAsia="zh-CN"/>
                <w14:textFill>
                  <w14:solidFill>
                    <w14:schemeClr w14:val="tx1"/>
                  </w14:solidFill>
                </w14:textFill>
              </w:rPr>
              <w:t>0</w:t>
            </w:r>
          </w:p>
        </w:tc>
      </w:tr>
      <w:tr w14:paraId="21669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E118FC0">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开课</w:t>
            </w:r>
            <w:r>
              <w:rPr>
                <w:rFonts w:hint="eastAsia" w:ascii="黑体" w:hAnsi="黑体" w:eastAsia="黑体"/>
                <w:color w:val="000000" w:themeColor="text1"/>
                <w:sz w:val="21"/>
                <w:szCs w:val="18"/>
                <w14:textFill>
                  <w14:solidFill>
                    <w14:schemeClr w14:val="tx1"/>
                  </w14:solidFill>
                </w14:textFill>
              </w:rPr>
              <w:t>学院</w:t>
            </w:r>
          </w:p>
        </w:tc>
        <w:tc>
          <w:tcPr>
            <w:tcW w:w="2097" w:type="dxa"/>
            <w:vAlign w:val="center"/>
          </w:tcPr>
          <w:p w14:paraId="5BD95EAB">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教育</w:t>
            </w:r>
            <w:r>
              <w:rPr>
                <w:rFonts w:hint="eastAsia" w:ascii="宋体" w:hAnsi="宋体" w:eastAsia="宋体" w:cs="宋体"/>
                <w:color w:val="000000" w:themeColor="text1"/>
                <w:sz w:val="21"/>
                <w:szCs w:val="18"/>
                <w14:textFill>
                  <w14:solidFill>
                    <w14:schemeClr w14:val="tx1"/>
                  </w14:solidFill>
                </w14:textFill>
              </w:rPr>
              <w:t>学院</w:t>
            </w:r>
            <w:r>
              <w:rPr>
                <w:rFonts w:hint="eastAsia" w:ascii="宋体" w:hAnsi="宋体" w:eastAsia="宋体" w:cs="宋体"/>
                <w:color w:val="000000" w:themeColor="text1"/>
                <w:sz w:val="21"/>
                <w:szCs w:val="18"/>
                <w:lang w:eastAsia="zh-CN"/>
                <w14:textFill>
                  <w14:solidFill>
                    <w14:schemeClr w14:val="tx1"/>
                  </w14:solidFill>
                </w14:textFill>
              </w:rPr>
              <w:t>（通识教育学院）</w:t>
            </w:r>
          </w:p>
        </w:tc>
        <w:tc>
          <w:tcPr>
            <w:tcW w:w="2289" w:type="dxa"/>
            <w:gridSpan w:val="2"/>
            <w:vAlign w:val="center"/>
          </w:tcPr>
          <w:p w14:paraId="4762C5FE">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适用专业与年级</w:t>
            </w:r>
          </w:p>
        </w:tc>
        <w:tc>
          <w:tcPr>
            <w:tcW w:w="2199" w:type="dxa"/>
            <w:gridSpan w:val="3"/>
            <w:tcBorders>
              <w:right w:val="single" w:color="auto" w:sz="12" w:space="0"/>
            </w:tcBorders>
            <w:vAlign w:val="center"/>
          </w:tcPr>
          <w:p w14:paraId="24A93049">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14:textFill>
                  <w14:solidFill>
                    <w14:schemeClr w14:val="tx1"/>
                  </w14:solidFill>
                </w14:textFill>
              </w:rPr>
              <w:t>理工类本科专业，</w:t>
            </w:r>
            <w:r>
              <w:rPr>
                <w:rFonts w:hint="eastAsia" w:cs="宋体"/>
                <w:color w:val="000000" w:themeColor="text1"/>
                <w:sz w:val="21"/>
                <w:szCs w:val="18"/>
                <w:lang w:eastAsia="zh-CN"/>
                <w14:textFill>
                  <w14:solidFill>
                    <w14:schemeClr w14:val="tx1"/>
                  </w14:solidFill>
                </w14:textFill>
              </w:rPr>
              <w:t>二年级</w:t>
            </w:r>
          </w:p>
        </w:tc>
      </w:tr>
      <w:tr w14:paraId="124AB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AB616A7">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课程类别与性质</w:t>
            </w:r>
          </w:p>
        </w:tc>
        <w:tc>
          <w:tcPr>
            <w:tcW w:w="2097" w:type="dxa"/>
            <w:vAlign w:val="center"/>
          </w:tcPr>
          <w:p w14:paraId="180A641C">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lang w:val="en-US" w:eastAsia="zh-CN"/>
                <w14:textFill>
                  <w14:solidFill>
                    <w14:schemeClr w14:val="tx1"/>
                  </w14:solidFill>
                </w14:textFill>
              </w:rPr>
              <w:t>公共基础课</w:t>
            </w:r>
          </w:p>
        </w:tc>
        <w:tc>
          <w:tcPr>
            <w:tcW w:w="2289" w:type="dxa"/>
            <w:gridSpan w:val="2"/>
            <w:vAlign w:val="center"/>
          </w:tcPr>
          <w:p w14:paraId="5014A75E">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考核方式</w:t>
            </w:r>
          </w:p>
        </w:tc>
        <w:tc>
          <w:tcPr>
            <w:tcW w:w="2199" w:type="dxa"/>
            <w:gridSpan w:val="3"/>
            <w:tcBorders>
              <w:right w:val="single" w:color="auto" w:sz="12" w:space="0"/>
            </w:tcBorders>
            <w:vAlign w:val="center"/>
          </w:tcPr>
          <w:p w14:paraId="3920EB5D">
            <w:pPr>
              <w:widowControl w:val="0"/>
              <w:jc w:val="left"/>
              <w:rPr>
                <w:rFonts w:hint="eastAsia" w:ascii="宋体" w:hAnsi="宋体" w:eastAsia="宋体" w:cs="宋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考试</w:t>
            </w:r>
          </w:p>
        </w:tc>
      </w:tr>
      <w:tr w14:paraId="24531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A16466A">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选</w:t>
            </w:r>
            <w:r>
              <w:rPr>
                <w:rFonts w:ascii="黑体" w:hAnsi="黑体" w:eastAsia="黑体"/>
                <w:color w:val="000000" w:themeColor="text1"/>
                <w:sz w:val="21"/>
                <w:szCs w:val="18"/>
                <w14:textFill>
                  <w14:solidFill>
                    <w14:schemeClr w14:val="tx1"/>
                  </w14:solidFill>
                </w14:textFill>
              </w:rPr>
              <w:t>用教材</w:t>
            </w:r>
          </w:p>
        </w:tc>
        <w:tc>
          <w:tcPr>
            <w:tcW w:w="4386" w:type="dxa"/>
            <w:gridSpan w:val="3"/>
            <w:vAlign w:val="center"/>
          </w:tcPr>
          <w:p w14:paraId="4BDE87FB">
            <w:pPr>
              <w:widowControl w:val="0"/>
              <w:jc w:val="left"/>
              <w:rPr>
                <w:rFonts w:hint="eastAsia" w:ascii="黑体" w:hAnsi="黑体" w:eastAsia="宋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w:t>
            </w:r>
            <w:r>
              <w:rPr>
                <w:rFonts w:hint="eastAsia" w:ascii="宋体" w:hAnsi="宋体" w:eastAsia="宋体" w:cs="宋体"/>
                <w:color w:val="000000" w:themeColor="text1"/>
                <w:sz w:val="21"/>
                <w:szCs w:val="18"/>
                <w14:textFill>
                  <w14:solidFill>
                    <w14:schemeClr w14:val="tx1"/>
                  </w14:solidFill>
                </w14:textFill>
              </w:rPr>
              <w:t>大学物理学</w:t>
            </w:r>
            <w:r>
              <w:rPr>
                <w:rFonts w:hint="eastAsia" w:ascii="宋体" w:hAnsi="宋体" w:eastAsia="宋体" w:cs="宋体"/>
                <w:color w:val="000000" w:themeColor="text1"/>
                <w:sz w:val="21"/>
                <w:szCs w:val="18"/>
                <w:lang w:eastAsia="zh-CN"/>
                <w14:textFill>
                  <w14:solidFill>
                    <w14:schemeClr w14:val="tx1"/>
                  </w14:solidFill>
                </w14:textFill>
              </w:rPr>
              <w:t>》王少杰等</w:t>
            </w:r>
            <w:r>
              <w:rPr>
                <w:rFonts w:hint="default" w:ascii="Times New Roman" w:hAnsi="Times New Roman" w:eastAsia="宋体" w:cs="Times New Roman"/>
                <w:color w:val="000000" w:themeColor="text1"/>
                <w:sz w:val="21"/>
                <w:szCs w:val="18"/>
                <w:lang w:val="en-US" w:eastAsia="zh-CN"/>
                <w14:textFill>
                  <w14:solidFill>
                    <w14:schemeClr w14:val="tx1"/>
                  </w14:solidFill>
                </w14:textFill>
              </w:rPr>
              <w:t>ISBN</w:t>
            </w:r>
            <w:r>
              <w:rPr>
                <w:rFonts w:hint="default" w:ascii="Times New Roman" w:hAnsi="Times New Roman" w:eastAsia="宋体" w:cs="Times New Roman"/>
                <w:color w:val="000000" w:themeColor="text1"/>
                <w:sz w:val="21"/>
                <w:szCs w:val="18"/>
                <w14:textFill>
                  <w14:solidFill>
                    <w14:schemeClr w14:val="tx1"/>
                  </w14:solidFill>
                </w14:textFill>
              </w:rPr>
              <w:t>9787040606300</w:t>
            </w:r>
            <w:r>
              <w:rPr>
                <w:rFonts w:hint="eastAsia" w:ascii="Times New Roman" w:hAnsi="Times New Roman" w:cs="Times New Roman"/>
                <w:color w:val="000000" w:themeColor="text1"/>
                <w:sz w:val="21"/>
                <w:szCs w:val="18"/>
                <w:lang w:eastAsia="zh-CN"/>
                <w14:textFill>
                  <w14:solidFill>
                    <w14:schemeClr w14:val="tx1"/>
                  </w14:solidFill>
                </w14:textFill>
              </w:rPr>
              <w:t>，高等教育出版社，第五版</w:t>
            </w:r>
          </w:p>
        </w:tc>
        <w:tc>
          <w:tcPr>
            <w:tcW w:w="1413" w:type="dxa"/>
            <w:gridSpan w:val="2"/>
            <w:vAlign w:val="center"/>
          </w:tcPr>
          <w:p w14:paraId="0C575C39">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是否为</w:t>
            </w:r>
          </w:p>
          <w:p w14:paraId="1EF6FCAA">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马工程教材</w:t>
            </w:r>
          </w:p>
        </w:tc>
        <w:tc>
          <w:tcPr>
            <w:tcW w:w="786" w:type="dxa"/>
            <w:tcBorders>
              <w:right w:val="single" w:color="auto" w:sz="12" w:space="0"/>
            </w:tcBorders>
            <w:vAlign w:val="center"/>
          </w:tcPr>
          <w:p w14:paraId="3B5384EF">
            <w:pPr>
              <w:widowControl w:val="0"/>
              <w:jc w:val="center"/>
              <w:rPr>
                <w:rFonts w:hint="eastAsia" w:ascii="黑体" w:hAnsi="黑体" w:eastAsia="黑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否</w:t>
            </w:r>
          </w:p>
        </w:tc>
      </w:tr>
      <w:tr w14:paraId="33427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680" w:hRule="atLeast"/>
        </w:trPr>
        <w:tc>
          <w:tcPr>
            <w:tcW w:w="1691" w:type="dxa"/>
            <w:tcBorders>
              <w:left w:val="single" w:color="auto" w:sz="12" w:space="0"/>
            </w:tcBorders>
            <w:shd w:val="clear" w:color="auto" w:fill="auto"/>
            <w:vAlign w:val="center"/>
          </w:tcPr>
          <w:p w14:paraId="0FB69F41">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先修课程</w:t>
            </w:r>
          </w:p>
        </w:tc>
        <w:tc>
          <w:tcPr>
            <w:tcW w:w="6585" w:type="dxa"/>
            <w:gridSpan w:val="6"/>
            <w:tcBorders>
              <w:right w:val="single" w:color="auto" w:sz="12" w:space="0"/>
            </w:tcBorders>
            <w:vAlign w:val="center"/>
          </w:tcPr>
          <w:p w14:paraId="1D4A66CE">
            <w:pPr>
              <w:widowControl w:val="0"/>
              <w:jc w:val="left"/>
              <w:rPr>
                <w:rFonts w:hint="default" w:ascii="Times New Roman" w:hAnsi="Times New Roman" w:eastAsia="宋体" w:cs="Times New Roman"/>
                <w:color w:val="000000" w:themeColor="text1"/>
                <w:sz w:val="21"/>
                <w:szCs w:val="18"/>
                <w:lang w:val="en-US"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高等数学（</w:t>
            </w:r>
            <w:r>
              <w:rPr>
                <w:rFonts w:hint="default" w:ascii="Times New Roman" w:hAnsi="Times New Roman" w:cs="Times New Roman"/>
                <w:color w:val="000000" w:themeColor="text1"/>
                <w:sz w:val="21"/>
                <w:szCs w:val="18"/>
                <w:lang w:val="en-US" w:eastAsia="zh-CN"/>
                <w14:textFill>
                  <w14:solidFill>
                    <w14:schemeClr w14:val="tx1"/>
                  </w14:solidFill>
                </w14:textFill>
              </w:rPr>
              <w:t>1</w:t>
            </w:r>
            <w:r>
              <w:rPr>
                <w:rFonts w:hint="default" w:ascii="Times New Roman" w:hAnsi="Times New Roman" w:eastAsia="宋体" w:cs="Times New Roman"/>
                <w:color w:val="000000" w:themeColor="text1"/>
                <w:sz w:val="21"/>
                <w:szCs w:val="18"/>
                <w14:textFill>
                  <w14:solidFill>
                    <w14:schemeClr w14:val="tx1"/>
                  </w14:solidFill>
                </w14:textFill>
              </w:rPr>
              <w:t>）</w:t>
            </w:r>
            <w:r>
              <w:rPr>
                <w:rFonts w:hint="default" w:ascii="Times New Roman" w:hAnsi="Times New Roman" w:cs="Times New Roman"/>
                <w:color w:val="000000" w:themeColor="text1"/>
                <w:sz w:val="21"/>
                <w:szCs w:val="18"/>
                <w:lang w:eastAsia="zh-CN"/>
                <w14:textFill>
                  <w14:solidFill>
                    <w14:schemeClr w14:val="tx1"/>
                  </w14:solidFill>
                </w14:textFill>
              </w:rPr>
              <w:t>理工类</w:t>
            </w:r>
            <w:r>
              <w:rPr>
                <w:rFonts w:hint="default" w:ascii="Times New Roman" w:hAnsi="Times New Roman" w:cs="Times New Roman"/>
                <w:color w:val="000000" w:themeColor="text1"/>
                <w:sz w:val="21"/>
                <w:szCs w:val="18"/>
                <w:lang w:val="en-US" w:eastAsia="zh-CN"/>
                <w14:textFill>
                  <w14:solidFill>
                    <w14:schemeClr w14:val="tx1"/>
                  </w14:solidFill>
                </w14:textFill>
              </w:rPr>
              <w:t>2100013（6）</w:t>
            </w:r>
            <w:r>
              <w:rPr>
                <w:rFonts w:hint="eastAsia" w:ascii="Times New Roman" w:hAnsi="Times New Roman" w:cs="Times New Roman"/>
                <w:color w:val="000000" w:themeColor="text1"/>
                <w:sz w:val="21"/>
                <w:szCs w:val="18"/>
                <w:lang w:val="en-US" w:eastAsia="zh-CN"/>
                <w14:textFill>
                  <w14:solidFill>
                    <w14:schemeClr w14:val="tx1"/>
                  </w14:solidFill>
                </w14:textFill>
              </w:rPr>
              <w:t>、大学物理（1）2100077（3）</w:t>
            </w:r>
          </w:p>
        </w:tc>
      </w:tr>
      <w:tr w14:paraId="0DF71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0" w:hRule="atLeast"/>
        </w:trPr>
        <w:tc>
          <w:tcPr>
            <w:tcW w:w="1691" w:type="dxa"/>
            <w:tcBorders>
              <w:left w:val="single" w:color="auto" w:sz="12" w:space="0"/>
            </w:tcBorders>
            <w:shd w:val="clear" w:color="auto" w:fill="auto"/>
            <w:vAlign w:val="center"/>
          </w:tcPr>
          <w:p w14:paraId="3D4AD4AC">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课程简介</w:t>
            </w:r>
          </w:p>
        </w:tc>
        <w:tc>
          <w:tcPr>
            <w:tcW w:w="6585" w:type="dxa"/>
            <w:gridSpan w:val="6"/>
            <w:tcBorders>
              <w:right w:val="single" w:color="auto" w:sz="12" w:space="0"/>
            </w:tcBorders>
            <w:vAlign w:val="top"/>
          </w:tcPr>
          <w:p w14:paraId="1EA50D4E">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物理学是研究物质基本结构、基本运动形式、相互作用及其转化规律的自然科学。它的基本理论渗透在自然学科的各个领域，应用于生产技术的各个方面，是其他自然科学和工程技术的基础。</w:t>
            </w:r>
          </w:p>
          <w:p w14:paraId="660ABFF3">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《大学物理（</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课程系统地阐述了物理学中热学、振动波动学和</w:t>
            </w:r>
            <w:r>
              <w:rPr>
                <w:rFonts w:hint="default" w:ascii="Times New Roman" w:hAnsi="Times New Roman" w:cs="Times New Roman"/>
                <w:color w:val="000000" w:themeColor="text1"/>
                <w:sz w:val="21"/>
                <w:szCs w:val="18"/>
                <w:lang w:eastAsia="zh-CN"/>
                <w14:textFill>
                  <w14:solidFill>
                    <w14:schemeClr w14:val="tx1"/>
                  </w14:solidFill>
                </w14:textFill>
              </w:rPr>
              <w:t>光学</w:t>
            </w:r>
            <w:r>
              <w:rPr>
                <w:rFonts w:hint="default" w:ascii="Times New Roman" w:hAnsi="Times New Roman" w:cs="Times New Roman"/>
                <w:color w:val="000000" w:themeColor="text1"/>
                <w:sz w:val="21"/>
                <w:szCs w:val="18"/>
                <w:lang w:val="en-US" w:eastAsia="zh-CN"/>
                <w14:textFill>
                  <w14:solidFill>
                    <w14:schemeClr w14:val="tx1"/>
                  </w14:solidFill>
                </w14:textFill>
              </w:rPr>
              <w:t>的基本概念、基本理论和基本方法。振动波动学包括机械振动、机械波；</w:t>
            </w:r>
            <w:r>
              <w:rPr>
                <w:rFonts w:hint="default" w:ascii="Times New Roman" w:hAnsi="Times New Roman" w:cs="Times New Roman"/>
                <w:color w:val="000000" w:themeColor="text1"/>
                <w:sz w:val="21"/>
                <w:szCs w:val="18"/>
                <w:lang w:eastAsia="zh-CN"/>
                <w14:textFill>
                  <w14:solidFill>
                    <w14:schemeClr w14:val="tx1"/>
                  </w14:solidFill>
                </w14:textFill>
              </w:rPr>
              <w:t>热学包括气体动理论、热力学；光学包括光的干涉、光的衍射。</w:t>
            </w:r>
          </w:p>
          <w:p w14:paraId="13928264">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通过本课程的学习，使学生掌握物理学的基本概念、基本理论和基本规律，能运用物理学知识解释自然科学问题，通过进一步深入学习能够分析和解决专业工程中的遇到的物理问题。</w:t>
            </w:r>
          </w:p>
          <w:p w14:paraId="567FE7C9">
            <w:pPr>
              <w:widowControl w:val="0"/>
              <w:ind w:firstLine="420" w:firstLineChars="200"/>
              <w:jc w:val="left"/>
              <w:rPr>
                <w:rFonts w:hint="default" w:ascii="Times New Roman" w:hAnsi="Times New Roman" w:eastAsia="黑体" w:cs="Times New Roman"/>
                <w:color w:val="000000" w:themeColor="text1"/>
                <w:sz w:val="21"/>
                <w:szCs w:val="18"/>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教学中同时把课程思政有效地融入其中，培养学生建立辨证唯物主义世界观，</w:t>
            </w:r>
            <w:r>
              <w:rPr>
                <w:rFonts w:hint="default" w:ascii="Times New Roman" w:hAnsi="Times New Roman" w:cs="Times New Roman" w:eastAsiaTheme="majorEastAsia"/>
                <w:bCs/>
                <w:kern w:val="0"/>
                <w:sz w:val="21"/>
                <w:szCs w:val="21"/>
                <w:lang w:val="en-US" w:eastAsia="zh-CN"/>
              </w:rPr>
              <w:t>使学生在学习物理学知识的同时,逐步建立正确的思想方法和研究方法；培养学生 探索未知、追求真理、勇攀科学高峰的责任感和使命感</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76F58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829" w:hRule="atLeast"/>
        </w:trPr>
        <w:tc>
          <w:tcPr>
            <w:tcW w:w="1691" w:type="dxa"/>
            <w:tcBorders>
              <w:left w:val="single" w:color="auto" w:sz="12" w:space="0"/>
              <w:bottom w:val="double" w:color="auto" w:sz="4" w:space="0"/>
            </w:tcBorders>
            <w:shd w:val="clear" w:color="auto" w:fill="auto"/>
            <w:vAlign w:val="center"/>
          </w:tcPr>
          <w:p w14:paraId="58A962B9">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选课建议</w:t>
            </w:r>
            <w:r>
              <w:rPr>
                <w:rFonts w:hint="eastAsia" w:ascii="黑体" w:hAnsi="黑体" w:eastAsia="黑体"/>
                <w:color w:val="000000" w:themeColor="text1"/>
                <w:sz w:val="21"/>
                <w:szCs w:val="18"/>
                <w14:textFill>
                  <w14:solidFill>
                    <w14:schemeClr w14:val="tx1"/>
                  </w14:solidFill>
                </w14:textFill>
              </w:rPr>
              <w:t>与学习要求</w:t>
            </w:r>
          </w:p>
        </w:tc>
        <w:tc>
          <w:tcPr>
            <w:tcW w:w="6585" w:type="dxa"/>
            <w:gridSpan w:val="6"/>
            <w:tcBorders>
              <w:bottom w:val="double" w:color="auto" w:sz="4" w:space="0"/>
              <w:right w:val="single" w:color="auto" w:sz="12" w:space="0"/>
            </w:tcBorders>
            <w:vAlign w:val="top"/>
          </w:tcPr>
          <w:p w14:paraId="784ACCD5">
            <w:pPr>
              <w:widowControl w:val="0"/>
              <w:jc w:val="left"/>
              <w:rPr>
                <w:rFonts w:hint="default" w:ascii="Times New Roman" w:hAnsi="Times New Roman" w:eastAsia="黑体" w:cs="Times New Roman"/>
                <w:color w:val="000000" w:themeColor="text1"/>
                <w:sz w:val="21"/>
                <w:szCs w:val="18"/>
                <w14:textFill>
                  <w14:solidFill>
                    <w14:schemeClr w14:val="tx1"/>
                  </w14:solidFill>
                </w14:textFill>
              </w:rPr>
            </w:pPr>
            <w:r>
              <w:rPr>
                <w:rFonts w:hint="default" w:ascii="Times New Roman" w:hAnsi="Times New Roman" w:cs="Times New Roman" w:eastAsiaTheme="minorEastAsia"/>
                <w:color w:val="000000" w:themeColor="text1"/>
                <w:sz w:val="21"/>
                <w:szCs w:val="18"/>
                <w:lang w:val="en-US" w:eastAsia="zh-CN"/>
                <w14:textFill>
                  <w14:solidFill>
                    <w14:schemeClr w14:val="tx1"/>
                  </w14:solidFill>
                </w14:textFill>
              </w:rPr>
              <w:t xml:space="preserve">    </w:t>
            </w:r>
            <w:r>
              <w:rPr>
                <w:rFonts w:hint="default" w:ascii="Times New Roman" w:hAnsi="Times New Roman" w:cs="Times New Roman" w:eastAsiaTheme="minorEastAsia"/>
                <w:color w:val="000000" w:themeColor="text1"/>
                <w:sz w:val="21"/>
                <w:szCs w:val="18"/>
                <w14:textFill>
                  <w14:solidFill>
                    <w14:schemeClr w14:val="tx1"/>
                  </w14:solidFill>
                </w14:textFill>
              </w:rPr>
              <w:t>适合理工类本科</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并且培养计划中大学物理上两个学期的专业，建议</w:t>
            </w:r>
            <w:r>
              <w:rPr>
                <w:rFonts w:hint="default" w:ascii="Times New Roman" w:hAnsi="Times New Roman" w:cs="Times New Roman" w:eastAsiaTheme="minorEastAsia"/>
                <w:color w:val="000000" w:themeColor="text1"/>
                <w:sz w:val="21"/>
                <w:szCs w:val="18"/>
                <w14:textFill>
                  <w14:solidFill>
                    <w14:schemeClr w14:val="tx1"/>
                  </w14:solidFill>
                </w14:textFill>
              </w:rPr>
              <w:t>在</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二年级</w:t>
            </w:r>
            <w:r>
              <w:rPr>
                <w:rFonts w:hint="default" w:ascii="Times New Roman" w:hAnsi="Times New Roman" w:cs="Times New Roman" w:eastAsiaTheme="minorEastAsia"/>
                <w:color w:val="000000" w:themeColor="text1"/>
                <w:sz w:val="21"/>
                <w:szCs w:val="18"/>
                <w14:textFill>
                  <w14:solidFill>
                    <w14:schemeClr w14:val="tx1"/>
                  </w14:solidFill>
                </w14:textFill>
              </w:rPr>
              <w:t>学习，要求</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有</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大学</w:t>
            </w:r>
            <w:r>
              <w:rPr>
                <w:rFonts w:hint="default" w:ascii="Times New Roman" w:hAnsi="Times New Roman" w:cs="Times New Roman" w:eastAsiaTheme="minorEastAsia"/>
                <w:color w:val="000000" w:themeColor="text1"/>
                <w:sz w:val="21"/>
                <w:szCs w:val="18"/>
                <w14:textFill>
                  <w14:solidFill>
                    <w14:schemeClr w14:val="tx1"/>
                  </w14:solidFill>
                </w14:textFill>
              </w:rPr>
              <w:t>物理</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w:t>
            </w:r>
            <w:r>
              <w:rPr>
                <w:rFonts w:hint="eastAsia" w:ascii="Times New Roman" w:hAnsi="Times New Roman" w:cs="Times New Roman" w:eastAsiaTheme="minorEastAsia"/>
                <w:color w:val="000000" w:themeColor="text1"/>
                <w:sz w:val="21"/>
                <w:szCs w:val="18"/>
                <w:lang w:val="en-US" w:eastAsia="zh-CN"/>
                <w14:textFill>
                  <w14:solidFill>
                    <w14:schemeClr w14:val="tx1"/>
                  </w14:solidFill>
                </w14:textFill>
              </w:rPr>
              <w:t>1</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18"/>
                <w14:textFill>
                  <w14:solidFill>
                    <w14:schemeClr w14:val="tx1"/>
                  </w14:solidFill>
                </w14:textFill>
              </w:rPr>
              <w:t>和高等数学的基础。</w:t>
            </w:r>
          </w:p>
        </w:tc>
      </w:tr>
      <w:tr w14:paraId="5F46E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top w:val="double" w:color="auto" w:sz="4" w:space="0"/>
              <w:left w:val="single" w:color="auto" w:sz="12" w:space="0"/>
            </w:tcBorders>
            <w:shd w:val="clear" w:color="auto" w:fill="auto"/>
            <w:vAlign w:val="center"/>
          </w:tcPr>
          <w:p w14:paraId="1FD79F14">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大纲编写人</w:t>
            </w:r>
          </w:p>
        </w:tc>
        <w:tc>
          <w:tcPr>
            <w:tcW w:w="3252" w:type="dxa"/>
            <w:gridSpan w:val="2"/>
            <w:tcBorders>
              <w:top w:val="double" w:color="auto" w:sz="4" w:space="0"/>
            </w:tcBorders>
            <w:vAlign w:val="center"/>
          </w:tcPr>
          <w:p w14:paraId="07910653">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drawing>
                <wp:anchor distT="0" distB="0" distL="114300" distR="114300" simplePos="0" relativeHeight="251660288" behindDoc="0" locked="0" layoutInCell="1" allowOverlap="1">
                  <wp:simplePos x="0" y="0"/>
                  <wp:positionH relativeFrom="column">
                    <wp:posOffset>471170</wp:posOffset>
                  </wp:positionH>
                  <wp:positionV relativeFrom="paragraph">
                    <wp:posOffset>-74295</wp:posOffset>
                  </wp:positionV>
                  <wp:extent cx="698500" cy="354330"/>
                  <wp:effectExtent l="0" t="0" r="6350" b="7620"/>
                  <wp:wrapNone/>
                  <wp:docPr id="2" name="图片 2" descr="3004da98d5f78f00443c9ab3344b8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004da98d5f78f00443c9ab3344b8c3"/>
                          <pic:cNvPicPr>
                            <a:picLocks noChangeAspect="1"/>
                          </pic:cNvPicPr>
                        </pic:nvPicPr>
                        <pic:blipFill>
                          <a:blip r:embed="rId5"/>
                          <a:stretch>
                            <a:fillRect/>
                          </a:stretch>
                        </pic:blipFill>
                        <pic:spPr>
                          <a:xfrm>
                            <a:off x="0" y="0"/>
                            <a:ext cx="698500" cy="354330"/>
                          </a:xfrm>
                          <a:prstGeom prst="rect">
                            <a:avLst/>
                          </a:prstGeom>
                        </pic:spPr>
                      </pic:pic>
                    </a:graphicData>
                  </a:graphic>
                </wp:anchor>
              </w:drawing>
            </w:r>
            <w:r>
              <w:drawing>
                <wp:anchor distT="0" distB="0" distL="114300" distR="114300" simplePos="0" relativeHeight="251661312" behindDoc="0" locked="0" layoutInCell="1" allowOverlap="1">
                  <wp:simplePos x="0" y="0"/>
                  <wp:positionH relativeFrom="column">
                    <wp:posOffset>382270</wp:posOffset>
                  </wp:positionH>
                  <wp:positionV relativeFrom="paragraph">
                    <wp:posOffset>328295</wp:posOffset>
                  </wp:positionV>
                  <wp:extent cx="809625" cy="400050"/>
                  <wp:effectExtent l="0" t="0" r="9525" b="0"/>
                  <wp:wrapNone/>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6"/>
                          <a:stretch>
                            <a:fillRect/>
                          </a:stretch>
                        </pic:blipFill>
                        <pic:spPr>
                          <a:xfrm>
                            <a:off x="0" y="0"/>
                            <a:ext cx="809625" cy="400050"/>
                          </a:xfrm>
                          <a:prstGeom prst="rect">
                            <a:avLst/>
                          </a:prstGeom>
                          <a:noFill/>
                          <a:ln>
                            <a:noFill/>
                          </a:ln>
                        </pic:spPr>
                      </pic:pic>
                    </a:graphicData>
                  </a:graphic>
                </wp:anchor>
              </w:drawing>
            </w:r>
            <w:r>
              <w:rPr>
                <w:rFonts w:hint="eastAsia"/>
                <w:sz w:val="21"/>
                <w:szCs w:val="21"/>
              </w:rPr>
              <w:t>（签名）</w:t>
            </w:r>
          </w:p>
        </w:tc>
        <w:tc>
          <w:tcPr>
            <w:tcW w:w="1470" w:type="dxa"/>
            <w:gridSpan w:val="2"/>
            <w:tcBorders>
              <w:top w:val="double" w:color="auto" w:sz="4" w:space="0"/>
            </w:tcBorders>
            <w:vAlign w:val="center"/>
          </w:tcPr>
          <w:p w14:paraId="40024AB2">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制/修订时间</w:t>
            </w:r>
          </w:p>
        </w:tc>
        <w:tc>
          <w:tcPr>
            <w:tcW w:w="1863" w:type="dxa"/>
            <w:gridSpan w:val="2"/>
            <w:tcBorders>
              <w:top w:val="double" w:color="auto" w:sz="4" w:space="0"/>
              <w:right w:val="single" w:color="auto" w:sz="12" w:space="0"/>
            </w:tcBorders>
            <w:vAlign w:val="center"/>
          </w:tcPr>
          <w:p w14:paraId="09B7167D">
            <w:pPr>
              <w:widowControl w:val="0"/>
              <w:jc w:val="center"/>
              <w:rPr>
                <w:rFonts w:ascii="Times New Roman" w:hAnsi="Times New Roman"/>
                <w:color w:val="000000"/>
                <w:sz w:val="21"/>
                <w:szCs w:val="21"/>
              </w:rPr>
            </w:pPr>
            <w:r>
              <w:rPr>
                <w:rFonts w:hint="eastAsia" w:ascii="Times New Roman" w:hAnsi="Times New Roman"/>
                <w:color w:val="000000"/>
                <w:sz w:val="21"/>
                <w:szCs w:val="21"/>
                <w:lang w:val="en-US" w:eastAsia="zh-CN"/>
              </w:rPr>
              <w:t>2024年8月16日</w:t>
            </w:r>
          </w:p>
        </w:tc>
      </w:tr>
      <w:tr w14:paraId="24D14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tcBorders>
            <w:shd w:val="clear" w:color="auto" w:fill="auto"/>
            <w:vAlign w:val="center"/>
          </w:tcPr>
          <w:p w14:paraId="20D73FFE">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专业负责人</w:t>
            </w:r>
          </w:p>
        </w:tc>
        <w:tc>
          <w:tcPr>
            <w:tcW w:w="3252" w:type="dxa"/>
            <w:gridSpan w:val="2"/>
            <w:vAlign w:val="center"/>
          </w:tcPr>
          <w:p w14:paraId="27B1FF74">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t>（签名）</w:t>
            </w:r>
          </w:p>
        </w:tc>
        <w:tc>
          <w:tcPr>
            <w:tcW w:w="1470" w:type="dxa"/>
            <w:gridSpan w:val="2"/>
            <w:vAlign w:val="center"/>
          </w:tcPr>
          <w:p w14:paraId="697A904A">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审定时间</w:t>
            </w:r>
          </w:p>
        </w:tc>
        <w:tc>
          <w:tcPr>
            <w:tcW w:w="1863" w:type="dxa"/>
            <w:gridSpan w:val="2"/>
            <w:tcBorders>
              <w:right w:val="single" w:color="auto" w:sz="12" w:space="0"/>
            </w:tcBorders>
            <w:vAlign w:val="center"/>
          </w:tcPr>
          <w:p w14:paraId="2ABB7FB1">
            <w:pPr>
              <w:widowControl w:val="0"/>
              <w:jc w:val="center"/>
              <w:rPr>
                <w:rFonts w:ascii="Times New Roman" w:hAnsi="Times New Roman"/>
                <w:color w:val="000000"/>
                <w:sz w:val="21"/>
                <w:szCs w:val="21"/>
              </w:rPr>
            </w:pPr>
            <w:r>
              <w:rPr>
                <w:rFonts w:hint="eastAsia" w:ascii="Times New Roman" w:hAnsi="Times New Roman"/>
                <w:color w:val="000000"/>
                <w:sz w:val="21"/>
                <w:szCs w:val="21"/>
                <w:lang w:val="en-US" w:eastAsia="zh-CN"/>
              </w:rPr>
              <w:t>2024年8</w:t>
            </w:r>
            <w:bookmarkStart w:id="6" w:name="_GoBack"/>
            <w:bookmarkEnd w:id="6"/>
            <w:r>
              <w:rPr>
                <w:rFonts w:hint="eastAsia" w:ascii="Times New Roman" w:hAnsi="Times New Roman"/>
                <w:color w:val="000000"/>
                <w:sz w:val="21"/>
                <w:szCs w:val="21"/>
                <w:lang w:val="en-US" w:eastAsia="zh-CN"/>
              </w:rPr>
              <w:t>月18日</w:t>
            </w:r>
          </w:p>
        </w:tc>
      </w:tr>
      <w:tr w14:paraId="29EF4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bottom w:val="single" w:color="auto" w:sz="12" w:space="0"/>
            </w:tcBorders>
            <w:shd w:val="clear" w:color="auto" w:fill="auto"/>
            <w:vAlign w:val="center"/>
          </w:tcPr>
          <w:p w14:paraId="1B5A4FDC">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学院负责人</w:t>
            </w:r>
          </w:p>
        </w:tc>
        <w:tc>
          <w:tcPr>
            <w:tcW w:w="3252" w:type="dxa"/>
            <w:gridSpan w:val="2"/>
            <w:tcBorders>
              <w:bottom w:val="single" w:color="auto" w:sz="12" w:space="0"/>
            </w:tcBorders>
            <w:vAlign w:val="center"/>
          </w:tcPr>
          <w:p w14:paraId="467A4A49">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t>（签名）</w:t>
            </w:r>
          </w:p>
        </w:tc>
        <w:tc>
          <w:tcPr>
            <w:tcW w:w="1470" w:type="dxa"/>
            <w:gridSpan w:val="2"/>
            <w:tcBorders>
              <w:bottom w:val="single" w:color="auto" w:sz="12" w:space="0"/>
            </w:tcBorders>
            <w:vAlign w:val="center"/>
          </w:tcPr>
          <w:p w14:paraId="61C2D48B">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批准时间</w:t>
            </w:r>
          </w:p>
        </w:tc>
        <w:tc>
          <w:tcPr>
            <w:tcW w:w="1863" w:type="dxa"/>
            <w:gridSpan w:val="2"/>
            <w:tcBorders>
              <w:bottom w:val="single" w:color="auto" w:sz="12" w:space="0"/>
              <w:right w:val="single" w:color="auto" w:sz="12" w:space="0"/>
            </w:tcBorders>
            <w:vAlign w:val="center"/>
          </w:tcPr>
          <w:p w14:paraId="40D44EDE">
            <w:pPr>
              <w:widowControl w:val="0"/>
              <w:jc w:val="center"/>
              <w:rPr>
                <w:rFonts w:ascii="Times New Roman" w:hAnsi="Times New Roman"/>
                <w:color w:val="000000"/>
                <w:sz w:val="21"/>
                <w:szCs w:val="21"/>
              </w:rPr>
            </w:pPr>
          </w:p>
        </w:tc>
      </w:tr>
    </w:tbl>
    <w:p w14:paraId="63210F11">
      <w:pPr>
        <w:spacing w:line="100" w:lineRule="exact"/>
        <w:rPr>
          <w:rFonts w:ascii="Arial" w:hAnsi="Arial" w:eastAsia="黑体"/>
        </w:rPr>
      </w:pPr>
      <w:r>
        <w:br w:type="page"/>
      </w:r>
    </w:p>
    <w:p w14:paraId="77183696">
      <w:pPr>
        <w:pStyle w:val="16"/>
        <w:spacing w:before="326" w:beforeLines="100" w:line="360" w:lineRule="auto"/>
        <w:rPr>
          <w:rFonts w:ascii="黑体" w:hAnsi="宋体"/>
        </w:rPr>
      </w:pPr>
      <w:r>
        <w:rPr>
          <w:rFonts w:hint="eastAsia" w:ascii="黑体" w:hAnsi="宋体"/>
        </w:rPr>
        <w:t>二、课程目标与毕业要求</w:t>
      </w:r>
    </w:p>
    <w:p w14:paraId="5FBB3284">
      <w:pPr>
        <w:pStyle w:val="17"/>
        <w:spacing w:before="81" w:after="163"/>
      </w:pPr>
      <w:r>
        <w:rPr>
          <w:rFonts w:hint="eastAsia"/>
        </w:rPr>
        <w:t xml:space="preserve">（一）课程目标 </w:t>
      </w:r>
    </w:p>
    <w:tbl>
      <w:tblPr>
        <w:tblStyle w:val="7"/>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85" w:type="dxa"/>
          <w:bottom w:w="57" w:type="dxa"/>
          <w:right w:w="85" w:type="dxa"/>
        </w:tblCellMar>
      </w:tblPr>
      <w:tblGrid>
        <w:gridCol w:w="1235"/>
        <w:gridCol w:w="782"/>
        <w:gridCol w:w="6459"/>
      </w:tblGrid>
      <w:tr w14:paraId="5D6316D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454" w:hRule="atLeast"/>
          <w:jc w:val="center"/>
        </w:trPr>
        <w:tc>
          <w:tcPr>
            <w:tcW w:w="1235" w:type="dxa"/>
            <w:vAlign w:val="center"/>
          </w:tcPr>
          <w:p w14:paraId="5102B8F3">
            <w:pPr>
              <w:snapToGrid w:val="0"/>
              <w:jc w:val="center"/>
              <w:rPr>
                <w:rFonts w:ascii="黑体" w:hAnsi="黑体" w:eastAsia="黑体"/>
                <w:bCs/>
                <w:color w:val="000000"/>
                <w:sz w:val="21"/>
                <w:szCs w:val="18"/>
              </w:rPr>
            </w:pPr>
            <w:r>
              <w:rPr>
                <w:rFonts w:hint="eastAsia" w:ascii="黑体" w:hAnsi="黑体" w:eastAsia="黑体"/>
                <w:bCs/>
                <w:color w:val="000000"/>
                <w:sz w:val="21"/>
                <w:szCs w:val="18"/>
              </w:rPr>
              <w:t>类型</w:t>
            </w:r>
          </w:p>
        </w:tc>
        <w:tc>
          <w:tcPr>
            <w:tcW w:w="782" w:type="dxa"/>
            <w:shd w:val="clear" w:color="auto" w:fill="auto"/>
            <w:vAlign w:val="center"/>
          </w:tcPr>
          <w:p w14:paraId="5013127C">
            <w:pPr>
              <w:snapToGrid w:val="0"/>
              <w:jc w:val="center"/>
              <w:rPr>
                <w:rFonts w:ascii="黑体" w:hAnsi="黑体" w:eastAsia="黑体"/>
                <w:bCs/>
                <w:color w:val="000000"/>
                <w:sz w:val="21"/>
                <w:szCs w:val="18"/>
              </w:rPr>
            </w:pPr>
            <w:r>
              <w:rPr>
                <w:rFonts w:hint="eastAsia" w:ascii="黑体" w:hAnsi="黑体" w:eastAsia="黑体"/>
                <w:bCs/>
                <w:color w:val="000000"/>
                <w:sz w:val="21"/>
                <w:szCs w:val="18"/>
              </w:rPr>
              <w:t>序号</w:t>
            </w:r>
          </w:p>
        </w:tc>
        <w:tc>
          <w:tcPr>
            <w:tcW w:w="6459" w:type="dxa"/>
            <w:vAlign w:val="center"/>
          </w:tcPr>
          <w:p w14:paraId="192B6091">
            <w:pPr>
              <w:snapToGrid w:val="0"/>
              <w:jc w:val="center"/>
              <w:rPr>
                <w:rFonts w:ascii="黑体" w:hAnsi="黑体" w:eastAsia="黑体"/>
                <w:bCs/>
                <w:color w:val="000000"/>
                <w:sz w:val="21"/>
                <w:szCs w:val="18"/>
              </w:rPr>
            </w:pPr>
            <w:r>
              <w:rPr>
                <w:rFonts w:hint="eastAsia" w:ascii="黑体" w:hAnsi="黑体" w:eastAsia="黑体"/>
                <w:bCs/>
                <w:color w:val="000000"/>
                <w:sz w:val="21"/>
                <w:szCs w:val="18"/>
              </w:rPr>
              <w:t>内容</w:t>
            </w:r>
          </w:p>
        </w:tc>
      </w:tr>
      <w:tr w14:paraId="6E07A9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562" w:hRule="atLeast"/>
          <w:jc w:val="center"/>
        </w:trPr>
        <w:tc>
          <w:tcPr>
            <w:tcW w:w="1235" w:type="dxa"/>
            <w:vMerge w:val="restart"/>
            <w:vAlign w:val="center"/>
          </w:tcPr>
          <w:p w14:paraId="04CF8766">
            <w:pPr>
              <w:snapToGrid w:val="0"/>
              <w:jc w:val="center"/>
            </w:pPr>
            <w:r>
              <w:rPr>
                <w:rFonts w:hint="eastAsia" w:ascii="黑体" w:hAnsi="黑体" w:eastAsia="黑体"/>
                <w:bCs/>
                <w:color w:val="000000"/>
                <w:sz w:val="21"/>
                <w:szCs w:val="18"/>
              </w:rPr>
              <w:t>知识目标</w:t>
            </w:r>
          </w:p>
        </w:tc>
        <w:tc>
          <w:tcPr>
            <w:tcW w:w="782" w:type="dxa"/>
            <w:shd w:val="clear" w:color="auto" w:fill="auto"/>
            <w:vAlign w:val="center"/>
          </w:tcPr>
          <w:p w14:paraId="7B895ED4">
            <w:pPr>
              <w:snapToGrid w:val="0"/>
              <w:jc w:val="center"/>
              <w:rPr>
                <w:rFonts w:hint="default" w:ascii="Times New Roman" w:hAnsi="Times New Roman" w:eastAsia="宋体" w:cs="Times New Roman"/>
                <w:bCs/>
                <w:color w:val="000000"/>
                <w:sz w:val="21"/>
                <w:szCs w:val="18"/>
              </w:rPr>
            </w:pPr>
            <w:r>
              <w:rPr>
                <w:rFonts w:hint="default" w:ascii="Times New Roman" w:hAnsi="Times New Roman" w:eastAsia="宋体" w:cs="Times New Roman"/>
                <w:bCs/>
                <w:color w:val="000000"/>
                <w:sz w:val="21"/>
                <w:szCs w:val="18"/>
              </w:rPr>
              <w:t>1</w:t>
            </w:r>
          </w:p>
        </w:tc>
        <w:tc>
          <w:tcPr>
            <w:tcW w:w="6459" w:type="dxa"/>
            <w:vAlign w:val="center"/>
          </w:tcPr>
          <w:p w14:paraId="4D8EA550">
            <w:pPr>
              <w:keepNext w:val="0"/>
              <w:keepLines w:val="0"/>
              <w:widowControl/>
              <w:suppressLineNumbers w:val="0"/>
              <w:jc w:val="left"/>
              <w:rPr>
                <w:rFonts w:hint="default" w:ascii="Times New Roman" w:hAnsi="Times New Roman" w:cs="Times New Roman"/>
                <w:b/>
                <w:bCs w:val="0"/>
                <w:color w:val="000000"/>
                <w:sz w:val="21"/>
                <w:szCs w:val="18"/>
                <w:lang w:val="en-US" w:eastAsia="zh-CN"/>
              </w:rPr>
            </w:pPr>
            <w:r>
              <w:rPr>
                <w:rFonts w:hint="default" w:ascii="Times New Roman" w:hAnsi="Times New Roman" w:cs="Times New Roman"/>
                <w:b/>
                <w:bCs w:val="0"/>
                <w:color w:val="000000"/>
                <w:sz w:val="21"/>
                <w:szCs w:val="18"/>
                <w:lang w:val="en-US" w:eastAsia="zh-CN"/>
              </w:rPr>
              <w:t>掌握振动波动、光学和热学的基本概念、基本理论和基本方法。</w:t>
            </w:r>
          </w:p>
          <w:p w14:paraId="7747D16B">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使学生对</w:t>
            </w:r>
            <w:r>
              <w:rPr>
                <w:rFonts w:hint="eastAsia" w:ascii="Times New Roman" w:hAnsi="Times New Roman" w:cs="Times New Roman"/>
                <w:bCs/>
                <w:color w:val="000000"/>
                <w:sz w:val="21"/>
                <w:szCs w:val="18"/>
                <w:lang w:val="en-US" w:eastAsia="zh-CN"/>
              </w:rPr>
              <w:t>振动</w:t>
            </w:r>
            <w:r>
              <w:rPr>
                <w:rFonts w:hint="default" w:ascii="Times New Roman" w:hAnsi="Times New Roman" w:cs="Times New Roman"/>
                <w:b w:val="0"/>
                <w:bCs/>
                <w:color w:val="000000"/>
                <w:sz w:val="21"/>
                <w:szCs w:val="18"/>
                <w:lang w:val="en-US" w:eastAsia="zh-CN"/>
              </w:rPr>
              <w:t>波动、光学和热学</w:t>
            </w:r>
            <w:r>
              <w:rPr>
                <w:rFonts w:hint="default" w:ascii="Times New Roman" w:hAnsi="Times New Roman" w:cs="Times New Roman"/>
                <w:bCs/>
                <w:color w:val="000000"/>
                <w:sz w:val="21"/>
                <w:szCs w:val="18"/>
                <w:lang w:val="en-US" w:eastAsia="zh-CN"/>
              </w:rPr>
              <w:t>的基本概念、基本原理和基本规律有较全面系统地认识，了解各种运动形式之间的联系以及物理学的近现代发展和成就。</w:t>
            </w:r>
          </w:p>
        </w:tc>
      </w:tr>
      <w:tr w14:paraId="1598FA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436" w:hRule="atLeast"/>
          <w:jc w:val="center"/>
        </w:trPr>
        <w:tc>
          <w:tcPr>
            <w:tcW w:w="1235" w:type="dxa"/>
            <w:vMerge w:val="restart"/>
            <w:vAlign w:val="center"/>
          </w:tcPr>
          <w:p w14:paraId="3E6B23BD">
            <w:pPr>
              <w:snapToGrid w:val="0"/>
              <w:jc w:val="center"/>
            </w:pPr>
            <w:r>
              <w:rPr>
                <w:rFonts w:hint="eastAsia" w:ascii="黑体" w:hAnsi="黑体" w:eastAsia="黑体"/>
                <w:bCs/>
                <w:color w:val="000000"/>
                <w:sz w:val="21"/>
                <w:szCs w:val="18"/>
              </w:rPr>
              <w:t>技能目标</w:t>
            </w:r>
          </w:p>
        </w:tc>
        <w:tc>
          <w:tcPr>
            <w:tcW w:w="782" w:type="dxa"/>
            <w:shd w:val="clear" w:color="auto" w:fill="auto"/>
            <w:vAlign w:val="center"/>
          </w:tcPr>
          <w:p w14:paraId="5993813F">
            <w:pPr>
              <w:snapToGrid w:val="0"/>
              <w:jc w:val="center"/>
              <w:rPr>
                <w:rFonts w:hint="default" w:ascii="Times New Roman" w:hAnsi="Times New Roman" w:eastAsia="宋体" w:cs="Times New Roman"/>
                <w:bCs/>
                <w:color w:val="000000"/>
                <w:sz w:val="21"/>
                <w:szCs w:val="18"/>
                <w:lang w:eastAsia="zh-CN"/>
              </w:rPr>
            </w:pPr>
            <w:r>
              <w:rPr>
                <w:rFonts w:hint="default" w:ascii="Times New Roman" w:hAnsi="Times New Roman" w:eastAsia="宋体" w:cs="Times New Roman"/>
                <w:bCs/>
                <w:color w:val="000000"/>
                <w:sz w:val="21"/>
                <w:szCs w:val="18"/>
                <w:lang w:val="en-US" w:eastAsia="zh-CN"/>
              </w:rPr>
              <w:t>2</w:t>
            </w:r>
          </w:p>
        </w:tc>
        <w:tc>
          <w:tcPr>
            <w:tcW w:w="6459" w:type="dxa"/>
            <w:vAlign w:val="center"/>
          </w:tcPr>
          <w:p w14:paraId="275EEF1D">
            <w:pPr>
              <w:keepNext w:val="0"/>
              <w:keepLines w:val="0"/>
              <w:widowControl/>
              <w:suppressLineNumbers w:val="0"/>
              <w:jc w:val="left"/>
              <w:rPr>
                <w:rFonts w:hint="default" w:ascii="Times New Roman" w:hAnsi="Times New Roman" w:cs="Times New Roman"/>
                <w:b/>
                <w:bCs w:val="0"/>
                <w:color w:val="000000"/>
                <w:sz w:val="21"/>
                <w:szCs w:val="18"/>
                <w:lang w:val="en-US" w:eastAsia="zh-CN"/>
              </w:rPr>
            </w:pPr>
            <w:r>
              <w:rPr>
                <w:rFonts w:hint="default" w:ascii="Times New Roman" w:hAnsi="Times New Roman" w:cs="Times New Roman"/>
                <w:b/>
                <w:bCs w:val="0"/>
                <w:color w:val="000000"/>
                <w:sz w:val="21"/>
                <w:szCs w:val="18"/>
                <w:lang w:val="en-US" w:eastAsia="zh-CN"/>
              </w:rPr>
              <w:t xml:space="preserve">进行科学思维方法和运算能力的训练。 </w:t>
            </w:r>
          </w:p>
          <w:p w14:paraId="0210287E">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使学生在运算能力、抽象思维能力和对世界的认识能力等方面受到初步训练；熟悉研究物理学的基本思想和基本方法；培养学生判断、推理、归纳的逻辑思维 能力；细致、敏锐、准确的观察能力、想象创造力，逐步建立科学思维方法和运算能力。</w:t>
            </w:r>
          </w:p>
        </w:tc>
      </w:tr>
      <w:tr w14:paraId="0D70E1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505" w:hRule="atLeast"/>
          <w:jc w:val="center"/>
        </w:trPr>
        <w:tc>
          <w:tcPr>
            <w:tcW w:w="1235" w:type="dxa"/>
            <w:vMerge w:val="continue"/>
            <w:vAlign w:val="center"/>
          </w:tcPr>
          <w:p w14:paraId="3273A415">
            <w:pPr>
              <w:snapToGrid w:val="0"/>
              <w:jc w:val="center"/>
              <w:rPr>
                <w:rFonts w:hint="eastAsia" w:ascii="黑体" w:hAnsi="黑体" w:eastAsia="黑体"/>
                <w:bCs/>
                <w:color w:val="000000"/>
                <w:sz w:val="21"/>
                <w:szCs w:val="18"/>
              </w:rPr>
            </w:pPr>
          </w:p>
        </w:tc>
        <w:tc>
          <w:tcPr>
            <w:tcW w:w="782" w:type="dxa"/>
            <w:shd w:val="clear" w:color="auto" w:fill="auto"/>
            <w:vAlign w:val="center"/>
          </w:tcPr>
          <w:p w14:paraId="14709475">
            <w:pPr>
              <w:snapToGrid w:val="0"/>
              <w:jc w:val="center"/>
              <w:rPr>
                <w:rFonts w:hint="default" w:ascii="Times New Roman" w:hAnsi="Times New Roman" w:eastAsia="宋体" w:cs="Times New Roman"/>
                <w:bCs/>
                <w:color w:val="000000"/>
                <w:sz w:val="21"/>
                <w:szCs w:val="18"/>
                <w:lang w:val="en-US" w:eastAsia="zh-CN"/>
              </w:rPr>
            </w:pPr>
            <w:r>
              <w:rPr>
                <w:rFonts w:hint="default" w:ascii="Times New Roman" w:hAnsi="Times New Roman" w:eastAsia="宋体" w:cs="Times New Roman"/>
                <w:bCs/>
                <w:color w:val="000000"/>
                <w:sz w:val="21"/>
                <w:szCs w:val="18"/>
                <w:lang w:val="en-US" w:eastAsia="zh-CN"/>
              </w:rPr>
              <w:t>3</w:t>
            </w:r>
          </w:p>
        </w:tc>
        <w:tc>
          <w:tcPr>
            <w:tcW w:w="6459" w:type="dxa"/>
            <w:vAlign w:val="center"/>
          </w:tcPr>
          <w:p w14:paraId="17A6F8AB">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
                <w:bCs w:val="0"/>
                <w:color w:val="000000"/>
                <w:sz w:val="21"/>
                <w:szCs w:val="18"/>
                <w:lang w:val="en-US" w:eastAsia="zh-CN"/>
              </w:rPr>
              <w:t>应用物理学基本原理对工程问题建模和解决问题。</w:t>
            </w:r>
            <w:r>
              <w:rPr>
                <w:rFonts w:hint="default" w:ascii="Times New Roman" w:hAnsi="Times New Roman" w:cs="Times New Roman"/>
                <w:bCs/>
                <w:color w:val="000000"/>
                <w:sz w:val="21"/>
                <w:szCs w:val="18"/>
                <w:lang w:val="en-US" w:eastAsia="zh-CN"/>
              </w:rPr>
              <w:t xml:space="preserve"> </w:t>
            </w:r>
          </w:p>
          <w:p w14:paraId="48EEBA2C">
            <w:pPr>
              <w:keepNext w:val="0"/>
              <w:keepLines w:val="0"/>
              <w:widowControl/>
              <w:suppressLineNumbers w:val="0"/>
              <w:jc w:val="left"/>
              <w:rPr>
                <w:rFonts w:hint="default" w:ascii="Times New Roman" w:hAnsi="Times New Roman" w:eastAsia="宋体"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培养学生分析问题和解决问题的能力，使学生在学习物理学知识的同时,能够具有运用物理学原理处理、解决实际问题的能力。</w:t>
            </w:r>
          </w:p>
        </w:tc>
      </w:tr>
      <w:tr w14:paraId="460DA4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Align w:val="center"/>
          </w:tcPr>
          <w:p w14:paraId="1196D082">
            <w:pPr>
              <w:snapToGrid w:val="0"/>
              <w:jc w:val="center"/>
              <w:rPr>
                <w:rFonts w:ascii="Arial" w:hAnsi="Arial" w:eastAsia="黑体" w:cs="Arial"/>
                <w:bCs/>
                <w:color w:val="000000"/>
                <w:sz w:val="21"/>
                <w:szCs w:val="18"/>
              </w:rPr>
            </w:pPr>
            <w:r>
              <w:rPr>
                <w:rFonts w:hint="eastAsia" w:ascii="Arial" w:hAnsi="Arial" w:eastAsia="黑体" w:cs="Arial"/>
                <w:bCs/>
                <w:color w:val="000000"/>
                <w:sz w:val="21"/>
                <w:szCs w:val="18"/>
              </w:rPr>
              <w:t>素养目标</w:t>
            </w:r>
          </w:p>
          <w:p w14:paraId="09ECE5EE">
            <w:pPr>
              <w:snapToGrid w:val="0"/>
              <w:jc w:val="center"/>
            </w:pPr>
            <w:r>
              <w:rPr>
                <w:rFonts w:hint="eastAsia" w:ascii="黑体" w:hAnsi="黑体" w:eastAsia="黑体"/>
                <w:bCs/>
                <w:color w:val="000000"/>
                <w:sz w:val="21"/>
                <w:szCs w:val="18"/>
              </w:rPr>
              <w:t>(含课程思政目标</w:t>
            </w:r>
            <w:r>
              <w:rPr>
                <w:rFonts w:ascii="黑体" w:hAnsi="黑体" w:eastAsia="黑体"/>
                <w:bCs/>
                <w:color w:val="000000"/>
                <w:sz w:val="21"/>
                <w:szCs w:val="18"/>
              </w:rPr>
              <w:t>)</w:t>
            </w:r>
          </w:p>
        </w:tc>
        <w:tc>
          <w:tcPr>
            <w:tcW w:w="782" w:type="dxa"/>
            <w:shd w:val="clear" w:color="auto" w:fill="auto"/>
            <w:vAlign w:val="center"/>
          </w:tcPr>
          <w:p w14:paraId="1FC17247">
            <w:pPr>
              <w:snapToGrid w:val="0"/>
              <w:jc w:val="center"/>
              <w:rPr>
                <w:rFonts w:hint="default" w:ascii="Times New Roman" w:hAnsi="Times New Roman" w:eastAsia="宋体" w:cs="Times New Roman"/>
                <w:bCs/>
                <w:color w:val="000000"/>
                <w:sz w:val="21"/>
                <w:szCs w:val="18"/>
                <w:lang w:eastAsia="zh-CN"/>
              </w:rPr>
            </w:pPr>
            <w:r>
              <w:rPr>
                <w:rFonts w:hint="default" w:ascii="Times New Roman" w:hAnsi="Times New Roman" w:eastAsia="宋体" w:cs="Times New Roman"/>
                <w:bCs/>
                <w:color w:val="000000"/>
                <w:sz w:val="21"/>
                <w:szCs w:val="18"/>
                <w:lang w:val="en-US" w:eastAsia="zh-CN"/>
              </w:rPr>
              <w:t>4</w:t>
            </w:r>
          </w:p>
        </w:tc>
        <w:tc>
          <w:tcPr>
            <w:tcW w:w="6459" w:type="dxa"/>
            <w:vAlign w:val="center"/>
          </w:tcPr>
          <w:p w14:paraId="1DA704F3">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
                <w:bCs w:val="0"/>
                <w:color w:val="000000"/>
                <w:sz w:val="21"/>
                <w:szCs w:val="18"/>
                <w:lang w:val="en-US" w:eastAsia="zh-CN"/>
              </w:rPr>
              <w:t>结合辩证唯物主义培养学生的科学精神和科学素质。</w:t>
            </w:r>
            <w:r>
              <w:rPr>
                <w:rFonts w:hint="default" w:ascii="Times New Roman" w:hAnsi="Times New Roman" w:cs="Times New Roman"/>
                <w:bCs/>
                <w:color w:val="000000"/>
                <w:sz w:val="21"/>
                <w:szCs w:val="18"/>
                <w:lang w:val="en-US" w:eastAsia="zh-CN"/>
              </w:rPr>
              <w:t xml:space="preserve"> </w:t>
            </w:r>
          </w:p>
          <w:p w14:paraId="0D4E0F66">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充分发挥本课程在培养学生辩证唯物主义世界观方面的作用,进行课程思政教育。作为处在当今科学、社会高速发展阶段的大学生，不仅应通过学习中国古人的物理学智慧培养学生的民族自豪感，同时应通过学习老一辈物理学家的爱国奉献精神，树立正确的人生观，坚定共产主义信念和社会主义核心价值观。</w:t>
            </w:r>
          </w:p>
        </w:tc>
      </w:tr>
    </w:tbl>
    <w:p w14:paraId="59D36B9C">
      <w:pPr>
        <w:pStyle w:val="17"/>
        <w:spacing w:before="163" w:beforeLines="50" w:after="163"/>
      </w:pPr>
      <w:r>
        <w:rPr>
          <w:rFonts w:hint="eastAsia"/>
        </w:rPr>
        <w:t>（二）课程支撑的毕业要求</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8296"/>
      </w:tblGrid>
      <w:tr w14:paraId="1155EC64">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0C0E62C8">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L01品德修养①爱党爱国，坚决拥护党的领导，热爱祖国的大好河山、悠久历史、灿烂文化，自觉维护民族利益和国家尊严。</w:t>
            </w:r>
          </w:p>
        </w:tc>
      </w:tr>
      <w:tr w14:paraId="58B329EA">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6D874370">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w:t>
            </w:r>
            <w:r>
              <w:rPr>
                <w:rFonts w:hint="eastAsia" w:ascii="Times New Roman" w:hAnsi="Times New Roman" w:cs="Times New Roman"/>
                <w:bCs/>
                <w:color w:val="000000"/>
                <w:sz w:val="21"/>
                <w:szCs w:val="18"/>
                <w:lang w:val="en-US" w:eastAsia="zh-CN"/>
              </w:rPr>
              <w:t>0</w:t>
            </w:r>
            <w:r>
              <w:rPr>
                <w:rFonts w:hint="default" w:ascii="Times New Roman" w:hAnsi="Times New Roman" w:cs="Times New Roman"/>
                <w:bCs/>
                <w:color w:val="000000"/>
                <w:sz w:val="21"/>
                <w:szCs w:val="18"/>
                <w:lang w:val="en-US" w:eastAsia="zh-CN"/>
              </w:rPr>
              <w:t>2专业能力①具有专业所需的人文科学素养。</w:t>
            </w:r>
          </w:p>
        </w:tc>
      </w:tr>
      <w:tr w14:paraId="2C62F400">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262C56A5">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w:t>
            </w:r>
            <w:r>
              <w:rPr>
                <w:rFonts w:hint="eastAsia" w:ascii="Times New Roman" w:hAnsi="Times New Roman" w:cs="Times New Roman"/>
                <w:bCs/>
                <w:color w:val="000000"/>
                <w:sz w:val="21"/>
                <w:szCs w:val="18"/>
                <w:lang w:val="en-US" w:eastAsia="zh-CN"/>
              </w:rPr>
              <w:t>0</w:t>
            </w:r>
            <w:r>
              <w:rPr>
                <w:rFonts w:hint="default" w:ascii="Times New Roman" w:hAnsi="Times New Roman" w:cs="Times New Roman"/>
                <w:bCs/>
                <w:color w:val="000000"/>
                <w:sz w:val="21"/>
                <w:szCs w:val="18"/>
                <w:lang w:val="en-US" w:eastAsia="zh-CN"/>
              </w:rPr>
              <w:t>4自主学习②能搜集、获取达到目标所需要的学习资源，实施学习计划、反思学习计划、持续改进，达到学习目标。</w:t>
            </w:r>
          </w:p>
        </w:tc>
      </w:tr>
    </w:tbl>
    <w:p w14:paraId="5E845730">
      <w:pPr>
        <w:pStyle w:val="17"/>
        <w:spacing w:before="163" w:beforeLines="50" w:after="163"/>
      </w:pPr>
      <w:r>
        <w:rPr>
          <w:rFonts w:hint="eastAsia"/>
        </w:rPr>
        <w:t xml:space="preserve">（三）毕业要求与课程目标的关系 </w:t>
      </w:r>
    </w:p>
    <w:tbl>
      <w:tblPr>
        <w:tblStyle w:val="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777"/>
        <w:gridCol w:w="794"/>
        <w:gridCol w:w="794"/>
        <w:gridCol w:w="4763"/>
        <w:gridCol w:w="1348"/>
      </w:tblGrid>
      <w:tr w14:paraId="5E346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91" w:hRule="atLeast"/>
          <w:jc w:val="center"/>
        </w:trPr>
        <w:tc>
          <w:tcPr>
            <w:tcW w:w="777" w:type="dxa"/>
            <w:tcBorders>
              <w:top w:val="single" w:color="auto" w:sz="12" w:space="0"/>
              <w:left w:val="single" w:color="auto" w:sz="12" w:space="0"/>
              <w:right w:val="single" w:color="auto" w:sz="4" w:space="0"/>
            </w:tcBorders>
            <w:shd w:val="clear" w:color="auto" w:fill="auto"/>
            <w:vAlign w:val="center"/>
          </w:tcPr>
          <w:p w14:paraId="65ED075D">
            <w:pPr>
              <w:pStyle w:val="13"/>
              <w:rPr>
                <w:szCs w:val="16"/>
              </w:rPr>
            </w:pPr>
            <w:r>
              <w:rPr>
                <w:rFonts w:hint="eastAsia" w:ascii="黑体" w:hAnsi="黑体"/>
                <w:szCs w:val="18"/>
              </w:rPr>
              <w:t>毕业要求</w:t>
            </w:r>
          </w:p>
        </w:tc>
        <w:tc>
          <w:tcPr>
            <w:tcW w:w="794" w:type="dxa"/>
            <w:tcBorders>
              <w:top w:val="single" w:color="auto" w:sz="12" w:space="0"/>
              <w:left w:val="single" w:color="auto" w:sz="4" w:space="0"/>
            </w:tcBorders>
            <w:vAlign w:val="center"/>
          </w:tcPr>
          <w:p w14:paraId="62E2D0B1">
            <w:pPr>
              <w:pStyle w:val="13"/>
              <w:rPr>
                <w:szCs w:val="16"/>
              </w:rPr>
            </w:pPr>
            <w:r>
              <w:rPr>
                <w:rFonts w:hint="eastAsia"/>
                <w:szCs w:val="16"/>
              </w:rPr>
              <w:t>指标点</w:t>
            </w:r>
          </w:p>
        </w:tc>
        <w:tc>
          <w:tcPr>
            <w:tcW w:w="794" w:type="dxa"/>
            <w:tcBorders>
              <w:top w:val="single" w:color="auto" w:sz="12" w:space="0"/>
              <w:right w:val="double" w:color="auto" w:sz="4" w:space="0"/>
            </w:tcBorders>
            <w:shd w:val="clear" w:color="auto" w:fill="auto"/>
            <w:vAlign w:val="center"/>
          </w:tcPr>
          <w:p w14:paraId="2B306D75">
            <w:pPr>
              <w:pStyle w:val="13"/>
              <w:rPr>
                <w:szCs w:val="16"/>
              </w:rPr>
            </w:pPr>
            <w:r>
              <w:rPr>
                <w:rFonts w:hint="eastAsia"/>
                <w:szCs w:val="16"/>
              </w:rPr>
              <w:t>支撑度</w:t>
            </w:r>
          </w:p>
        </w:tc>
        <w:tc>
          <w:tcPr>
            <w:tcW w:w="4763" w:type="dxa"/>
            <w:tcBorders>
              <w:top w:val="single" w:color="auto" w:sz="12" w:space="0"/>
            </w:tcBorders>
            <w:vAlign w:val="center"/>
          </w:tcPr>
          <w:p w14:paraId="2DD75A5C">
            <w:pPr>
              <w:pStyle w:val="13"/>
              <w:rPr>
                <w:szCs w:val="16"/>
              </w:rPr>
            </w:pPr>
            <w:r>
              <w:rPr>
                <w:rFonts w:hint="eastAsia"/>
                <w:szCs w:val="16"/>
              </w:rPr>
              <w:t>课程目标</w:t>
            </w:r>
          </w:p>
        </w:tc>
        <w:tc>
          <w:tcPr>
            <w:tcW w:w="1348" w:type="dxa"/>
            <w:tcBorders>
              <w:top w:val="single" w:color="auto" w:sz="12" w:space="0"/>
              <w:right w:val="single" w:color="auto" w:sz="12" w:space="0"/>
            </w:tcBorders>
            <w:vAlign w:val="center"/>
          </w:tcPr>
          <w:p w14:paraId="2921E67F">
            <w:pPr>
              <w:pStyle w:val="13"/>
              <w:rPr>
                <w:szCs w:val="16"/>
              </w:rPr>
            </w:pPr>
            <w:r>
              <w:rPr>
                <w:rFonts w:hint="eastAsia"/>
                <w:szCs w:val="16"/>
              </w:rPr>
              <w:t>对指标点的贡献度</w:t>
            </w:r>
          </w:p>
        </w:tc>
      </w:tr>
      <w:tr w14:paraId="46844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0" w:hRule="atLeast"/>
          <w:jc w:val="center"/>
        </w:trPr>
        <w:tc>
          <w:tcPr>
            <w:tcW w:w="777" w:type="dxa"/>
            <w:tcBorders>
              <w:left w:val="single" w:color="auto" w:sz="12" w:space="0"/>
              <w:right w:val="single" w:color="auto" w:sz="4" w:space="0"/>
            </w:tcBorders>
            <w:shd w:val="clear" w:color="auto" w:fill="auto"/>
            <w:vAlign w:val="center"/>
          </w:tcPr>
          <w:p w14:paraId="0200AFDF">
            <w:pPr>
              <w:pStyle w:val="14"/>
              <w:rPr>
                <w:rFonts w:hint="default" w:ascii="Times New Roman" w:hAnsi="Times New Roman" w:cs="Times New Roman"/>
              </w:rPr>
            </w:pPr>
            <w:r>
              <w:rPr>
                <w:rFonts w:hint="default" w:ascii="Times New Roman" w:hAnsi="Times New Roman" w:cs="Times New Roman"/>
                <w:bCs/>
                <w:lang w:val="en-US" w:eastAsia="zh-CN"/>
              </w:rPr>
              <w:t>L01</w:t>
            </w:r>
          </w:p>
        </w:tc>
        <w:tc>
          <w:tcPr>
            <w:tcW w:w="794" w:type="dxa"/>
            <w:tcBorders>
              <w:left w:val="single" w:color="auto" w:sz="4" w:space="0"/>
            </w:tcBorders>
            <w:vAlign w:val="center"/>
          </w:tcPr>
          <w:p w14:paraId="4A8AE21D">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w:t>
            </w:r>
          </w:p>
        </w:tc>
        <w:tc>
          <w:tcPr>
            <w:tcW w:w="794" w:type="dxa"/>
            <w:tcBorders>
              <w:right w:val="double" w:color="auto" w:sz="4" w:space="0"/>
            </w:tcBorders>
            <w:shd w:val="clear" w:color="auto" w:fill="auto"/>
            <w:vAlign w:val="center"/>
          </w:tcPr>
          <w:p w14:paraId="704F50C8">
            <w:pPr>
              <w:pStyle w:val="14"/>
              <w:rPr>
                <w:rFonts w:hint="default" w:ascii="Times New Roman" w:hAnsi="Times New Roman" w:eastAsia="宋体" w:cs="Times New Roman"/>
                <w:lang w:val="en-US" w:eastAsia="zh-CN"/>
              </w:rPr>
            </w:pPr>
            <w:r>
              <w:rPr>
                <w:rFonts w:hint="default" w:ascii="Times New Roman" w:hAnsi="Times New Roman" w:cs="Times New Roman"/>
                <w:lang w:val="en-US" w:eastAsia="zh-CN"/>
              </w:rPr>
              <w:t>M</w:t>
            </w:r>
          </w:p>
        </w:tc>
        <w:tc>
          <w:tcPr>
            <w:tcW w:w="4763" w:type="dxa"/>
            <w:vAlign w:val="center"/>
          </w:tcPr>
          <w:p w14:paraId="5760C762">
            <w:pPr>
              <w:pStyle w:val="14"/>
              <w:jc w:val="left"/>
              <w:rPr>
                <w:rFonts w:hint="default" w:ascii="Times New Roman" w:hAnsi="Times New Roman" w:eastAsia="宋体" w:cs="Times New Roman"/>
                <w:b w:val="0"/>
                <w:bCs/>
                <w:sz w:val="21"/>
                <w:szCs w:val="21"/>
                <w:lang w:val="en-US" w:eastAsia="zh-CN"/>
              </w:rPr>
            </w:pPr>
            <w:r>
              <w:rPr>
                <w:rFonts w:hint="default" w:ascii="Times New Roman" w:hAnsi="Times New Roman" w:cs="Times New Roman"/>
                <w:b w:val="0"/>
                <w:bCs/>
                <w:sz w:val="21"/>
                <w:szCs w:val="21"/>
                <w:lang w:val="en-US" w:eastAsia="zh-CN"/>
              </w:rPr>
              <w:t>4、</w:t>
            </w:r>
            <w:r>
              <w:rPr>
                <w:rFonts w:hint="default" w:ascii="Times New Roman" w:hAnsi="Times New Roman" w:cs="Times New Roman"/>
                <w:b w:val="0"/>
                <w:bCs/>
                <w:color w:val="000000"/>
                <w:sz w:val="21"/>
                <w:szCs w:val="21"/>
                <w:lang w:val="en-US" w:eastAsia="zh-CN"/>
              </w:rPr>
              <w:t>结合辩证唯物主义培养学生的科学精神和科学素质。</w:t>
            </w:r>
          </w:p>
        </w:tc>
        <w:tc>
          <w:tcPr>
            <w:tcW w:w="1348" w:type="dxa"/>
            <w:tcBorders>
              <w:right w:val="single" w:color="auto" w:sz="12" w:space="0"/>
            </w:tcBorders>
            <w:vAlign w:val="center"/>
          </w:tcPr>
          <w:p w14:paraId="622F93E4">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100%</w:t>
            </w:r>
          </w:p>
        </w:tc>
      </w:tr>
      <w:tr w14:paraId="7FBB8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261" w:hRule="atLeast"/>
          <w:jc w:val="center"/>
        </w:trPr>
        <w:tc>
          <w:tcPr>
            <w:tcW w:w="777" w:type="dxa"/>
            <w:vMerge w:val="restart"/>
            <w:tcBorders>
              <w:left w:val="single" w:color="auto" w:sz="12" w:space="0"/>
              <w:right w:val="single" w:color="auto" w:sz="4" w:space="0"/>
            </w:tcBorders>
            <w:shd w:val="clear" w:color="auto" w:fill="auto"/>
            <w:vAlign w:val="center"/>
          </w:tcPr>
          <w:p w14:paraId="1B838586">
            <w:pPr>
              <w:pStyle w:val="14"/>
              <w:rPr>
                <w:rFonts w:hint="default" w:ascii="Times New Roman" w:hAnsi="Times New Roman" w:cs="Times New Roman"/>
              </w:rPr>
            </w:pPr>
            <w:r>
              <w:rPr>
                <w:rFonts w:hint="default" w:ascii="Times New Roman" w:hAnsi="Times New Roman" w:cs="Times New Roman"/>
                <w:bCs/>
                <w:lang w:val="en-US" w:eastAsia="zh-CN"/>
              </w:rPr>
              <w:t>L02</w:t>
            </w:r>
          </w:p>
        </w:tc>
        <w:tc>
          <w:tcPr>
            <w:tcW w:w="794" w:type="dxa"/>
            <w:vMerge w:val="restart"/>
            <w:tcBorders>
              <w:left w:val="single" w:color="auto" w:sz="4" w:space="0"/>
            </w:tcBorders>
            <w:vAlign w:val="center"/>
          </w:tcPr>
          <w:p w14:paraId="150E7CB1">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w:t>
            </w:r>
          </w:p>
        </w:tc>
        <w:tc>
          <w:tcPr>
            <w:tcW w:w="794" w:type="dxa"/>
            <w:vMerge w:val="restart"/>
            <w:tcBorders>
              <w:right w:val="double" w:color="auto" w:sz="4" w:space="0"/>
            </w:tcBorders>
            <w:shd w:val="clear" w:color="auto" w:fill="auto"/>
            <w:vAlign w:val="center"/>
          </w:tcPr>
          <w:p w14:paraId="3AB1AB49">
            <w:pPr>
              <w:pStyle w:val="14"/>
              <w:rPr>
                <w:rFonts w:hint="default" w:ascii="Times New Roman" w:hAnsi="Times New Roman" w:eastAsia="宋体" w:cs="Times New Roman"/>
                <w:lang w:val="en-US" w:eastAsia="zh-CN"/>
              </w:rPr>
            </w:pPr>
            <w:r>
              <w:rPr>
                <w:rFonts w:hint="default" w:ascii="Times New Roman" w:hAnsi="Times New Roman" w:cs="Times New Roman"/>
                <w:lang w:val="en-US" w:eastAsia="zh-CN"/>
              </w:rPr>
              <w:t>H</w:t>
            </w:r>
          </w:p>
        </w:tc>
        <w:tc>
          <w:tcPr>
            <w:tcW w:w="4763" w:type="dxa"/>
            <w:vAlign w:val="center"/>
          </w:tcPr>
          <w:p w14:paraId="7FD6F5CD">
            <w:pPr>
              <w:keepNext w:val="0"/>
              <w:keepLines w:val="0"/>
              <w:widowControl/>
              <w:suppressLineNumbers w:val="0"/>
              <w:jc w:val="left"/>
              <w:rPr>
                <w:rFonts w:hint="default" w:ascii="Times New Roman" w:hAnsi="Times New Roman" w:eastAsia="宋体" w:cs="Times New Roman"/>
                <w:b w:val="0"/>
                <w:bCs/>
                <w:sz w:val="21"/>
                <w:szCs w:val="21"/>
                <w:lang w:val="en-US" w:eastAsia="zh-CN"/>
              </w:rPr>
            </w:pPr>
            <w:r>
              <w:rPr>
                <w:rFonts w:hint="default" w:ascii="Times New Roman" w:hAnsi="Times New Roman" w:cs="Times New Roman"/>
                <w:b w:val="0"/>
                <w:bCs/>
                <w:sz w:val="21"/>
                <w:szCs w:val="21"/>
                <w:lang w:val="en-US" w:eastAsia="zh-CN"/>
              </w:rPr>
              <w:t>1、</w:t>
            </w:r>
            <w:r>
              <w:rPr>
                <w:rFonts w:hint="default" w:ascii="Times New Roman" w:hAnsi="Times New Roman" w:cs="Times New Roman"/>
                <w:b w:val="0"/>
                <w:bCs/>
                <w:color w:val="000000"/>
                <w:sz w:val="21"/>
                <w:szCs w:val="21"/>
                <w:lang w:val="en-US" w:eastAsia="zh-CN"/>
              </w:rPr>
              <w:t>掌握</w:t>
            </w:r>
            <w:r>
              <w:rPr>
                <w:rFonts w:hint="default" w:ascii="Times New Roman" w:hAnsi="Times New Roman" w:cs="Times New Roman"/>
                <w:b w:val="0"/>
                <w:bCs/>
                <w:color w:val="000000"/>
                <w:sz w:val="21"/>
                <w:szCs w:val="18"/>
                <w:lang w:val="en-US" w:eastAsia="zh-CN"/>
              </w:rPr>
              <w:t>振动波动、光学和热学</w:t>
            </w:r>
            <w:r>
              <w:rPr>
                <w:rFonts w:hint="default" w:ascii="Times New Roman" w:hAnsi="Times New Roman" w:cs="Times New Roman"/>
                <w:b w:val="0"/>
                <w:bCs/>
                <w:color w:val="000000"/>
                <w:sz w:val="21"/>
                <w:szCs w:val="21"/>
                <w:lang w:val="en-US" w:eastAsia="zh-CN"/>
              </w:rPr>
              <w:t>的基本概念、基本理论和基本方法。</w:t>
            </w:r>
          </w:p>
        </w:tc>
        <w:tc>
          <w:tcPr>
            <w:tcW w:w="1348" w:type="dxa"/>
            <w:tcBorders>
              <w:right w:val="single" w:color="auto" w:sz="12" w:space="0"/>
            </w:tcBorders>
            <w:vAlign w:val="center"/>
          </w:tcPr>
          <w:p w14:paraId="6E8EC4A0">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60%</w:t>
            </w:r>
          </w:p>
        </w:tc>
      </w:tr>
      <w:tr w14:paraId="13967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203" w:hRule="atLeast"/>
          <w:jc w:val="center"/>
        </w:trPr>
        <w:tc>
          <w:tcPr>
            <w:tcW w:w="777" w:type="dxa"/>
            <w:vMerge w:val="continue"/>
            <w:tcBorders>
              <w:left w:val="single" w:color="auto" w:sz="12" w:space="0"/>
              <w:right w:val="single" w:color="auto" w:sz="4" w:space="0"/>
            </w:tcBorders>
            <w:shd w:val="clear" w:color="auto" w:fill="auto"/>
            <w:vAlign w:val="center"/>
          </w:tcPr>
          <w:p w14:paraId="538EC995">
            <w:pPr>
              <w:pStyle w:val="14"/>
              <w:rPr>
                <w:rFonts w:hint="default" w:ascii="Times New Roman" w:hAnsi="Times New Roman" w:cs="Times New Roman"/>
                <w:bCs/>
                <w:lang w:val="en-US" w:eastAsia="zh-CN"/>
              </w:rPr>
            </w:pPr>
          </w:p>
        </w:tc>
        <w:tc>
          <w:tcPr>
            <w:tcW w:w="794" w:type="dxa"/>
            <w:vMerge w:val="continue"/>
            <w:tcBorders>
              <w:left w:val="single" w:color="auto" w:sz="4" w:space="0"/>
            </w:tcBorders>
            <w:vAlign w:val="center"/>
          </w:tcPr>
          <w:p w14:paraId="0FE86A03">
            <w:pPr>
              <w:pStyle w:val="14"/>
              <w:rPr>
                <w:rFonts w:hint="default" w:ascii="Times New Roman" w:hAnsi="Times New Roman" w:cs="Times New Roman"/>
                <w:bCs/>
                <w:lang w:val="en-US" w:eastAsia="zh-CN"/>
              </w:rPr>
            </w:pPr>
          </w:p>
        </w:tc>
        <w:tc>
          <w:tcPr>
            <w:tcW w:w="794" w:type="dxa"/>
            <w:vMerge w:val="continue"/>
            <w:tcBorders>
              <w:right w:val="double" w:color="auto" w:sz="4" w:space="0"/>
            </w:tcBorders>
            <w:shd w:val="clear" w:color="auto" w:fill="auto"/>
            <w:vAlign w:val="center"/>
          </w:tcPr>
          <w:p w14:paraId="168C4035">
            <w:pPr>
              <w:pStyle w:val="14"/>
              <w:rPr>
                <w:rFonts w:hint="default" w:ascii="Times New Roman" w:hAnsi="Times New Roman" w:cs="Times New Roman"/>
                <w:lang w:val="en-US" w:eastAsia="zh-CN"/>
              </w:rPr>
            </w:pPr>
          </w:p>
        </w:tc>
        <w:tc>
          <w:tcPr>
            <w:tcW w:w="4763" w:type="dxa"/>
            <w:vAlign w:val="center"/>
          </w:tcPr>
          <w:p w14:paraId="1C8EAC1A">
            <w:pPr>
              <w:pStyle w:val="14"/>
              <w:jc w:val="left"/>
              <w:rPr>
                <w:rFonts w:hint="default" w:ascii="Times New Roman" w:hAnsi="Times New Roman" w:cs="Times New Roman"/>
                <w:b w:val="0"/>
                <w:bCs/>
                <w:sz w:val="21"/>
                <w:szCs w:val="21"/>
                <w:lang w:val="en-US" w:eastAsia="zh-CN"/>
              </w:rPr>
            </w:pPr>
            <w:r>
              <w:rPr>
                <w:rFonts w:hint="default" w:ascii="Times New Roman" w:hAnsi="Times New Roman" w:cs="Times New Roman"/>
                <w:b w:val="0"/>
                <w:bCs/>
                <w:sz w:val="21"/>
                <w:szCs w:val="21"/>
                <w:lang w:val="en-US" w:eastAsia="zh-CN"/>
              </w:rPr>
              <w:t>3、</w:t>
            </w:r>
            <w:r>
              <w:rPr>
                <w:rFonts w:hint="default" w:ascii="Times New Roman" w:hAnsi="Times New Roman" w:cs="Times New Roman"/>
                <w:b w:val="0"/>
                <w:bCs/>
                <w:color w:val="000000"/>
                <w:sz w:val="21"/>
                <w:szCs w:val="21"/>
                <w:lang w:val="en-US" w:eastAsia="zh-CN"/>
              </w:rPr>
              <w:t>应用物理学基本原理对工程问题建模和解决问题。</w:t>
            </w:r>
          </w:p>
        </w:tc>
        <w:tc>
          <w:tcPr>
            <w:tcW w:w="1348" w:type="dxa"/>
            <w:tcBorders>
              <w:right w:val="single" w:color="auto" w:sz="12" w:space="0"/>
            </w:tcBorders>
            <w:vAlign w:val="center"/>
          </w:tcPr>
          <w:p w14:paraId="27E1E40D">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40%</w:t>
            </w:r>
          </w:p>
        </w:tc>
      </w:tr>
      <w:tr w14:paraId="4FC93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441" w:hRule="atLeast"/>
          <w:jc w:val="center"/>
        </w:trPr>
        <w:tc>
          <w:tcPr>
            <w:tcW w:w="777" w:type="dxa"/>
            <w:tcBorders>
              <w:left w:val="single" w:color="auto" w:sz="12" w:space="0"/>
              <w:right w:val="single" w:color="auto" w:sz="4" w:space="0"/>
            </w:tcBorders>
            <w:shd w:val="clear" w:color="auto" w:fill="auto"/>
            <w:vAlign w:val="top"/>
          </w:tcPr>
          <w:p w14:paraId="07BD9B39">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L04</w:t>
            </w:r>
          </w:p>
        </w:tc>
        <w:tc>
          <w:tcPr>
            <w:tcW w:w="794" w:type="dxa"/>
            <w:tcBorders>
              <w:left w:val="single" w:color="auto" w:sz="4" w:space="0"/>
            </w:tcBorders>
            <w:vAlign w:val="center"/>
          </w:tcPr>
          <w:p w14:paraId="453C28A1">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2</w:t>
            </w:r>
          </w:p>
        </w:tc>
        <w:tc>
          <w:tcPr>
            <w:tcW w:w="794" w:type="dxa"/>
            <w:tcBorders>
              <w:right w:val="double" w:color="auto" w:sz="4" w:space="0"/>
            </w:tcBorders>
            <w:shd w:val="clear" w:color="auto" w:fill="auto"/>
            <w:vAlign w:val="center"/>
          </w:tcPr>
          <w:p w14:paraId="5C6B30A7">
            <w:pPr>
              <w:pStyle w:val="14"/>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4763" w:type="dxa"/>
            <w:vAlign w:val="center"/>
          </w:tcPr>
          <w:p w14:paraId="31590ED1">
            <w:pPr>
              <w:keepNext w:val="0"/>
              <w:keepLines w:val="0"/>
              <w:widowControl/>
              <w:suppressLineNumbers w:val="0"/>
              <w:jc w:val="left"/>
              <w:rPr>
                <w:rFonts w:hint="default" w:ascii="Times New Roman" w:hAnsi="Times New Roman" w:cs="Times New Roman"/>
                <w:b w:val="0"/>
                <w:bCs/>
                <w:sz w:val="21"/>
                <w:szCs w:val="21"/>
                <w:lang w:val="en-US" w:eastAsia="zh-CN"/>
              </w:rPr>
            </w:pPr>
            <w:r>
              <w:rPr>
                <w:rFonts w:hint="default" w:ascii="Times New Roman" w:hAnsi="Times New Roman" w:cs="Times New Roman"/>
                <w:b w:val="0"/>
                <w:bCs/>
                <w:sz w:val="21"/>
                <w:szCs w:val="21"/>
                <w:lang w:val="en-US" w:eastAsia="zh-CN"/>
              </w:rPr>
              <w:t>2、</w:t>
            </w:r>
            <w:r>
              <w:rPr>
                <w:rFonts w:hint="default" w:ascii="Times New Roman" w:hAnsi="Times New Roman" w:cs="Times New Roman"/>
                <w:b w:val="0"/>
                <w:bCs/>
                <w:color w:val="000000"/>
                <w:sz w:val="21"/>
                <w:szCs w:val="21"/>
                <w:lang w:val="en-US" w:eastAsia="zh-CN"/>
              </w:rPr>
              <w:t>进行科学思维方法和运算能力的训练。</w:t>
            </w:r>
          </w:p>
        </w:tc>
        <w:tc>
          <w:tcPr>
            <w:tcW w:w="1348" w:type="dxa"/>
            <w:tcBorders>
              <w:bottom w:val="single" w:color="auto" w:sz="12" w:space="0"/>
              <w:right w:val="single" w:color="auto" w:sz="12" w:space="0"/>
            </w:tcBorders>
            <w:vAlign w:val="center"/>
          </w:tcPr>
          <w:p w14:paraId="4765424B">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100%</w:t>
            </w:r>
          </w:p>
        </w:tc>
      </w:tr>
    </w:tbl>
    <w:p w14:paraId="694EA08D">
      <w:pPr>
        <w:pStyle w:val="16"/>
        <w:spacing w:before="326" w:beforeLines="100" w:line="360" w:lineRule="auto"/>
        <w:rPr>
          <w:rFonts w:ascii="黑体" w:hAnsi="宋体"/>
        </w:rPr>
      </w:pPr>
      <w:r>
        <w:rPr>
          <w:rFonts w:hint="eastAsia" w:ascii="黑体" w:hAnsi="宋体"/>
        </w:rPr>
        <w:t>三、</w:t>
      </w:r>
      <w:r>
        <w:rPr>
          <w:rFonts w:ascii="黑体" w:hAnsi="宋体"/>
        </w:rPr>
        <w:t>课程内容</w:t>
      </w:r>
      <w:r>
        <w:rPr>
          <w:rFonts w:hint="eastAsia" w:ascii="黑体" w:hAnsi="宋体"/>
        </w:rPr>
        <w:t>与教学设计</w:t>
      </w:r>
    </w:p>
    <w:p w14:paraId="5B736530">
      <w:pPr>
        <w:pStyle w:val="17"/>
        <w:spacing w:before="81" w:after="163"/>
      </w:pPr>
      <w:r>
        <w:rPr>
          <w:rFonts w:hint="eastAsia"/>
        </w:rPr>
        <w:t>（一）各教学单元预期学习成果与教学内容</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296"/>
      </w:tblGrid>
      <w:tr w14:paraId="7B7E9AE5">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296" w:type="dxa"/>
          </w:tcPr>
          <w:p w14:paraId="7D4D4AD4">
            <w:pPr>
              <w:keepNext w:val="0"/>
              <w:keepLines w:val="0"/>
              <w:widowControl/>
              <w:suppressLineNumbers w:val="0"/>
              <w:jc w:val="left"/>
              <w:rPr>
                <w:rFonts w:hint="default" w:ascii="Times New Roman" w:hAnsi="Times New Roman" w:eastAsia="宋体" w:cs="Times New Roman"/>
                <w:b/>
                <w:bCs/>
                <w:color w:val="000000"/>
                <w:kern w:val="0"/>
                <w:sz w:val="21"/>
                <w:szCs w:val="21"/>
                <w:lang w:val="en-US" w:eastAsia="zh-CN" w:bidi="ar"/>
              </w:rPr>
            </w:pPr>
            <w:bookmarkStart w:id="0" w:name="OLE_LINK6"/>
            <w:bookmarkStart w:id="1" w:name="OLE_LINK5"/>
            <w:r>
              <w:rPr>
                <w:rFonts w:hint="default" w:ascii="Times New Roman" w:hAnsi="Times New Roman" w:eastAsia="宋体" w:cs="Times New Roman"/>
                <w:b/>
                <w:bCs/>
                <w:color w:val="000000"/>
                <w:kern w:val="0"/>
                <w:sz w:val="21"/>
                <w:szCs w:val="21"/>
                <w:lang w:val="en-US" w:eastAsia="zh-CN" w:bidi="ar"/>
              </w:rPr>
              <w:t>第一单元热学</w:t>
            </w:r>
          </w:p>
          <w:p w14:paraId="2155420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第九章 气体动理论 (</w:t>
            </w:r>
            <w:r>
              <w:rPr>
                <w:rFonts w:hint="eastAsia" w:ascii="Times New Roman" w:hAnsi="Times New Roman" w:cs="Times New Roman"/>
                <w:b/>
                <w:bCs/>
                <w:color w:val="000000"/>
                <w:kern w:val="0"/>
                <w:sz w:val="21"/>
                <w:szCs w:val="21"/>
                <w:lang w:val="en-US" w:eastAsia="zh-CN" w:bidi="ar"/>
              </w:rPr>
              <w:t>4</w:t>
            </w:r>
            <w:r>
              <w:rPr>
                <w:rFonts w:hint="default" w:ascii="Times New Roman" w:hAnsi="Times New Roman" w:eastAsia="宋体" w:cs="Times New Roman"/>
                <w:b/>
                <w:bCs/>
                <w:color w:val="000000"/>
                <w:kern w:val="0"/>
                <w:sz w:val="21"/>
                <w:szCs w:val="21"/>
                <w:lang w:val="en-US" w:eastAsia="zh-CN" w:bidi="ar"/>
              </w:rPr>
              <w:t xml:space="preserve"> 学时) </w:t>
            </w:r>
          </w:p>
          <w:p w14:paraId="459F13B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209378DD">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9-1 状态参量 平衡态 准静态过程 </w:t>
            </w:r>
          </w:p>
          <w:p w14:paraId="1C42705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9-2 理想气体的物态方程 </w:t>
            </w:r>
          </w:p>
          <w:p w14:paraId="3795B8A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9-5 理想气体的压强 </w:t>
            </w:r>
          </w:p>
          <w:p w14:paraId="09152760">
            <w:pPr>
              <w:keepNext w:val="0"/>
              <w:keepLines w:val="0"/>
              <w:widowControl/>
              <w:suppressLineNumbers w:val="0"/>
              <w:jc w:val="left"/>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 xml:space="preserve">9-6 温度的微观本质 </w:t>
            </w:r>
          </w:p>
          <w:p w14:paraId="60BA9B4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9-7 能量均分定理 理想气体的内能 </w:t>
            </w:r>
          </w:p>
          <w:p w14:paraId="5F888BBE">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6FE5A5F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1、物态参量、平衡态：了解气体准静态过程的概念；了解气体的物态参量，理解平衡态的概念。 </w:t>
            </w:r>
          </w:p>
          <w:p w14:paraId="0847D77F">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2、掌握理想气体物态方程。 </w:t>
            </w:r>
          </w:p>
          <w:p w14:paraId="745B9EF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3、.理想气体的压强公式、温度公式及其统计解释：了解理想气体压强公式的微观本质；了解理想气体温度的微观解释；从宏观和统计意义上理解压强、温度等概念。 </w:t>
            </w:r>
          </w:p>
          <w:p w14:paraId="03CE7A6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4</w:t>
            </w:r>
            <w:r>
              <w:rPr>
                <w:rFonts w:hint="eastAsia"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能量均分定理、理想气体的内能：了解自由度的概念；通过理想气体的刚性分子模型，理解气体分子平均能量按自由度均分定理；熟练掌握理想气体内能公式。 </w:t>
            </w:r>
          </w:p>
          <w:p w14:paraId="0274AB7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311D5E5C">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通过了解物理学家葛正权的人生经历，让学生认识到学以致用，精忠报国，是每一个公民的责任。培养学生们逐渐建立兢兢业业、艰苦朴素、不畏强权、甘愿与人民共疾苦的奋斗精神。</w:t>
            </w:r>
          </w:p>
          <w:p w14:paraId="7564FDD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第十章 热力学基础（</w:t>
            </w:r>
            <w:r>
              <w:rPr>
                <w:rFonts w:hint="eastAsia" w:ascii="Times New Roman" w:hAnsi="Times New Roman" w:cs="Times New Roman"/>
                <w:b/>
                <w:bCs/>
                <w:color w:val="000000"/>
                <w:kern w:val="0"/>
                <w:sz w:val="21"/>
                <w:szCs w:val="21"/>
                <w:lang w:val="en-US" w:eastAsia="zh-CN" w:bidi="ar"/>
              </w:rPr>
              <w:t>10</w:t>
            </w:r>
            <w:r>
              <w:rPr>
                <w:rFonts w:hint="default" w:ascii="Times New Roman" w:hAnsi="Times New Roman" w:eastAsia="宋体" w:cs="Times New Roman"/>
                <w:b/>
                <w:bCs/>
                <w:color w:val="000000"/>
                <w:kern w:val="0"/>
                <w:sz w:val="21"/>
                <w:szCs w:val="21"/>
                <w:lang w:val="en-US" w:eastAsia="zh-CN" w:bidi="ar"/>
              </w:rPr>
              <w:t xml:space="preserve">学时) </w:t>
            </w:r>
          </w:p>
          <w:p w14:paraId="2700856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797DFE8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10-1 热力学第一定律 </w:t>
            </w:r>
          </w:p>
          <w:p w14:paraId="0D8D36F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10-2 热力学第一定律的应用 </w:t>
            </w:r>
          </w:p>
          <w:p w14:paraId="01315586">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10-3 理想气体的绝热过程 </w:t>
            </w:r>
          </w:p>
          <w:p w14:paraId="69EDEE6F">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10-4 循环过程和卡诺循环 </w:t>
            </w:r>
          </w:p>
          <w:p w14:paraId="62E109B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6E950ED8">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1、系统的内能、功和热量，气体的摩尔热容量：掌握内能、功、热量的概念；掌握理想气体摩尔热容的表示及意义。 </w:t>
            </w:r>
          </w:p>
          <w:p w14:paraId="2B9EEF0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热力学第一定律及其对理想气体等体、等压、等温及绝热过程的应用：理解热力学第一定律及其意义；熟练应用热力学第一定律求解理想气体等体、等压、等温过程中的功、热量和内能的改变；熟练应用热力学第一定律和绝热方程求解理想气体绝热过程中功、内能的改变。 </w:t>
            </w:r>
          </w:p>
          <w:p w14:paraId="2091803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循环过程、卡诺循环、热机的效率（由等体、等压、等温及绝热过程组成的正循环）：掌握循环过程中能量转换关系，掌握卡诺循环效率的计算；熟练掌握热机的效率（由等体、等压、等温及绝热过程组成的正循环）的计算方法。 </w:t>
            </w:r>
          </w:p>
          <w:p w14:paraId="726D062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59CD1307">
            <w:pPr>
              <w:keepNext w:val="0"/>
              <w:keepLines w:val="0"/>
              <w:widowControl/>
              <w:suppressLineNumbers w:val="0"/>
              <w:ind w:firstLine="420" w:firstLineChars="200"/>
              <w:jc w:val="left"/>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 xml:space="preserve">热力学基础主要是培养学生理解第一次技术革命的历史意义，让学生能够认识和理解自己祖国的能源历史、能源文化、国情等，逐渐积淀成主人翁责任感、自豪感和归属感，有效引导学生树立正确的国家观、社会观和世界观。注重科学思维方法的训练和科学伦理的教育，培养学生探索未知、追求真理、勇攀科学高峰的责任感和使命感。 </w:t>
            </w:r>
          </w:p>
          <w:p w14:paraId="5FE85892">
            <w:pPr>
              <w:keepNext w:val="0"/>
              <w:keepLines w:val="0"/>
              <w:widowControl/>
              <w:suppressLineNumbers w:val="0"/>
              <w:jc w:val="left"/>
              <w:rPr>
                <w:rFonts w:hint="eastAsia" w:ascii="Times New Roman" w:hAnsi="Times New Roman" w:cs="Times New Roman"/>
                <w:b/>
                <w:bCs/>
                <w:color w:val="000000"/>
                <w:kern w:val="0"/>
                <w:sz w:val="21"/>
                <w:szCs w:val="21"/>
                <w:lang w:val="en-US" w:eastAsia="zh-CN" w:bidi="ar"/>
              </w:rPr>
            </w:pPr>
            <w:r>
              <w:rPr>
                <w:rFonts w:hint="eastAsia" w:ascii="Times New Roman" w:hAnsi="Times New Roman" w:cs="Times New Roman"/>
                <w:b/>
                <w:bCs/>
                <w:color w:val="000000"/>
                <w:kern w:val="0"/>
                <w:sz w:val="21"/>
                <w:szCs w:val="21"/>
                <w:lang w:val="en-US" w:eastAsia="zh-CN" w:bidi="ar"/>
              </w:rPr>
              <w:t>教学重点、难点：</w:t>
            </w:r>
          </w:p>
          <w:p w14:paraId="7ED5E00F">
            <w:pPr>
              <w:keepNext w:val="0"/>
              <w:keepLines w:val="0"/>
              <w:widowControl/>
              <w:numPr>
                <w:ilvl w:val="0"/>
                <w:numId w:val="0"/>
              </w:numPr>
              <w:suppressLineNumbers w:val="0"/>
              <w:jc w:val="left"/>
              <w:rPr>
                <w:rFonts w:hint="eastAsia"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w:t>
            </w:r>
            <w:r>
              <w:rPr>
                <w:rFonts w:hint="default" w:ascii="Times New Roman" w:hAnsi="Times New Roman" w:eastAsia="宋体" w:cs="Times New Roman"/>
                <w:color w:val="000000"/>
                <w:kern w:val="0"/>
                <w:sz w:val="21"/>
                <w:szCs w:val="21"/>
                <w:lang w:val="en-US" w:eastAsia="zh-CN" w:bidi="ar"/>
              </w:rPr>
              <w:t>热力学第一定律及其对理想气体等体、等压、等温及绝热过程的应用</w:t>
            </w:r>
            <w:r>
              <w:rPr>
                <w:rFonts w:hint="eastAsia" w:ascii="Times New Roman" w:hAnsi="Times New Roman" w:cs="Times New Roman"/>
                <w:color w:val="000000"/>
                <w:kern w:val="0"/>
                <w:sz w:val="21"/>
                <w:szCs w:val="21"/>
                <w:lang w:val="en-US" w:eastAsia="zh-CN" w:bidi="ar"/>
              </w:rPr>
              <w:t>。</w:t>
            </w:r>
          </w:p>
          <w:p w14:paraId="1C985511">
            <w:pPr>
              <w:keepNext w:val="0"/>
              <w:keepLines w:val="0"/>
              <w:widowControl/>
              <w:numPr>
                <w:ilvl w:val="0"/>
                <w:numId w:val="0"/>
              </w:numPr>
              <w:suppressLineNumbers w:val="0"/>
              <w:jc w:val="left"/>
              <w:rPr>
                <w:rFonts w:hint="default"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2、</w:t>
            </w:r>
            <w:r>
              <w:rPr>
                <w:rFonts w:hint="default" w:ascii="Times New Roman" w:hAnsi="Times New Roman" w:eastAsia="宋体" w:cs="Times New Roman"/>
                <w:color w:val="000000"/>
                <w:kern w:val="0"/>
                <w:sz w:val="21"/>
                <w:szCs w:val="21"/>
                <w:lang w:val="en-US" w:eastAsia="zh-CN" w:bidi="ar"/>
              </w:rPr>
              <w:t>循环过程、卡诺循环、热机的效率</w:t>
            </w:r>
            <w:r>
              <w:rPr>
                <w:rFonts w:hint="eastAsia" w:ascii="Times New Roman" w:hAnsi="Times New Roman" w:cs="Times New Roman"/>
                <w:color w:val="000000"/>
                <w:kern w:val="0"/>
                <w:sz w:val="21"/>
                <w:szCs w:val="21"/>
                <w:lang w:val="en-US" w:eastAsia="zh-CN" w:bidi="ar"/>
              </w:rPr>
              <w:t>。</w:t>
            </w:r>
          </w:p>
          <w:p w14:paraId="0026204C">
            <w:pPr>
              <w:keepNext w:val="0"/>
              <w:keepLines w:val="0"/>
              <w:widowControl/>
              <w:suppressLineNumbers w:val="0"/>
              <w:jc w:val="left"/>
              <w:rPr>
                <w:rFonts w:hint="default" w:ascii="Times New Roman" w:hAnsi="Times New Roman" w:eastAsia="宋体" w:cs="Times New Roman"/>
                <w:b/>
                <w:bCs/>
                <w:color w:val="000000"/>
                <w:kern w:val="0"/>
                <w:sz w:val="21"/>
                <w:szCs w:val="21"/>
                <w:lang w:val="en-US" w:eastAsia="zh-CN" w:bidi="ar"/>
              </w:rPr>
            </w:pPr>
            <w:r>
              <w:rPr>
                <w:rFonts w:hint="default" w:ascii="Times New Roman" w:hAnsi="Times New Roman" w:eastAsia="宋体" w:cs="Times New Roman"/>
                <w:b/>
                <w:bCs/>
                <w:color w:val="000000"/>
                <w:kern w:val="0"/>
                <w:sz w:val="21"/>
                <w:szCs w:val="21"/>
                <w:lang w:val="en-US" w:eastAsia="zh-CN" w:bidi="ar"/>
              </w:rPr>
              <w:t>第二单元振动、波动、光学</w:t>
            </w:r>
          </w:p>
          <w:p w14:paraId="0477CF8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第十一章：振动学基础（6 学时) </w:t>
            </w:r>
          </w:p>
          <w:p w14:paraId="3976628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0361906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11-1 简谐振动的描述 </w:t>
            </w:r>
          </w:p>
          <w:p w14:paraId="42EFA22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11-2 简谐振动的动力学特征 </w:t>
            </w:r>
          </w:p>
          <w:p w14:paraId="6919E5C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11-3 简谐振动的合成 </w:t>
            </w:r>
          </w:p>
          <w:p w14:paraId="7FCA736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5B10850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1、掌握简谐振动的基本特征，理解描述简谐振动的各物理量的意义及其相互联系。 </w:t>
            </w:r>
          </w:p>
          <w:p w14:paraId="02499FD6">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 能熟练运用图线法以及旋转矢量法写出简谐振动的表达式。 </w:t>
            </w:r>
          </w:p>
          <w:p w14:paraId="442EE7EF">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3、理解同方向、同频率的两个简谐振动的合成规律；熟练计算同方向、同频率的两个简谐振动合成后的振幅和初相位，正确写出合成后的简谐振动方程。 </w:t>
            </w:r>
          </w:p>
          <w:p w14:paraId="5311475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12F4304B">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通过弹簧振子模型的学习，培养学生由简入繁地处理实际问题的科学思维方法；结合胡克定律，介绍我国东汉的经学家郑玄在力与形变成正比关系上的贡献，增强学生的民族自豪感和文化自信。 </w:t>
            </w:r>
          </w:p>
          <w:p w14:paraId="60308E5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第十二章 波动学基础 (</w:t>
            </w:r>
            <w:r>
              <w:rPr>
                <w:rFonts w:hint="eastAsia" w:ascii="Times New Roman" w:hAnsi="Times New Roman" w:cs="Times New Roman"/>
                <w:b/>
                <w:bCs/>
                <w:color w:val="000000"/>
                <w:kern w:val="0"/>
                <w:sz w:val="21"/>
                <w:szCs w:val="21"/>
                <w:lang w:val="en-US" w:eastAsia="zh-CN" w:bidi="ar"/>
              </w:rPr>
              <w:t>8</w:t>
            </w:r>
            <w:r>
              <w:rPr>
                <w:rFonts w:hint="default" w:ascii="Times New Roman" w:hAnsi="Times New Roman" w:eastAsia="宋体" w:cs="Times New Roman"/>
                <w:b/>
                <w:bCs/>
                <w:color w:val="000000"/>
                <w:kern w:val="0"/>
                <w:sz w:val="21"/>
                <w:szCs w:val="21"/>
                <w:lang w:val="en-US" w:eastAsia="zh-CN" w:bidi="ar"/>
              </w:rPr>
              <w:t xml:space="preserve"> 学时) </w:t>
            </w:r>
          </w:p>
          <w:p w14:paraId="42D3ACD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5877658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12-1 机械波的产生和传播 </w:t>
            </w:r>
          </w:p>
          <w:p w14:paraId="58AB018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12-2 平面简谐波的波函数 </w:t>
            </w:r>
          </w:p>
          <w:p w14:paraId="6141041E">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12-</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 xml:space="preserve"> 惠更斯原理 </w:t>
            </w:r>
          </w:p>
          <w:p w14:paraId="19FEDE8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12-</w:t>
            </w:r>
            <w:r>
              <w:rPr>
                <w:rFonts w:hint="default" w:ascii="Times New Roman" w:hAnsi="Times New Roman" w:cs="Times New Roman"/>
                <w:color w:val="000000"/>
                <w:kern w:val="0"/>
                <w:sz w:val="21"/>
                <w:szCs w:val="21"/>
                <w:lang w:val="en-US" w:eastAsia="zh-CN" w:bidi="ar"/>
              </w:rPr>
              <w:t>4</w:t>
            </w:r>
            <w:r>
              <w:rPr>
                <w:rFonts w:hint="default" w:ascii="Times New Roman" w:hAnsi="Times New Roman" w:eastAsia="宋体" w:cs="Times New Roman"/>
                <w:color w:val="000000"/>
                <w:kern w:val="0"/>
                <w:sz w:val="21"/>
                <w:szCs w:val="21"/>
                <w:lang w:val="en-US" w:eastAsia="zh-CN" w:bidi="ar"/>
              </w:rPr>
              <w:t xml:space="preserve"> 波的叠加原理 波的干涉</w:t>
            </w:r>
          </w:p>
          <w:p w14:paraId="2B715FF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4DA1AA3E">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1、机械波的产生和传播、波速、波长和频率的关系：理解机械波产生的条件和波的传播机理；掌握描述简谐波的各物理量（特别是相位）及各量间的基本关系；理解决定波速的因素及波速与振动速度的区别。 </w:t>
            </w:r>
          </w:p>
          <w:p w14:paraId="2FF3378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 平面简谐波的波函数：深刻理解平面简谐波波函数的物理意义以及各物理量的相互联系；熟练掌握由已知质点的简谐振动方程得出平面简谐波的波函数的基本方法及由波形图线求得波函数的方法；熟练掌握平面简谐波波函数与简谐振动方程的相互换算方法。 </w:t>
            </w:r>
          </w:p>
          <w:p w14:paraId="422BEF2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 波的叠加原理、波的干涉：了解波的叠加原理；理解波的干涉现象、波的相干条件；熟练应用相位差和波程差分析、确定相干波叠加后振幅加强和减弱的条件。 </w:t>
            </w:r>
          </w:p>
          <w:p w14:paraId="18C3654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01B2D023">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从最为人们所熟知的机械波出发，逐渐引入电磁波、物质波、引力波的概念，引导学生了解科学发展的历史与规律，思考发现、解决问题的方法与范式，培养其唯物主义思想与严谨的逻辑及开放的思想。以波的干涉、衍射为例，引导学生自主思考其在实际工程中的可能应用。</w:t>
            </w:r>
          </w:p>
          <w:p w14:paraId="41EB3B5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第十三章 光学 (</w:t>
            </w:r>
            <w:r>
              <w:rPr>
                <w:rFonts w:hint="eastAsia" w:ascii="Times New Roman" w:hAnsi="Times New Roman" w:cs="Times New Roman"/>
                <w:b/>
                <w:bCs/>
                <w:color w:val="000000"/>
                <w:kern w:val="0"/>
                <w:sz w:val="21"/>
                <w:szCs w:val="21"/>
                <w:lang w:val="en-US" w:eastAsia="zh-CN" w:bidi="ar"/>
              </w:rPr>
              <w:t>20</w:t>
            </w:r>
            <w:r>
              <w:rPr>
                <w:rFonts w:hint="default" w:ascii="Times New Roman" w:hAnsi="Times New Roman" w:eastAsia="宋体" w:cs="Times New Roman"/>
                <w:b/>
                <w:bCs/>
                <w:color w:val="000000"/>
                <w:kern w:val="0"/>
                <w:sz w:val="21"/>
                <w:szCs w:val="21"/>
                <w:lang w:val="en-US" w:eastAsia="zh-CN" w:bidi="ar"/>
              </w:rPr>
              <w:t xml:space="preserve">学时） </w:t>
            </w:r>
          </w:p>
          <w:p w14:paraId="282FD43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章节内容要点：</w:t>
            </w:r>
            <w:r>
              <w:rPr>
                <w:rFonts w:hint="default" w:ascii="Times New Roman" w:hAnsi="Times New Roman" w:eastAsia="宋体" w:cs="Times New Roman"/>
                <w:color w:val="000000"/>
                <w:kern w:val="0"/>
                <w:sz w:val="21"/>
                <w:szCs w:val="21"/>
                <w:lang w:val="en-US" w:eastAsia="zh-CN" w:bidi="ar"/>
              </w:rPr>
              <w:t xml:space="preserve"> </w:t>
            </w:r>
          </w:p>
          <w:p w14:paraId="56EFF401">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cs="Times New Roman"/>
                <w:color w:val="000000"/>
                <w:kern w:val="0"/>
                <w:sz w:val="21"/>
                <w:szCs w:val="21"/>
                <w:lang w:val="en-US" w:eastAsia="zh-CN" w:bidi="ar"/>
              </w:rPr>
              <w:t>13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1</w:t>
            </w:r>
            <w:r>
              <w:rPr>
                <w:rFonts w:hint="default" w:ascii="Times New Roman" w:hAnsi="Times New Roman" w:eastAsia="宋体" w:cs="Times New Roman"/>
                <w:color w:val="000000"/>
                <w:kern w:val="0"/>
                <w:sz w:val="21"/>
                <w:szCs w:val="21"/>
                <w:lang w:val="en-US" w:eastAsia="zh-CN" w:bidi="ar"/>
              </w:rPr>
              <w:t xml:space="preserve"> 光的相干性 </w:t>
            </w:r>
          </w:p>
          <w:p w14:paraId="33D1A3E8">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1</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2</w:t>
            </w:r>
            <w:r>
              <w:rPr>
                <w:rFonts w:hint="default" w:ascii="Times New Roman" w:hAnsi="Times New Roman" w:eastAsia="宋体" w:cs="Times New Roman"/>
                <w:color w:val="000000"/>
                <w:kern w:val="0"/>
                <w:sz w:val="21"/>
                <w:szCs w:val="21"/>
                <w:lang w:val="en-US" w:eastAsia="zh-CN" w:bidi="ar"/>
              </w:rPr>
              <w:t xml:space="preserve"> 双缝干涉 </w:t>
            </w:r>
          </w:p>
          <w:p w14:paraId="2BEEA1CF">
            <w:pPr>
              <w:keepNext w:val="0"/>
              <w:keepLines w:val="0"/>
              <w:widowControl/>
              <w:suppressLineNumbers w:val="0"/>
              <w:jc w:val="left"/>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1</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 xml:space="preserve"> 薄膜干涉</w:t>
            </w:r>
          </w:p>
          <w:p w14:paraId="52FC9C8C">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13-</w:t>
            </w:r>
            <w:r>
              <w:rPr>
                <w:rFonts w:hint="default" w:ascii="Times New Roman" w:hAnsi="Times New Roman" w:cs="Times New Roman"/>
                <w:color w:val="000000"/>
                <w:kern w:val="0"/>
                <w:sz w:val="21"/>
                <w:szCs w:val="21"/>
                <w:lang w:val="en-US" w:eastAsia="zh-CN" w:bidi="ar"/>
              </w:rPr>
              <w:t>4</w:t>
            </w:r>
            <w:r>
              <w:rPr>
                <w:rFonts w:hint="default" w:ascii="Times New Roman" w:hAnsi="Times New Roman" w:eastAsia="宋体" w:cs="Times New Roman"/>
                <w:color w:val="000000"/>
                <w:kern w:val="0"/>
                <w:sz w:val="21"/>
                <w:szCs w:val="21"/>
                <w:lang w:val="en-US" w:eastAsia="zh-CN" w:bidi="ar"/>
              </w:rPr>
              <w:t xml:space="preserve">单缝衍射 </w:t>
            </w:r>
          </w:p>
          <w:p w14:paraId="2E33581A">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 </w:t>
            </w:r>
            <w:r>
              <w:rPr>
                <w:rFonts w:hint="default" w:ascii="Times New Roman" w:hAnsi="Times New Roman" w:cs="Times New Roman"/>
                <w:b/>
                <w:bCs/>
                <w:color w:val="000000"/>
                <w:kern w:val="0"/>
                <w:sz w:val="21"/>
                <w:szCs w:val="21"/>
                <w:lang w:val="en-US" w:eastAsia="zh-CN" w:bidi="ar"/>
              </w:rPr>
              <w:t>预期学习成果</w:t>
            </w:r>
            <w:r>
              <w:rPr>
                <w:rFonts w:hint="default" w:ascii="Times New Roman" w:hAnsi="Times New Roman" w:eastAsia="宋体" w:cs="Times New Roman"/>
                <w:b/>
                <w:bCs/>
                <w:color w:val="000000"/>
                <w:kern w:val="0"/>
                <w:sz w:val="21"/>
                <w:szCs w:val="21"/>
                <w:lang w:val="en-US" w:eastAsia="zh-CN" w:bidi="ar"/>
              </w:rPr>
              <w:t xml:space="preserve">： </w:t>
            </w:r>
          </w:p>
          <w:p w14:paraId="5C4351EC">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1、光的干涉现象、光程和光程差、半波损失：理解光的相干条件及获得相 </w:t>
            </w:r>
          </w:p>
          <w:p w14:paraId="19D9279D">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干光的方法；熟练掌握光程、光程差以及光程差和相位差关系的计算</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熟练掌握半波损失的产生条件。 </w:t>
            </w:r>
          </w:p>
          <w:p w14:paraId="7A90296B">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2、双缝干涉、薄膜干涉：能熟练分析、确定杨氏双缝干涉明、暗条纹的位置</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计算薄膜上、下表面反射光线的光程差，理解增透膜和增反膜</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 </w:t>
            </w:r>
          </w:p>
          <w:p w14:paraId="6DE7F348">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、光的衍射、单缝衍射：了解惠更斯—菲涅耳原理以及它对光的衍射现象的定性解释；</w:t>
            </w:r>
            <w:r>
              <w:rPr>
                <w:rFonts w:hint="default" w:ascii="Times New Roman" w:hAnsi="Times New Roman" w:cs="Times New Roman"/>
                <w:color w:val="000000"/>
                <w:kern w:val="0"/>
                <w:sz w:val="21"/>
                <w:szCs w:val="21"/>
                <w:lang w:val="en-US" w:eastAsia="zh-CN" w:bidi="ar"/>
              </w:rPr>
              <w:t>了解</w:t>
            </w:r>
            <w:r>
              <w:rPr>
                <w:rFonts w:hint="default" w:ascii="Times New Roman" w:hAnsi="Times New Roman" w:eastAsia="宋体" w:cs="Times New Roman"/>
                <w:color w:val="000000"/>
                <w:kern w:val="0"/>
                <w:sz w:val="21"/>
                <w:szCs w:val="21"/>
                <w:lang w:val="en-US" w:eastAsia="zh-CN" w:bidi="ar"/>
              </w:rPr>
              <w:t>单缝夫琅和费衍射条纹分布规律。</w:t>
            </w:r>
          </w:p>
          <w:p w14:paraId="5E4860CF">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260D7B92">
            <w:pPr>
              <w:keepNext w:val="0"/>
              <w:keepLines w:val="0"/>
              <w:widowControl/>
              <w:suppressLineNumbers w:val="0"/>
              <w:ind w:firstLine="420" w:firstLineChars="200"/>
              <w:jc w:val="left"/>
              <w:rPr>
                <w:rFonts w:hint="default" w:ascii="Times New Roman" w:hAnsi="Times New Roman"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主要是围绕光学中的波动光学的学习，让学生认识到光具有波粒二重性。让学生体会到事物的双重特性，在不同的层面下表现出不同的性质。通过波动光学的学习，让学生认识到光是一把尺子可以测量微小的东西，测量的精度通常由光的波长决定。通过系统的学习，让学生认识到我国重大科研计划例如“天眼”设计建造的必要性，增加学生对国家的自豪感和归属感</w:t>
            </w:r>
            <w:r>
              <w:rPr>
                <w:rFonts w:hint="default" w:ascii="Times New Roman" w:hAnsi="Times New Roman" w:cs="Times New Roman"/>
                <w:color w:val="000000"/>
                <w:kern w:val="0"/>
                <w:sz w:val="21"/>
                <w:szCs w:val="21"/>
                <w:lang w:val="en-US" w:eastAsia="zh-CN" w:bidi="ar"/>
              </w:rPr>
              <w:t>。</w:t>
            </w:r>
          </w:p>
          <w:p w14:paraId="532E1684">
            <w:pPr>
              <w:keepNext w:val="0"/>
              <w:keepLines w:val="0"/>
              <w:widowControl/>
              <w:suppressLineNumbers w:val="0"/>
              <w:jc w:val="left"/>
              <w:rPr>
                <w:rFonts w:hint="eastAsia" w:ascii="Times New Roman" w:hAnsi="Times New Roman" w:cs="Times New Roman"/>
                <w:b/>
                <w:bCs/>
                <w:color w:val="000000"/>
                <w:kern w:val="0"/>
                <w:sz w:val="21"/>
                <w:szCs w:val="21"/>
                <w:lang w:val="en-US" w:eastAsia="zh-CN" w:bidi="ar"/>
              </w:rPr>
            </w:pPr>
            <w:r>
              <w:rPr>
                <w:rFonts w:hint="eastAsia" w:ascii="Times New Roman" w:hAnsi="Times New Roman" w:cs="Times New Roman"/>
                <w:b/>
                <w:bCs/>
                <w:color w:val="000000"/>
                <w:kern w:val="0"/>
                <w:sz w:val="21"/>
                <w:szCs w:val="21"/>
                <w:lang w:val="en-US" w:eastAsia="zh-CN" w:bidi="ar"/>
              </w:rPr>
              <w:t>教学重点、难点：</w:t>
            </w:r>
          </w:p>
          <w:p w14:paraId="0085FCC6">
            <w:pPr>
              <w:keepNext w:val="0"/>
              <w:keepLines w:val="0"/>
              <w:widowControl/>
              <w:numPr>
                <w:ilvl w:val="0"/>
                <w:numId w:val="0"/>
              </w:numPr>
              <w:suppressLineNumbers w:val="0"/>
              <w:jc w:val="left"/>
              <w:rPr>
                <w:rFonts w:hint="eastAsia"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1、振动和波动方程。</w:t>
            </w:r>
          </w:p>
          <w:p w14:paraId="2CC80148">
            <w:pPr>
              <w:keepNext w:val="0"/>
              <w:keepLines w:val="0"/>
              <w:widowControl/>
              <w:suppressLineNumbers w:val="0"/>
              <w:jc w:val="left"/>
              <w:rPr>
                <w:rFonts w:hint="eastAsia" w:ascii="Times New Roman" w:hAnsi="Times New Roman" w:eastAsia="宋体" w:cs="Times New Roman"/>
                <w:bCs/>
                <w:color w:val="000000"/>
                <w:kern w:val="0"/>
                <w:sz w:val="21"/>
                <w:szCs w:val="21"/>
                <w:lang w:val="en-US" w:eastAsia="zh-CN"/>
              </w:rPr>
            </w:pPr>
            <w:r>
              <w:rPr>
                <w:rFonts w:hint="eastAsia" w:ascii="Times New Roman" w:hAnsi="Times New Roman" w:cs="Times New Roman"/>
                <w:color w:val="000000"/>
                <w:kern w:val="0"/>
                <w:sz w:val="21"/>
                <w:szCs w:val="21"/>
                <w:lang w:val="en-US" w:eastAsia="zh-CN" w:bidi="ar"/>
              </w:rPr>
              <w:t>2、干涉和衍射。</w:t>
            </w:r>
          </w:p>
        </w:tc>
      </w:tr>
      <w:bookmarkEnd w:id="0"/>
      <w:bookmarkEnd w:id="1"/>
    </w:tbl>
    <w:p w14:paraId="288EC92A">
      <w:pPr>
        <w:pStyle w:val="17"/>
        <w:spacing w:before="81" w:after="163"/>
      </w:pPr>
      <w:r>
        <w:rPr>
          <w:rFonts w:hint="eastAsia"/>
        </w:rPr>
        <w:t>（二）教学单元对课程目标的支撑关系</w:t>
      </w:r>
    </w:p>
    <w:tbl>
      <w:tblPr>
        <w:tblStyle w:val="7"/>
        <w:tblW w:w="37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1878"/>
        <w:gridCol w:w="1100"/>
        <w:gridCol w:w="1100"/>
        <w:gridCol w:w="1100"/>
        <w:gridCol w:w="1100"/>
      </w:tblGrid>
      <w:tr w14:paraId="2AC52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794" w:hRule="atLeast"/>
          <w:jc w:val="center"/>
        </w:trPr>
        <w:tc>
          <w:tcPr>
            <w:tcW w:w="1878" w:type="dxa"/>
            <w:tcBorders>
              <w:top w:val="single" w:color="auto" w:sz="12" w:space="0"/>
              <w:left w:val="single" w:color="auto" w:sz="12" w:space="0"/>
              <w:tl2br w:val="single" w:color="auto" w:sz="4" w:space="0"/>
            </w:tcBorders>
          </w:tcPr>
          <w:p w14:paraId="329D0C82">
            <w:pPr>
              <w:pStyle w:val="13"/>
              <w:ind w:firstLine="489"/>
              <w:jc w:val="right"/>
              <w:rPr>
                <w:szCs w:val="16"/>
              </w:rPr>
            </w:pPr>
            <w:r>
              <w:rPr>
                <w:rFonts w:hint="eastAsia"/>
                <w:szCs w:val="16"/>
              </w:rPr>
              <w:t>课程目标</w:t>
            </w:r>
          </w:p>
          <w:p w14:paraId="0904E41A">
            <w:pPr>
              <w:pStyle w:val="13"/>
              <w:ind w:right="210"/>
              <w:jc w:val="left"/>
              <w:rPr>
                <w:rFonts w:hint="eastAsia"/>
                <w:szCs w:val="16"/>
              </w:rPr>
            </w:pPr>
          </w:p>
          <w:p w14:paraId="12DA3CD1">
            <w:pPr>
              <w:pStyle w:val="13"/>
              <w:ind w:right="210"/>
              <w:jc w:val="left"/>
              <w:rPr>
                <w:szCs w:val="16"/>
              </w:rPr>
            </w:pPr>
            <w:r>
              <w:rPr>
                <w:rFonts w:hint="eastAsia"/>
                <w:szCs w:val="16"/>
              </w:rPr>
              <w:t>教学单元</w:t>
            </w:r>
          </w:p>
        </w:tc>
        <w:tc>
          <w:tcPr>
            <w:tcW w:w="1100" w:type="dxa"/>
            <w:tcBorders>
              <w:top w:val="single" w:color="auto" w:sz="12" w:space="0"/>
            </w:tcBorders>
            <w:vAlign w:val="center"/>
          </w:tcPr>
          <w:p w14:paraId="12AC555B">
            <w:pPr>
              <w:pStyle w:val="13"/>
              <w:rPr>
                <w:rFonts w:hint="eastAsia" w:eastAsia="黑体"/>
                <w:szCs w:val="16"/>
                <w:lang w:val="en-US" w:eastAsia="zh-CN"/>
              </w:rPr>
            </w:pPr>
            <w:r>
              <w:rPr>
                <w:rFonts w:hint="eastAsia"/>
                <w:szCs w:val="16"/>
                <w:lang w:val="en-US" w:eastAsia="zh-CN"/>
              </w:rPr>
              <w:t>1</w:t>
            </w:r>
          </w:p>
        </w:tc>
        <w:tc>
          <w:tcPr>
            <w:tcW w:w="1100" w:type="dxa"/>
            <w:tcBorders>
              <w:top w:val="single" w:color="auto" w:sz="12" w:space="0"/>
            </w:tcBorders>
            <w:vAlign w:val="center"/>
          </w:tcPr>
          <w:p w14:paraId="76089983">
            <w:pPr>
              <w:pStyle w:val="13"/>
              <w:rPr>
                <w:rFonts w:hint="eastAsia" w:eastAsia="黑体"/>
                <w:szCs w:val="16"/>
                <w:lang w:val="en-US" w:eastAsia="zh-CN"/>
              </w:rPr>
            </w:pPr>
            <w:r>
              <w:rPr>
                <w:rFonts w:hint="eastAsia"/>
                <w:szCs w:val="16"/>
                <w:lang w:val="en-US" w:eastAsia="zh-CN"/>
              </w:rPr>
              <w:t>2</w:t>
            </w:r>
          </w:p>
        </w:tc>
        <w:tc>
          <w:tcPr>
            <w:tcW w:w="1100" w:type="dxa"/>
            <w:tcBorders>
              <w:top w:val="single" w:color="auto" w:sz="12" w:space="0"/>
            </w:tcBorders>
            <w:vAlign w:val="center"/>
          </w:tcPr>
          <w:p w14:paraId="08BCAC2A">
            <w:pPr>
              <w:pStyle w:val="13"/>
              <w:rPr>
                <w:rFonts w:hint="eastAsia" w:eastAsia="黑体"/>
                <w:szCs w:val="16"/>
                <w:lang w:val="en-US" w:eastAsia="zh-CN"/>
              </w:rPr>
            </w:pPr>
            <w:r>
              <w:rPr>
                <w:rFonts w:hint="eastAsia"/>
                <w:szCs w:val="16"/>
                <w:lang w:val="en-US" w:eastAsia="zh-CN"/>
              </w:rPr>
              <w:t>3</w:t>
            </w:r>
          </w:p>
        </w:tc>
        <w:tc>
          <w:tcPr>
            <w:tcW w:w="1100" w:type="dxa"/>
            <w:tcBorders>
              <w:top w:val="single" w:color="auto" w:sz="12" w:space="0"/>
            </w:tcBorders>
            <w:vAlign w:val="center"/>
          </w:tcPr>
          <w:p w14:paraId="43118126">
            <w:pPr>
              <w:pStyle w:val="13"/>
              <w:rPr>
                <w:rFonts w:hint="default"/>
                <w:szCs w:val="16"/>
                <w:lang w:val="en-US" w:eastAsia="zh-CN"/>
              </w:rPr>
            </w:pPr>
            <w:r>
              <w:rPr>
                <w:rFonts w:hint="eastAsia"/>
                <w:szCs w:val="16"/>
                <w:lang w:val="en-US" w:eastAsia="zh-CN"/>
              </w:rPr>
              <w:t>4</w:t>
            </w:r>
          </w:p>
        </w:tc>
      </w:tr>
      <w:tr w14:paraId="1A712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878" w:type="dxa"/>
            <w:tcBorders>
              <w:left w:val="single" w:color="auto" w:sz="12" w:space="0"/>
            </w:tcBorders>
          </w:tcPr>
          <w:p w14:paraId="73A76BA3">
            <w:pPr>
              <w:pStyle w:val="14"/>
              <w:rPr>
                <w:rFonts w:hint="eastAsia" w:eastAsia="宋体"/>
                <w:lang w:eastAsia="zh-CN"/>
              </w:rPr>
            </w:pPr>
            <w:r>
              <w:rPr>
                <w:rFonts w:hint="eastAsia"/>
                <w:lang w:eastAsia="zh-CN"/>
              </w:rPr>
              <w:t>热学</w:t>
            </w:r>
          </w:p>
        </w:tc>
        <w:tc>
          <w:tcPr>
            <w:tcW w:w="1100" w:type="dxa"/>
            <w:vAlign w:val="center"/>
          </w:tcPr>
          <w:p w14:paraId="2A68AAF8">
            <w:pPr>
              <w:pStyle w:val="14"/>
            </w:pPr>
            <w:r>
              <w:rPr>
                <w:rFonts w:hint="default" w:ascii="Arial" w:hAnsi="Arial" w:cs="Arial"/>
              </w:rPr>
              <w:t>√</w:t>
            </w:r>
          </w:p>
        </w:tc>
        <w:tc>
          <w:tcPr>
            <w:tcW w:w="1100" w:type="dxa"/>
            <w:vAlign w:val="center"/>
          </w:tcPr>
          <w:p w14:paraId="08A143D9">
            <w:pPr>
              <w:pStyle w:val="14"/>
            </w:pPr>
            <w:r>
              <w:rPr>
                <w:rFonts w:hint="default" w:ascii="Arial" w:hAnsi="Arial" w:cs="Arial"/>
              </w:rPr>
              <w:t>√</w:t>
            </w:r>
          </w:p>
        </w:tc>
        <w:tc>
          <w:tcPr>
            <w:tcW w:w="1100" w:type="dxa"/>
            <w:vAlign w:val="center"/>
          </w:tcPr>
          <w:p w14:paraId="21CAB5DE">
            <w:pPr>
              <w:pStyle w:val="14"/>
            </w:pPr>
            <w:r>
              <w:rPr>
                <w:rFonts w:hint="default" w:ascii="Arial" w:hAnsi="Arial" w:cs="Arial"/>
              </w:rPr>
              <w:t>√</w:t>
            </w:r>
          </w:p>
        </w:tc>
        <w:tc>
          <w:tcPr>
            <w:tcW w:w="1100" w:type="dxa"/>
            <w:vAlign w:val="center"/>
          </w:tcPr>
          <w:p w14:paraId="767877FD">
            <w:pPr>
              <w:pStyle w:val="14"/>
              <w:rPr>
                <w:rFonts w:hint="default" w:ascii="Arial" w:hAnsi="Arial" w:cs="Arial"/>
              </w:rPr>
            </w:pPr>
            <w:r>
              <w:rPr>
                <w:rFonts w:hint="default" w:ascii="Arial" w:hAnsi="Arial" w:cs="Arial"/>
              </w:rPr>
              <w:t>√</w:t>
            </w:r>
          </w:p>
        </w:tc>
      </w:tr>
      <w:tr w14:paraId="01C51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878" w:type="dxa"/>
            <w:tcBorders>
              <w:left w:val="single" w:color="auto" w:sz="12" w:space="0"/>
            </w:tcBorders>
          </w:tcPr>
          <w:p w14:paraId="0269933E">
            <w:pPr>
              <w:pStyle w:val="14"/>
              <w:rPr>
                <w:rFonts w:hint="eastAsia" w:eastAsia="宋体"/>
                <w:lang w:eastAsia="zh-CN"/>
              </w:rPr>
            </w:pPr>
            <w:r>
              <w:rPr>
                <w:rFonts w:hint="eastAsia"/>
                <w:lang w:eastAsia="zh-CN"/>
              </w:rPr>
              <w:t>振动、波动、光学</w:t>
            </w:r>
          </w:p>
        </w:tc>
        <w:tc>
          <w:tcPr>
            <w:tcW w:w="1100" w:type="dxa"/>
            <w:vAlign w:val="center"/>
          </w:tcPr>
          <w:p w14:paraId="53180549">
            <w:pPr>
              <w:pStyle w:val="14"/>
            </w:pPr>
            <w:r>
              <w:rPr>
                <w:rFonts w:hint="default" w:ascii="Arial" w:hAnsi="Arial" w:cs="Arial"/>
              </w:rPr>
              <w:t>√</w:t>
            </w:r>
          </w:p>
        </w:tc>
        <w:tc>
          <w:tcPr>
            <w:tcW w:w="1100" w:type="dxa"/>
            <w:vAlign w:val="center"/>
          </w:tcPr>
          <w:p w14:paraId="0B22F71B">
            <w:pPr>
              <w:pStyle w:val="14"/>
            </w:pPr>
            <w:r>
              <w:rPr>
                <w:rFonts w:hint="default" w:ascii="Arial" w:hAnsi="Arial" w:cs="Arial"/>
              </w:rPr>
              <w:t>√</w:t>
            </w:r>
          </w:p>
        </w:tc>
        <w:tc>
          <w:tcPr>
            <w:tcW w:w="1100" w:type="dxa"/>
            <w:vAlign w:val="center"/>
          </w:tcPr>
          <w:p w14:paraId="4F7A7ECF">
            <w:pPr>
              <w:pStyle w:val="14"/>
            </w:pPr>
            <w:r>
              <w:rPr>
                <w:rFonts w:hint="default" w:ascii="Arial" w:hAnsi="Arial" w:cs="Arial"/>
              </w:rPr>
              <w:t>√</w:t>
            </w:r>
          </w:p>
        </w:tc>
        <w:tc>
          <w:tcPr>
            <w:tcW w:w="1100" w:type="dxa"/>
            <w:vAlign w:val="center"/>
          </w:tcPr>
          <w:p w14:paraId="2428620A">
            <w:pPr>
              <w:pStyle w:val="14"/>
              <w:rPr>
                <w:rFonts w:hint="default" w:ascii="Arial" w:hAnsi="Arial" w:cs="Arial"/>
              </w:rPr>
            </w:pPr>
            <w:r>
              <w:rPr>
                <w:rFonts w:hint="default" w:ascii="Arial" w:hAnsi="Arial" w:cs="Arial"/>
              </w:rPr>
              <w:t>√</w:t>
            </w:r>
          </w:p>
        </w:tc>
      </w:tr>
    </w:tbl>
    <w:p w14:paraId="2247D3FC">
      <w:pPr>
        <w:pStyle w:val="17"/>
        <w:spacing w:before="326" w:beforeLines="100" w:after="163"/>
      </w:pPr>
      <w:r>
        <w:rPr>
          <w:rFonts w:hint="eastAsia"/>
        </w:rPr>
        <w:t>（三）课程教学方法与学时分配</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85" w:type="dxa"/>
          <w:bottom w:w="0" w:type="dxa"/>
          <w:right w:w="85" w:type="dxa"/>
        </w:tblCellMar>
      </w:tblPr>
      <w:tblGrid>
        <w:gridCol w:w="1283"/>
        <w:gridCol w:w="3765"/>
        <w:gridCol w:w="1317"/>
        <w:gridCol w:w="725"/>
        <w:gridCol w:w="669"/>
        <w:gridCol w:w="717"/>
      </w:tblGrid>
      <w:tr w14:paraId="713B0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1283" w:type="dxa"/>
            <w:vMerge w:val="restart"/>
            <w:tcBorders>
              <w:top w:val="single" w:color="auto" w:sz="12" w:space="0"/>
              <w:left w:val="single" w:color="auto" w:sz="12" w:space="0"/>
            </w:tcBorders>
            <w:vAlign w:val="center"/>
          </w:tcPr>
          <w:p w14:paraId="18D3C746">
            <w:pPr>
              <w:widowControl w:val="0"/>
              <w:snapToGrid w:val="0"/>
              <w:jc w:val="center"/>
              <w:rPr>
                <w:rFonts w:ascii="黑体" w:hAnsi="黑体" w:eastAsia="黑体"/>
                <w:bCs/>
                <w:sz w:val="21"/>
                <w:szCs w:val="21"/>
              </w:rPr>
            </w:pPr>
            <w:r>
              <w:rPr>
                <w:rFonts w:hint="eastAsia" w:ascii="黑体" w:hAnsi="黑体" w:eastAsia="黑体"/>
                <w:bCs/>
                <w:sz w:val="21"/>
                <w:szCs w:val="21"/>
              </w:rPr>
              <w:t>教学单元</w:t>
            </w:r>
          </w:p>
        </w:tc>
        <w:tc>
          <w:tcPr>
            <w:tcW w:w="3765" w:type="dxa"/>
            <w:vMerge w:val="restart"/>
            <w:tcBorders>
              <w:top w:val="single" w:color="auto" w:sz="12" w:space="0"/>
            </w:tcBorders>
            <w:vAlign w:val="center"/>
          </w:tcPr>
          <w:p w14:paraId="328FFBA4">
            <w:pPr>
              <w:pStyle w:val="13"/>
              <w:widowControl w:val="0"/>
              <w:rPr>
                <w:szCs w:val="21"/>
              </w:rPr>
            </w:pPr>
            <w:r>
              <w:rPr>
                <w:rFonts w:hint="eastAsia" w:ascii="黑体" w:hAnsi="黑体"/>
                <w:szCs w:val="21"/>
              </w:rPr>
              <w:t>教与学方式</w:t>
            </w:r>
          </w:p>
        </w:tc>
        <w:tc>
          <w:tcPr>
            <w:tcW w:w="1317" w:type="dxa"/>
            <w:vMerge w:val="restart"/>
            <w:tcBorders>
              <w:top w:val="single" w:color="auto" w:sz="12" w:space="0"/>
            </w:tcBorders>
            <w:vAlign w:val="center"/>
          </w:tcPr>
          <w:p w14:paraId="5231A1A1">
            <w:pPr>
              <w:pStyle w:val="13"/>
              <w:widowControl w:val="0"/>
              <w:rPr>
                <w:rFonts w:ascii="黑体" w:hAnsi="黑体"/>
                <w:szCs w:val="21"/>
              </w:rPr>
            </w:pPr>
            <w:r>
              <w:rPr>
                <w:rFonts w:hint="eastAsia" w:ascii="黑体" w:hAnsi="黑体"/>
                <w:szCs w:val="21"/>
              </w:rPr>
              <w:t>考核方式</w:t>
            </w:r>
          </w:p>
        </w:tc>
        <w:tc>
          <w:tcPr>
            <w:tcW w:w="2111" w:type="dxa"/>
            <w:gridSpan w:val="3"/>
            <w:tcBorders>
              <w:top w:val="single" w:color="auto" w:sz="12" w:space="0"/>
              <w:right w:val="single" w:color="auto" w:sz="12" w:space="0"/>
            </w:tcBorders>
            <w:vAlign w:val="center"/>
          </w:tcPr>
          <w:p w14:paraId="7B08891E">
            <w:pPr>
              <w:pStyle w:val="13"/>
              <w:widowControl w:val="0"/>
              <w:rPr>
                <w:rFonts w:ascii="黑体" w:hAnsi="黑体"/>
                <w:szCs w:val="21"/>
              </w:rPr>
            </w:pPr>
            <w:r>
              <w:rPr>
                <w:rFonts w:hint="eastAsia" w:ascii="黑体" w:hAnsi="黑体"/>
                <w:szCs w:val="21"/>
              </w:rPr>
              <w:t>学时</w:t>
            </w:r>
            <w:r>
              <w:rPr>
                <w:rFonts w:hint="eastAsia" w:ascii="黑体" w:hAnsi="黑体"/>
                <w:bCs w:val="0"/>
                <w:szCs w:val="21"/>
              </w:rPr>
              <w:t>分配</w:t>
            </w:r>
          </w:p>
        </w:tc>
      </w:tr>
      <w:tr w14:paraId="7B1DF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1283" w:type="dxa"/>
            <w:vMerge w:val="continue"/>
            <w:tcBorders>
              <w:left w:val="single" w:color="auto" w:sz="12" w:space="0"/>
            </w:tcBorders>
          </w:tcPr>
          <w:p w14:paraId="4D5F1AC7">
            <w:pPr>
              <w:widowControl w:val="0"/>
              <w:snapToGrid w:val="0"/>
              <w:jc w:val="center"/>
              <w:rPr>
                <w:rFonts w:ascii="黑体" w:hAnsi="黑体" w:eastAsia="黑体"/>
                <w:bCs/>
                <w:sz w:val="21"/>
                <w:szCs w:val="21"/>
              </w:rPr>
            </w:pPr>
          </w:p>
        </w:tc>
        <w:tc>
          <w:tcPr>
            <w:tcW w:w="3765" w:type="dxa"/>
            <w:vMerge w:val="continue"/>
          </w:tcPr>
          <w:p w14:paraId="1A6A2592">
            <w:pPr>
              <w:widowControl w:val="0"/>
              <w:snapToGrid w:val="0"/>
              <w:jc w:val="center"/>
              <w:rPr>
                <w:rFonts w:ascii="黑体" w:hAnsi="黑体" w:eastAsia="黑体"/>
                <w:bCs/>
                <w:sz w:val="21"/>
                <w:szCs w:val="21"/>
              </w:rPr>
            </w:pPr>
          </w:p>
        </w:tc>
        <w:tc>
          <w:tcPr>
            <w:tcW w:w="1317" w:type="dxa"/>
            <w:vMerge w:val="continue"/>
          </w:tcPr>
          <w:p w14:paraId="1F1553E4">
            <w:pPr>
              <w:widowControl w:val="0"/>
              <w:snapToGrid w:val="0"/>
              <w:jc w:val="center"/>
              <w:rPr>
                <w:rFonts w:ascii="黑体" w:hAnsi="黑体" w:eastAsia="黑体"/>
                <w:bCs/>
                <w:sz w:val="21"/>
                <w:szCs w:val="21"/>
              </w:rPr>
            </w:pPr>
          </w:p>
        </w:tc>
        <w:tc>
          <w:tcPr>
            <w:tcW w:w="725" w:type="dxa"/>
            <w:vAlign w:val="center"/>
          </w:tcPr>
          <w:p w14:paraId="5B0BA0AC">
            <w:pPr>
              <w:widowControl w:val="0"/>
              <w:snapToGrid w:val="0"/>
              <w:jc w:val="center"/>
              <w:rPr>
                <w:rFonts w:ascii="黑体" w:hAnsi="黑体" w:eastAsia="黑体"/>
                <w:bCs/>
                <w:sz w:val="21"/>
                <w:szCs w:val="21"/>
              </w:rPr>
            </w:pPr>
            <w:r>
              <w:rPr>
                <w:rFonts w:hint="eastAsia" w:ascii="黑体" w:hAnsi="黑体" w:eastAsia="黑体"/>
                <w:bCs/>
                <w:sz w:val="21"/>
                <w:szCs w:val="21"/>
              </w:rPr>
              <w:t>理论</w:t>
            </w:r>
          </w:p>
        </w:tc>
        <w:tc>
          <w:tcPr>
            <w:tcW w:w="669" w:type="dxa"/>
            <w:vAlign w:val="center"/>
          </w:tcPr>
          <w:p w14:paraId="31A2A5B8">
            <w:pPr>
              <w:widowControl w:val="0"/>
              <w:snapToGrid w:val="0"/>
              <w:jc w:val="center"/>
              <w:rPr>
                <w:rFonts w:ascii="黑体" w:hAnsi="黑体" w:eastAsia="黑体"/>
                <w:bCs/>
                <w:sz w:val="21"/>
                <w:szCs w:val="21"/>
              </w:rPr>
            </w:pPr>
            <w:r>
              <w:rPr>
                <w:rFonts w:hint="eastAsia" w:ascii="黑体" w:hAnsi="黑体" w:eastAsia="黑体"/>
                <w:bCs/>
                <w:sz w:val="21"/>
                <w:szCs w:val="21"/>
              </w:rPr>
              <w:t>实践</w:t>
            </w:r>
          </w:p>
        </w:tc>
        <w:tc>
          <w:tcPr>
            <w:tcW w:w="717" w:type="dxa"/>
            <w:tcBorders>
              <w:right w:val="single" w:color="auto" w:sz="12" w:space="0"/>
            </w:tcBorders>
            <w:vAlign w:val="center"/>
          </w:tcPr>
          <w:p w14:paraId="461B86B4">
            <w:pPr>
              <w:widowControl w:val="0"/>
              <w:snapToGrid w:val="0"/>
              <w:jc w:val="center"/>
              <w:rPr>
                <w:rFonts w:ascii="黑体" w:hAnsi="黑体" w:eastAsia="黑体"/>
                <w:bCs/>
                <w:sz w:val="21"/>
                <w:szCs w:val="21"/>
              </w:rPr>
            </w:pPr>
            <w:r>
              <w:rPr>
                <w:rFonts w:hint="eastAsia" w:ascii="黑体" w:hAnsi="黑体" w:eastAsia="黑体"/>
                <w:bCs/>
                <w:sz w:val="21"/>
                <w:szCs w:val="21"/>
              </w:rPr>
              <w:t>小计</w:t>
            </w:r>
          </w:p>
        </w:tc>
      </w:tr>
      <w:tr w14:paraId="7E4B9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014" w:hRule="atLeast"/>
          <w:jc w:val="center"/>
        </w:trPr>
        <w:tc>
          <w:tcPr>
            <w:tcW w:w="1283" w:type="dxa"/>
            <w:tcBorders>
              <w:left w:val="single" w:color="auto" w:sz="12" w:space="0"/>
            </w:tcBorders>
            <w:vAlign w:val="center"/>
          </w:tcPr>
          <w:p w14:paraId="38A4B7CC">
            <w:pPr>
              <w:widowControl w:val="0"/>
              <w:snapToGrid w:val="0"/>
              <w:jc w:val="left"/>
              <w:rPr>
                <w:rFonts w:hint="default" w:ascii="Times New Roman" w:hAnsi="Times New Roman" w:eastAsia="宋体" w:cs="Times New Roman"/>
                <w:bCs/>
                <w:sz w:val="21"/>
                <w:szCs w:val="21"/>
                <w:lang w:eastAsia="zh-CN"/>
              </w:rPr>
            </w:pPr>
            <w:r>
              <w:rPr>
                <w:rFonts w:hint="default" w:ascii="Times New Roman" w:hAnsi="Times New Roman" w:cs="Times New Roman"/>
                <w:bCs/>
                <w:sz w:val="21"/>
                <w:szCs w:val="21"/>
                <w:lang w:eastAsia="zh-CN"/>
              </w:rPr>
              <w:t>热学</w:t>
            </w:r>
          </w:p>
        </w:tc>
        <w:tc>
          <w:tcPr>
            <w:tcW w:w="3765" w:type="dxa"/>
            <w:vMerge w:val="restart"/>
            <w:vAlign w:val="center"/>
          </w:tcPr>
          <w:p w14:paraId="11689030">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1、讲授法：授课教师口授结合板书直接向学生传授物理知识，帮助学生理解大学物理中的基本概念，掌握物理学基本定律，同时理解基本定理演绎过程。 </w:t>
            </w:r>
          </w:p>
          <w:p w14:paraId="769D43DE">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2、演示法：授课教师通过 PPT 等多媒体工具将经典的物理现象和规律以图文并茂的形式展示给学生，使学生对物理概念有一个直观的认识。 </w:t>
            </w:r>
          </w:p>
          <w:p w14:paraId="5C50FE95">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3、案例教学法：以案例为基础的教学法，通过提出没有特定解决方法的问题，鼓励学生积极参与讨论，并就自己和他人的方案发表见解，使学生的学习变被动为主动。 </w:t>
            </w:r>
          </w:p>
          <w:p w14:paraId="64752365">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4、同伴教学法：利用一些引导学生深入探究的概念测试题等，引导学生参与教 学过程，变传统单一的讲授为基于剖析概念的自主学习和合作探究。 </w:t>
            </w:r>
          </w:p>
          <w:p w14:paraId="3FAB4490">
            <w:pPr>
              <w:keepNext w:val="0"/>
              <w:keepLines w:val="0"/>
              <w:widowControl/>
              <w:suppressLineNumbers w:val="0"/>
              <w:jc w:val="left"/>
              <w:rPr>
                <w:rFonts w:hint="default" w:ascii="Times New Roman" w:hAnsi="Times New Roman" w:cs="Times New Roman"/>
                <w:bCs/>
                <w:sz w:val="21"/>
                <w:szCs w:val="21"/>
              </w:rPr>
            </w:pPr>
            <w:r>
              <w:rPr>
                <w:rFonts w:hint="default" w:ascii="Times New Roman" w:hAnsi="Times New Roman" w:eastAsia="宋体" w:cs="Times New Roman"/>
                <w:color w:val="000000"/>
                <w:kern w:val="0"/>
                <w:sz w:val="21"/>
                <w:szCs w:val="21"/>
                <w:lang w:val="en-US" w:eastAsia="zh-CN" w:bidi="ar"/>
              </w:rPr>
              <w:t>5、练习法：通过大量的例题讲解和课后习题的练习，使学生对教学大纲要求的 知识点快速掌握，同时掌握应用物理概念和基本定理解题的技巧。</w:t>
            </w:r>
          </w:p>
        </w:tc>
        <w:tc>
          <w:tcPr>
            <w:tcW w:w="1317" w:type="dxa"/>
            <w:vMerge w:val="restart"/>
            <w:vAlign w:val="center"/>
          </w:tcPr>
          <w:p w14:paraId="2F8051D6">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期末考试</w:t>
            </w:r>
          </w:p>
          <w:p w14:paraId="79B2FC2A">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作业习题</w:t>
            </w:r>
          </w:p>
          <w:p w14:paraId="25E44A3B">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课堂表现</w:t>
            </w:r>
          </w:p>
          <w:p w14:paraId="10AA3B9A">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调查报告</w:t>
            </w:r>
          </w:p>
          <w:p w14:paraId="40CCC1AB">
            <w:pPr>
              <w:widowControl w:val="0"/>
              <w:snapToGrid w:val="0"/>
              <w:jc w:val="left"/>
              <w:rPr>
                <w:rFonts w:hint="default" w:ascii="Times New Roman" w:hAnsi="Times New Roman" w:cs="Times New Roman"/>
                <w:bCs/>
                <w:sz w:val="21"/>
                <w:szCs w:val="21"/>
              </w:rPr>
            </w:pPr>
          </w:p>
        </w:tc>
        <w:tc>
          <w:tcPr>
            <w:tcW w:w="725" w:type="dxa"/>
            <w:vAlign w:val="center"/>
          </w:tcPr>
          <w:p w14:paraId="754C3C9E">
            <w:pPr>
              <w:widowControl w:val="0"/>
              <w:snapToGrid w:val="0"/>
              <w:jc w:val="left"/>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1</w:t>
            </w:r>
            <w:r>
              <w:rPr>
                <w:rFonts w:hint="eastAsia" w:ascii="Times New Roman" w:hAnsi="Times New Roman" w:cs="Times New Roman"/>
                <w:bCs/>
                <w:sz w:val="21"/>
                <w:szCs w:val="21"/>
                <w:lang w:val="en-US" w:eastAsia="zh-CN"/>
              </w:rPr>
              <w:t>4</w:t>
            </w:r>
          </w:p>
        </w:tc>
        <w:tc>
          <w:tcPr>
            <w:tcW w:w="669" w:type="dxa"/>
            <w:vAlign w:val="center"/>
          </w:tcPr>
          <w:p w14:paraId="6BDA8B3A">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right w:val="single" w:color="auto" w:sz="12" w:space="0"/>
            </w:tcBorders>
            <w:vAlign w:val="center"/>
          </w:tcPr>
          <w:p w14:paraId="61213B7B">
            <w:pPr>
              <w:widowControl w:val="0"/>
              <w:snapToGrid w:val="0"/>
              <w:jc w:val="left"/>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1</w:t>
            </w:r>
            <w:r>
              <w:rPr>
                <w:rFonts w:hint="eastAsia" w:ascii="Times New Roman" w:hAnsi="Times New Roman" w:cs="Times New Roman"/>
                <w:bCs/>
                <w:sz w:val="21"/>
                <w:szCs w:val="21"/>
                <w:lang w:val="en-US" w:eastAsia="zh-CN"/>
              </w:rPr>
              <w:t>4</w:t>
            </w:r>
          </w:p>
        </w:tc>
      </w:tr>
      <w:tr w14:paraId="62395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1283" w:type="dxa"/>
            <w:tcBorders>
              <w:left w:val="single" w:color="auto" w:sz="12" w:space="0"/>
            </w:tcBorders>
            <w:vAlign w:val="center"/>
          </w:tcPr>
          <w:p w14:paraId="757D1E75">
            <w:pPr>
              <w:widowControl w:val="0"/>
              <w:snapToGrid w:val="0"/>
              <w:jc w:val="left"/>
              <w:rPr>
                <w:rFonts w:hint="default" w:ascii="Times New Roman" w:hAnsi="Times New Roman" w:eastAsia="宋体" w:cs="Times New Roman"/>
                <w:bCs/>
                <w:sz w:val="21"/>
                <w:szCs w:val="21"/>
                <w:lang w:eastAsia="zh-CN"/>
              </w:rPr>
            </w:pPr>
            <w:r>
              <w:rPr>
                <w:rFonts w:hint="default" w:ascii="Times New Roman" w:hAnsi="Times New Roman" w:cs="Times New Roman"/>
                <w:bCs/>
                <w:sz w:val="21"/>
                <w:szCs w:val="21"/>
                <w:lang w:eastAsia="zh-CN"/>
              </w:rPr>
              <w:t>振动、波动、光学</w:t>
            </w:r>
          </w:p>
        </w:tc>
        <w:tc>
          <w:tcPr>
            <w:tcW w:w="3765" w:type="dxa"/>
            <w:vMerge w:val="continue"/>
            <w:vAlign w:val="center"/>
          </w:tcPr>
          <w:p w14:paraId="7A4A8AC2">
            <w:pPr>
              <w:widowControl w:val="0"/>
              <w:snapToGrid w:val="0"/>
              <w:jc w:val="left"/>
              <w:rPr>
                <w:rFonts w:hint="default" w:ascii="Times New Roman" w:hAnsi="Times New Roman" w:cs="Times New Roman"/>
                <w:bCs/>
                <w:sz w:val="21"/>
                <w:szCs w:val="21"/>
              </w:rPr>
            </w:pPr>
          </w:p>
        </w:tc>
        <w:tc>
          <w:tcPr>
            <w:tcW w:w="1317" w:type="dxa"/>
            <w:vMerge w:val="continue"/>
            <w:vAlign w:val="center"/>
          </w:tcPr>
          <w:p w14:paraId="0CA80871">
            <w:pPr>
              <w:widowControl w:val="0"/>
              <w:snapToGrid w:val="0"/>
              <w:jc w:val="left"/>
              <w:rPr>
                <w:rFonts w:hint="default" w:ascii="Times New Roman" w:hAnsi="Times New Roman" w:cs="Times New Roman"/>
                <w:bCs/>
                <w:sz w:val="21"/>
                <w:szCs w:val="21"/>
              </w:rPr>
            </w:pPr>
          </w:p>
        </w:tc>
        <w:tc>
          <w:tcPr>
            <w:tcW w:w="725" w:type="dxa"/>
            <w:vAlign w:val="center"/>
          </w:tcPr>
          <w:p w14:paraId="120E19C0">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34</w:t>
            </w:r>
          </w:p>
        </w:tc>
        <w:tc>
          <w:tcPr>
            <w:tcW w:w="669" w:type="dxa"/>
            <w:vAlign w:val="center"/>
          </w:tcPr>
          <w:p w14:paraId="614E530C">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right w:val="single" w:color="auto" w:sz="12" w:space="0"/>
            </w:tcBorders>
            <w:vAlign w:val="center"/>
          </w:tcPr>
          <w:p w14:paraId="2F63572F">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34</w:t>
            </w:r>
          </w:p>
        </w:tc>
      </w:tr>
      <w:tr w14:paraId="08F66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6365" w:type="dxa"/>
            <w:gridSpan w:val="3"/>
            <w:tcBorders>
              <w:left w:val="single" w:color="auto" w:sz="12" w:space="0"/>
              <w:bottom w:val="single" w:color="auto" w:sz="12" w:space="0"/>
            </w:tcBorders>
            <w:vAlign w:val="center"/>
          </w:tcPr>
          <w:p w14:paraId="3BA16EE6">
            <w:pPr>
              <w:pStyle w:val="13"/>
              <w:widowControl w:val="0"/>
              <w:jc w:val="center"/>
              <w:rPr>
                <w:rFonts w:hint="default" w:ascii="Times New Roman" w:hAnsi="Times New Roman" w:cs="Times New Roman"/>
              </w:rPr>
            </w:pPr>
            <w:r>
              <w:rPr>
                <w:rFonts w:hint="default" w:ascii="Times New Roman" w:hAnsi="Times New Roman" w:cs="Times New Roman"/>
              </w:rPr>
              <w:t>合计</w:t>
            </w:r>
          </w:p>
        </w:tc>
        <w:tc>
          <w:tcPr>
            <w:tcW w:w="725" w:type="dxa"/>
            <w:tcBorders>
              <w:bottom w:val="single" w:color="auto" w:sz="12" w:space="0"/>
            </w:tcBorders>
            <w:vAlign w:val="center"/>
          </w:tcPr>
          <w:p w14:paraId="34CDDFC1">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4</w:t>
            </w:r>
            <w:r>
              <w:rPr>
                <w:rFonts w:hint="default" w:ascii="Times New Roman" w:hAnsi="Times New Roman" w:cs="Times New Roman"/>
                <w:bCs/>
                <w:sz w:val="21"/>
                <w:szCs w:val="21"/>
                <w:lang w:val="en-US" w:eastAsia="zh-CN"/>
              </w:rPr>
              <w:t>8</w:t>
            </w:r>
          </w:p>
        </w:tc>
        <w:tc>
          <w:tcPr>
            <w:tcW w:w="669" w:type="dxa"/>
            <w:tcBorders>
              <w:bottom w:val="single" w:color="auto" w:sz="12" w:space="0"/>
            </w:tcBorders>
            <w:vAlign w:val="center"/>
          </w:tcPr>
          <w:p w14:paraId="3C5450BA">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bottom w:val="single" w:color="auto" w:sz="12" w:space="0"/>
              <w:right w:val="single" w:color="auto" w:sz="12" w:space="0"/>
            </w:tcBorders>
            <w:vAlign w:val="center"/>
          </w:tcPr>
          <w:p w14:paraId="3D2977E2">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4</w:t>
            </w:r>
            <w:r>
              <w:rPr>
                <w:rFonts w:hint="default" w:ascii="Times New Roman" w:hAnsi="Times New Roman" w:cs="Times New Roman"/>
                <w:bCs/>
                <w:sz w:val="21"/>
                <w:szCs w:val="21"/>
                <w:lang w:val="en-US" w:eastAsia="zh-CN"/>
              </w:rPr>
              <w:t>8</w:t>
            </w:r>
          </w:p>
        </w:tc>
      </w:tr>
    </w:tbl>
    <w:p w14:paraId="1D765B1F">
      <w:pPr>
        <w:pStyle w:val="16"/>
        <w:spacing w:before="326" w:beforeLines="100" w:line="360" w:lineRule="auto"/>
        <w:ind w:firstLine="140" w:firstLineChars="50"/>
        <w:rPr>
          <w:rFonts w:ascii="黑体" w:hAnsi="宋体"/>
        </w:rPr>
      </w:pPr>
      <w:bookmarkStart w:id="2" w:name="OLE_LINK1"/>
      <w:bookmarkStart w:id="3" w:name="OLE_LINK2"/>
      <w:r>
        <w:rPr>
          <w:rFonts w:hint="eastAsia" w:ascii="黑体" w:hAnsi="宋体"/>
        </w:rPr>
        <w:t>四、课程思政教学设计</w:t>
      </w:r>
    </w:p>
    <w:bookmarkEnd w:id="2"/>
    <w:bookmarkEnd w:id="3"/>
    <w:tbl>
      <w:tblPr>
        <w:tblStyle w:val="8"/>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28" w:type="dxa"/>
          <w:left w:w="85" w:type="dxa"/>
          <w:bottom w:w="28" w:type="dxa"/>
          <w:right w:w="85" w:type="dxa"/>
        </w:tblCellMar>
      </w:tblPr>
      <w:tblGrid>
        <w:gridCol w:w="8476"/>
      </w:tblGrid>
      <w:tr w14:paraId="24E7BA6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85" w:type="dxa"/>
            <w:bottom w:w="28" w:type="dxa"/>
            <w:right w:w="85" w:type="dxa"/>
          </w:tblCellMar>
        </w:tblPrEx>
        <w:trPr>
          <w:trHeight w:val="893" w:hRule="atLeast"/>
        </w:trPr>
        <w:tc>
          <w:tcPr>
            <w:tcW w:w="8276" w:type="dxa"/>
            <w:vAlign w:val="center"/>
          </w:tcPr>
          <w:p w14:paraId="5C92D50C">
            <w:pPr>
              <w:widowControl w:val="0"/>
              <w:spacing w:line="360" w:lineRule="exact"/>
              <w:jc w:val="both"/>
              <w:rPr>
                <w:rFonts w:hint="default" w:ascii="Times New Roman" w:hAnsi="Times New Roman" w:cs="Times New Roman" w:eastAsiaTheme="majorEastAsia"/>
                <w:bCs/>
                <w:kern w:val="0"/>
                <w:sz w:val="21"/>
                <w:szCs w:val="21"/>
              </w:rPr>
            </w:pPr>
            <w:r>
              <w:rPr>
                <w:rFonts w:hint="default" w:ascii="Times New Roman" w:hAnsi="Times New Roman" w:cs="Times New Roman" w:eastAsiaTheme="majorEastAsia"/>
                <w:bCs/>
                <w:kern w:val="0"/>
                <w:sz w:val="21"/>
                <w:szCs w:val="21"/>
                <w:lang w:val="en-US" w:eastAsia="zh-CN"/>
              </w:rPr>
              <w:t xml:space="preserve">1、使学生在学习物理学知识的同时,逐步建立正确的思想方法和研究方法,充分发挥本课程在培养学生辩证唯物主义世界观方面的作用, 将马克思主义立场观点方法的教育与科学精神的培养结合起来，进行科学素质教育。 </w:t>
            </w:r>
          </w:p>
          <w:p w14:paraId="1C1CA658">
            <w:pPr>
              <w:widowControl w:val="0"/>
              <w:spacing w:line="360" w:lineRule="exact"/>
              <w:jc w:val="both"/>
              <w:rPr>
                <w:rFonts w:hint="default" w:ascii="Times New Roman" w:hAnsi="Times New Roman" w:cs="Times New Roman" w:eastAsiaTheme="majorEastAsia"/>
                <w:bCs/>
                <w:kern w:val="0"/>
                <w:sz w:val="21"/>
                <w:szCs w:val="21"/>
              </w:rPr>
            </w:pPr>
            <w:r>
              <w:rPr>
                <w:rFonts w:hint="default" w:ascii="Times New Roman" w:hAnsi="Times New Roman" w:cs="Times New Roman" w:eastAsiaTheme="majorEastAsia"/>
                <w:bCs/>
                <w:kern w:val="0"/>
                <w:sz w:val="21"/>
                <w:szCs w:val="21"/>
                <w:lang w:val="en-US" w:eastAsia="zh-CN"/>
              </w:rPr>
              <w:t xml:space="preserve">2、通过应用物理学原理对国家红色工程和大科学装置的分析，对学生进行科学思维方法训练，提高学生正确认识问题、分析问题和解决问题的能力，培养学生 探索未知、追求真理、勇攀科学高峰的责任感和使命感。 </w:t>
            </w:r>
          </w:p>
          <w:p w14:paraId="4A9BAA18">
            <w:pPr>
              <w:widowControl w:val="0"/>
              <w:spacing w:line="360" w:lineRule="exact"/>
              <w:jc w:val="both"/>
              <w:rPr>
                <w:rFonts w:hint="default" w:ascii="Times New Roman" w:hAnsi="Times New Roman" w:cs="Times New Roman"/>
              </w:rPr>
            </w:pPr>
            <w:r>
              <w:rPr>
                <w:rFonts w:hint="default" w:ascii="Times New Roman" w:hAnsi="Times New Roman" w:cs="Times New Roman" w:eastAsiaTheme="majorEastAsia"/>
                <w:bCs/>
                <w:kern w:val="0"/>
                <w:sz w:val="21"/>
                <w:szCs w:val="21"/>
                <w:lang w:val="en-US" w:eastAsia="zh-CN"/>
              </w:rPr>
              <w:t xml:space="preserve">3、中国古代科学思想的挖掘和古代科技背后的物理学原理分析，培养学生的民族自豪感和文化自信；同时通过学习老一辈物理学家的爱国奉献精神，树立正确的人生观，坚定共产主义信念和社会主义核心价值观。 </w:t>
            </w:r>
          </w:p>
        </w:tc>
      </w:tr>
    </w:tbl>
    <w:p w14:paraId="7288EB4F">
      <w:pPr>
        <w:pStyle w:val="16"/>
        <w:spacing w:before="326" w:beforeLines="100" w:line="360" w:lineRule="auto"/>
        <w:rPr>
          <w:rFonts w:ascii="黑体" w:hAnsi="宋体"/>
        </w:rPr>
      </w:pPr>
      <w:r>
        <w:rPr>
          <w:rFonts w:hint="eastAsia" w:ascii="黑体" w:hAnsi="宋体"/>
        </w:rPr>
        <w:t>五、课程考核</w:t>
      </w:r>
      <w:bookmarkStart w:id="4" w:name="OLE_LINK3"/>
      <w:bookmarkStart w:id="5" w:name="OLE_LINK4"/>
    </w:p>
    <w:bookmarkEnd w:id="4"/>
    <w:bookmarkEnd w:id="5"/>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709"/>
        <w:gridCol w:w="2353"/>
        <w:gridCol w:w="612"/>
        <w:gridCol w:w="612"/>
        <w:gridCol w:w="612"/>
        <w:gridCol w:w="612"/>
        <w:gridCol w:w="706"/>
      </w:tblGrid>
      <w:tr w14:paraId="1FE85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restart"/>
            <w:tcBorders>
              <w:top w:val="single" w:color="auto" w:sz="12" w:space="0"/>
              <w:left w:val="single" w:color="auto" w:sz="12" w:space="0"/>
            </w:tcBorders>
            <w:vAlign w:val="center"/>
          </w:tcPr>
          <w:p w14:paraId="75F25429">
            <w:pPr>
              <w:widowControl w:val="0"/>
              <w:snapToGrid w:val="0"/>
              <w:jc w:val="center"/>
              <w:rPr>
                <w:rFonts w:ascii="黑体" w:hAnsi="黑体" w:eastAsia="黑体"/>
                <w:bCs/>
                <w:sz w:val="21"/>
                <w:szCs w:val="21"/>
              </w:rPr>
            </w:pPr>
            <w:r>
              <w:rPr>
                <w:rFonts w:hint="eastAsia" w:ascii="黑体" w:hAnsi="黑体" w:eastAsia="黑体"/>
                <w:bCs/>
                <w:sz w:val="21"/>
                <w:szCs w:val="21"/>
              </w:rPr>
              <w:t>总评构成</w:t>
            </w:r>
          </w:p>
        </w:tc>
        <w:tc>
          <w:tcPr>
            <w:tcW w:w="709" w:type="dxa"/>
            <w:vMerge w:val="restart"/>
            <w:tcBorders>
              <w:top w:val="single" w:color="auto" w:sz="12" w:space="0"/>
            </w:tcBorders>
            <w:vAlign w:val="center"/>
          </w:tcPr>
          <w:p w14:paraId="72E75711">
            <w:pPr>
              <w:pStyle w:val="16"/>
              <w:widowControl w:val="0"/>
              <w:spacing w:line="240" w:lineRule="auto"/>
              <w:jc w:val="center"/>
              <w:rPr>
                <w:rFonts w:ascii="黑体" w:hAnsi="宋体"/>
              </w:rPr>
            </w:pPr>
            <w:r>
              <w:rPr>
                <w:rFonts w:hint="eastAsia" w:ascii="黑体" w:hAnsi="黑体"/>
                <w:bCs/>
                <w:sz w:val="21"/>
                <w:szCs w:val="21"/>
              </w:rPr>
              <w:t>占比</w:t>
            </w:r>
          </w:p>
        </w:tc>
        <w:tc>
          <w:tcPr>
            <w:tcW w:w="2353" w:type="dxa"/>
            <w:vMerge w:val="restart"/>
            <w:tcBorders>
              <w:top w:val="single" w:color="auto" w:sz="12" w:space="0"/>
              <w:right w:val="double" w:color="auto" w:sz="4" w:space="0"/>
            </w:tcBorders>
            <w:vAlign w:val="center"/>
          </w:tcPr>
          <w:p w14:paraId="7E5ED9BA">
            <w:pPr>
              <w:pStyle w:val="16"/>
              <w:widowControl w:val="0"/>
              <w:jc w:val="center"/>
              <w:rPr>
                <w:rFonts w:ascii="黑体" w:hAnsi="黑体"/>
                <w:bCs/>
                <w:sz w:val="21"/>
                <w:szCs w:val="21"/>
              </w:rPr>
            </w:pPr>
            <w:r>
              <w:rPr>
                <w:rFonts w:hint="eastAsia" w:ascii="黑体" w:hAnsi="黑体"/>
                <w:bCs/>
                <w:sz w:val="21"/>
                <w:szCs w:val="21"/>
              </w:rPr>
              <w:t>考核方式</w:t>
            </w:r>
          </w:p>
        </w:tc>
        <w:tc>
          <w:tcPr>
            <w:tcW w:w="2448" w:type="dxa"/>
            <w:gridSpan w:val="4"/>
            <w:tcBorders>
              <w:top w:val="single" w:color="auto" w:sz="12" w:space="0"/>
              <w:left w:val="double" w:color="auto" w:sz="4" w:space="0"/>
            </w:tcBorders>
            <w:vAlign w:val="center"/>
          </w:tcPr>
          <w:p w14:paraId="60AB7176">
            <w:pPr>
              <w:pStyle w:val="16"/>
              <w:widowControl w:val="0"/>
              <w:spacing w:line="240" w:lineRule="auto"/>
              <w:jc w:val="center"/>
              <w:rPr>
                <w:rFonts w:ascii="黑体" w:hAnsi="宋体"/>
              </w:rPr>
            </w:pPr>
            <w:r>
              <w:rPr>
                <w:rFonts w:hint="eastAsia" w:ascii="黑体" w:hAnsi="黑体"/>
                <w:bCs/>
                <w:sz w:val="21"/>
                <w:szCs w:val="21"/>
              </w:rPr>
              <w:t>课程目标</w:t>
            </w:r>
          </w:p>
        </w:tc>
        <w:tc>
          <w:tcPr>
            <w:tcW w:w="706" w:type="dxa"/>
            <w:tcBorders>
              <w:top w:val="single" w:color="auto" w:sz="12" w:space="0"/>
              <w:right w:val="single" w:color="auto" w:sz="12" w:space="0"/>
            </w:tcBorders>
            <w:vAlign w:val="center"/>
          </w:tcPr>
          <w:p w14:paraId="6D9F2DA9">
            <w:pPr>
              <w:pStyle w:val="16"/>
              <w:widowControl w:val="0"/>
              <w:spacing w:line="240" w:lineRule="auto"/>
              <w:jc w:val="center"/>
              <w:rPr>
                <w:rFonts w:ascii="黑体" w:hAnsi="黑体"/>
                <w:bCs/>
                <w:sz w:val="21"/>
                <w:szCs w:val="21"/>
              </w:rPr>
            </w:pPr>
            <w:r>
              <w:rPr>
                <w:rFonts w:hint="eastAsia" w:ascii="黑体" w:hAnsi="黑体"/>
                <w:bCs/>
                <w:sz w:val="21"/>
                <w:szCs w:val="21"/>
              </w:rPr>
              <w:t>合计</w:t>
            </w:r>
          </w:p>
        </w:tc>
      </w:tr>
      <w:tr w14:paraId="0632A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continue"/>
            <w:tcBorders>
              <w:left w:val="single" w:color="auto" w:sz="12" w:space="0"/>
            </w:tcBorders>
          </w:tcPr>
          <w:p w14:paraId="142238D6">
            <w:pPr>
              <w:widowControl w:val="0"/>
              <w:snapToGrid w:val="0"/>
              <w:jc w:val="center"/>
              <w:rPr>
                <w:rFonts w:ascii="黑体" w:hAnsi="黑体" w:eastAsia="黑体"/>
                <w:bCs/>
                <w:sz w:val="21"/>
                <w:szCs w:val="21"/>
              </w:rPr>
            </w:pPr>
          </w:p>
        </w:tc>
        <w:tc>
          <w:tcPr>
            <w:tcW w:w="709" w:type="dxa"/>
            <w:vMerge w:val="continue"/>
          </w:tcPr>
          <w:p w14:paraId="2DFB65E4">
            <w:pPr>
              <w:pStyle w:val="16"/>
              <w:widowControl w:val="0"/>
              <w:jc w:val="both"/>
              <w:rPr>
                <w:rFonts w:ascii="黑体" w:hAnsi="黑体"/>
                <w:bCs/>
                <w:sz w:val="21"/>
                <w:szCs w:val="21"/>
              </w:rPr>
            </w:pPr>
          </w:p>
        </w:tc>
        <w:tc>
          <w:tcPr>
            <w:tcW w:w="2353" w:type="dxa"/>
            <w:vMerge w:val="continue"/>
            <w:tcBorders>
              <w:right w:val="double" w:color="auto" w:sz="4" w:space="0"/>
            </w:tcBorders>
          </w:tcPr>
          <w:p w14:paraId="0C7A555D">
            <w:pPr>
              <w:pStyle w:val="16"/>
              <w:widowControl w:val="0"/>
              <w:jc w:val="both"/>
              <w:rPr>
                <w:rFonts w:ascii="黑体" w:hAnsi="黑体"/>
                <w:bCs/>
                <w:sz w:val="21"/>
                <w:szCs w:val="21"/>
              </w:rPr>
            </w:pPr>
          </w:p>
        </w:tc>
        <w:tc>
          <w:tcPr>
            <w:tcW w:w="612" w:type="dxa"/>
            <w:tcBorders>
              <w:left w:val="double" w:color="auto" w:sz="4" w:space="0"/>
            </w:tcBorders>
            <w:vAlign w:val="center"/>
          </w:tcPr>
          <w:p w14:paraId="7AEEE1F9">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1</w:t>
            </w:r>
          </w:p>
        </w:tc>
        <w:tc>
          <w:tcPr>
            <w:tcW w:w="612" w:type="dxa"/>
            <w:vAlign w:val="center"/>
          </w:tcPr>
          <w:p w14:paraId="72D1C3EC">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2</w:t>
            </w:r>
          </w:p>
        </w:tc>
        <w:tc>
          <w:tcPr>
            <w:tcW w:w="612" w:type="dxa"/>
            <w:vAlign w:val="center"/>
          </w:tcPr>
          <w:p w14:paraId="72138CF7">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3</w:t>
            </w:r>
          </w:p>
        </w:tc>
        <w:tc>
          <w:tcPr>
            <w:tcW w:w="612" w:type="dxa"/>
            <w:vAlign w:val="center"/>
          </w:tcPr>
          <w:p w14:paraId="68F88EE7">
            <w:pPr>
              <w:pStyle w:val="16"/>
              <w:widowControl w:val="0"/>
              <w:spacing w:line="240" w:lineRule="auto"/>
              <w:jc w:val="center"/>
              <w:rPr>
                <w:rFonts w:hint="default" w:ascii="黑体" w:hAnsi="黑体" w:eastAsia="黑体"/>
                <w:bCs/>
                <w:sz w:val="21"/>
                <w:szCs w:val="21"/>
                <w:lang w:val="en-US" w:eastAsia="zh-CN"/>
              </w:rPr>
            </w:pPr>
            <w:r>
              <w:rPr>
                <w:rFonts w:hint="eastAsia" w:ascii="黑体" w:hAnsi="黑体"/>
                <w:bCs/>
                <w:sz w:val="21"/>
                <w:szCs w:val="21"/>
                <w:lang w:val="en-US" w:eastAsia="zh-CN"/>
              </w:rPr>
              <w:t>4</w:t>
            </w:r>
          </w:p>
        </w:tc>
        <w:tc>
          <w:tcPr>
            <w:tcW w:w="706" w:type="dxa"/>
            <w:tcBorders>
              <w:right w:val="single" w:color="auto" w:sz="12" w:space="0"/>
            </w:tcBorders>
            <w:vAlign w:val="top"/>
          </w:tcPr>
          <w:p w14:paraId="1C003258">
            <w:pPr>
              <w:pStyle w:val="16"/>
              <w:widowControl w:val="0"/>
              <w:spacing w:line="240" w:lineRule="auto"/>
              <w:jc w:val="center"/>
              <w:rPr>
                <w:rFonts w:ascii="黑体" w:hAnsi="黑体"/>
                <w:bCs/>
                <w:sz w:val="21"/>
                <w:szCs w:val="21"/>
              </w:rPr>
            </w:pPr>
          </w:p>
        </w:tc>
      </w:tr>
      <w:tr w14:paraId="0F2D0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17085968">
            <w:pPr>
              <w:widowControl w:val="0"/>
              <w:snapToGrid w:val="0"/>
              <w:jc w:val="center"/>
              <w:rPr>
                <w:rFonts w:ascii="Arial" w:hAnsi="Arial" w:eastAsia="黑体" w:cs="Arial"/>
                <w:bCs/>
                <w:sz w:val="21"/>
                <w:szCs w:val="21"/>
              </w:rPr>
            </w:pPr>
            <w:r>
              <w:rPr>
                <w:rFonts w:ascii="Arial" w:hAnsi="Arial" w:eastAsia="黑体" w:cs="Arial"/>
                <w:bCs/>
                <w:sz w:val="21"/>
                <w:szCs w:val="21"/>
              </w:rPr>
              <w:t>1</w:t>
            </w:r>
          </w:p>
        </w:tc>
        <w:tc>
          <w:tcPr>
            <w:tcW w:w="709" w:type="dxa"/>
            <w:vAlign w:val="center"/>
          </w:tcPr>
          <w:p w14:paraId="3096026C">
            <w:pPr>
              <w:pStyle w:val="14"/>
              <w:widowControl w:val="0"/>
              <w:rPr>
                <w:rFonts w:hint="default"/>
                <w:lang w:val="en-US" w:eastAsia="zh-CN"/>
              </w:rPr>
            </w:pPr>
            <w:r>
              <w:rPr>
                <w:rFonts w:hint="eastAsia"/>
                <w:lang w:val="en-US" w:eastAsia="zh-CN"/>
              </w:rPr>
              <w:t>50%</w:t>
            </w:r>
          </w:p>
        </w:tc>
        <w:tc>
          <w:tcPr>
            <w:tcW w:w="2353" w:type="dxa"/>
            <w:tcBorders>
              <w:right w:val="double" w:color="auto" w:sz="4" w:space="0"/>
            </w:tcBorders>
            <w:vAlign w:val="center"/>
          </w:tcPr>
          <w:p w14:paraId="36B10D3F">
            <w:pPr>
              <w:pStyle w:val="14"/>
              <w:widowControl w:val="0"/>
              <w:rPr>
                <w:rFonts w:hint="default"/>
                <w:lang w:val="en-US" w:eastAsia="zh-CN"/>
              </w:rPr>
            </w:pPr>
            <w:r>
              <w:rPr>
                <w:rFonts w:hint="eastAsia"/>
                <w:lang w:val="en-US" w:eastAsia="zh-CN"/>
              </w:rPr>
              <w:t>期末闭卷考试</w:t>
            </w:r>
          </w:p>
        </w:tc>
        <w:tc>
          <w:tcPr>
            <w:tcW w:w="612" w:type="dxa"/>
            <w:tcBorders>
              <w:left w:val="double" w:color="auto" w:sz="4" w:space="0"/>
            </w:tcBorders>
            <w:vAlign w:val="center"/>
          </w:tcPr>
          <w:p w14:paraId="6047E5A5">
            <w:pPr>
              <w:pStyle w:val="14"/>
              <w:widowControl w:val="0"/>
              <w:rPr>
                <w:rFonts w:hint="default" w:eastAsia="宋体"/>
                <w:lang w:val="en-US" w:eastAsia="zh-CN"/>
              </w:rPr>
            </w:pPr>
            <w:r>
              <w:rPr>
                <w:rFonts w:hint="eastAsia"/>
                <w:lang w:val="en-US" w:eastAsia="zh-CN"/>
              </w:rPr>
              <w:t>60</w:t>
            </w:r>
          </w:p>
        </w:tc>
        <w:tc>
          <w:tcPr>
            <w:tcW w:w="612" w:type="dxa"/>
            <w:vAlign w:val="center"/>
          </w:tcPr>
          <w:p w14:paraId="102085EE">
            <w:pPr>
              <w:pStyle w:val="14"/>
              <w:widowControl w:val="0"/>
              <w:rPr>
                <w:rFonts w:hint="default" w:eastAsia="宋体"/>
                <w:lang w:val="en-US" w:eastAsia="zh-CN"/>
              </w:rPr>
            </w:pPr>
            <w:r>
              <w:rPr>
                <w:rFonts w:hint="eastAsia"/>
                <w:lang w:val="en-US" w:eastAsia="zh-CN"/>
              </w:rPr>
              <w:t>5</w:t>
            </w:r>
          </w:p>
        </w:tc>
        <w:tc>
          <w:tcPr>
            <w:tcW w:w="612" w:type="dxa"/>
            <w:vAlign w:val="center"/>
          </w:tcPr>
          <w:p w14:paraId="2AA24165">
            <w:pPr>
              <w:pStyle w:val="14"/>
              <w:widowControl w:val="0"/>
              <w:rPr>
                <w:rFonts w:hint="default"/>
                <w:lang w:val="en-US"/>
              </w:rPr>
            </w:pPr>
            <w:r>
              <w:rPr>
                <w:rFonts w:hint="eastAsia"/>
                <w:lang w:val="en-US" w:eastAsia="zh-CN"/>
              </w:rPr>
              <w:t>30</w:t>
            </w:r>
          </w:p>
        </w:tc>
        <w:tc>
          <w:tcPr>
            <w:tcW w:w="612" w:type="dxa"/>
            <w:vAlign w:val="center"/>
          </w:tcPr>
          <w:p w14:paraId="724DA743">
            <w:pPr>
              <w:pStyle w:val="14"/>
              <w:widowControl w:val="0"/>
              <w:rPr>
                <w:rFonts w:hint="eastAsia" w:eastAsia="宋体"/>
                <w:lang w:val="en-US" w:eastAsia="zh-CN"/>
              </w:rPr>
            </w:pPr>
            <w:r>
              <w:rPr>
                <w:rFonts w:hint="eastAsia"/>
                <w:lang w:val="en-US" w:eastAsia="zh-CN"/>
              </w:rPr>
              <w:t>5</w:t>
            </w:r>
          </w:p>
        </w:tc>
        <w:tc>
          <w:tcPr>
            <w:tcW w:w="706" w:type="dxa"/>
            <w:tcBorders>
              <w:right w:val="single" w:color="auto" w:sz="12" w:space="0"/>
            </w:tcBorders>
            <w:vAlign w:val="center"/>
          </w:tcPr>
          <w:p w14:paraId="15C35D91">
            <w:pPr>
              <w:pStyle w:val="14"/>
              <w:widowControl w:val="0"/>
            </w:pPr>
            <w:r>
              <w:rPr>
                <w:rFonts w:hint="eastAsia"/>
              </w:rPr>
              <w:t>1</w:t>
            </w:r>
            <w:r>
              <w:t>00</w:t>
            </w:r>
          </w:p>
        </w:tc>
      </w:tr>
      <w:tr w14:paraId="7185E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5754D122">
            <w:pPr>
              <w:widowControl w:val="0"/>
              <w:snapToGrid w:val="0"/>
              <w:jc w:val="center"/>
              <w:rPr>
                <w:rFonts w:ascii="Arial" w:hAnsi="Arial" w:eastAsia="黑体" w:cs="Arial"/>
                <w:bCs/>
                <w:sz w:val="21"/>
                <w:szCs w:val="21"/>
              </w:rPr>
            </w:pPr>
            <w:r>
              <w:rPr>
                <w:rFonts w:ascii="Arial" w:hAnsi="Arial" w:eastAsia="黑体" w:cs="Arial"/>
                <w:bCs/>
                <w:sz w:val="21"/>
                <w:szCs w:val="21"/>
              </w:rPr>
              <w:t>X1</w:t>
            </w:r>
          </w:p>
        </w:tc>
        <w:tc>
          <w:tcPr>
            <w:tcW w:w="709" w:type="dxa"/>
            <w:vAlign w:val="top"/>
          </w:tcPr>
          <w:p w14:paraId="16F600A8">
            <w:pPr>
              <w:pStyle w:val="14"/>
              <w:widowControl w:val="0"/>
              <w:rPr>
                <w:rFonts w:hint="eastAsia"/>
                <w:lang w:val="en-US" w:eastAsia="zh-CN"/>
              </w:rPr>
            </w:pPr>
            <w:r>
              <w:rPr>
                <w:rFonts w:hint="eastAsia"/>
                <w:lang w:val="en-US" w:eastAsia="zh-CN"/>
              </w:rPr>
              <w:t>20%</w:t>
            </w:r>
          </w:p>
        </w:tc>
        <w:tc>
          <w:tcPr>
            <w:tcW w:w="2353" w:type="dxa"/>
            <w:tcBorders>
              <w:right w:val="double" w:color="auto" w:sz="4" w:space="0"/>
            </w:tcBorders>
            <w:vAlign w:val="top"/>
          </w:tcPr>
          <w:p w14:paraId="4D13BE32">
            <w:pPr>
              <w:pStyle w:val="14"/>
              <w:widowControl w:val="0"/>
              <w:rPr>
                <w:rFonts w:hint="eastAsia"/>
                <w:lang w:val="en-US" w:eastAsia="zh-CN"/>
              </w:rPr>
            </w:pPr>
            <w:r>
              <w:rPr>
                <w:rFonts w:hint="eastAsia"/>
                <w:lang w:val="en-US" w:eastAsia="zh-CN"/>
              </w:rPr>
              <w:t>作业习题</w:t>
            </w:r>
          </w:p>
        </w:tc>
        <w:tc>
          <w:tcPr>
            <w:tcW w:w="612" w:type="dxa"/>
            <w:tcBorders>
              <w:left w:val="double" w:color="auto" w:sz="4" w:space="0"/>
            </w:tcBorders>
            <w:vAlign w:val="center"/>
          </w:tcPr>
          <w:p w14:paraId="0627FA0B">
            <w:pPr>
              <w:pStyle w:val="14"/>
              <w:widowControl w:val="0"/>
              <w:rPr>
                <w:rFonts w:hint="default" w:eastAsia="宋体"/>
                <w:lang w:val="en-US" w:eastAsia="zh-CN"/>
              </w:rPr>
            </w:pPr>
            <w:r>
              <w:rPr>
                <w:rFonts w:hint="eastAsia"/>
                <w:lang w:val="en-US" w:eastAsia="zh-CN"/>
              </w:rPr>
              <w:t>40</w:t>
            </w:r>
          </w:p>
        </w:tc>
        <w:tc>
          <w:tcPr>
            <w:tcW w:w="612" w:type="dxa"/>
            <w:vAlign w:val="center"/>
          </w:tcPr>
          <w:p w14:paraId="6B1E7E54">
            <w:pPr>
              <w:pStyle w:val="14"/>
              <w:widowControl w:val="0"/>
              <w:rPr>
                <w:rFonts w:hint="default" w:eastAsia="宋体"/>
                <w:lang w:val="en-US" w:eastAsia="zh-CN"/>
              </w:rPr>
            </w:pPr>
          </w:p>
        </w:tc>
        <w:tc>
          <w:tcPr>
            <w:tcW w:w="612" w:type="dxa"/>
            <w:vAlign w:val="center"/>
          </w:tcPr>
          <w:p w14:paraId="6D1119F2">
            <w:pPr>
              <w:pStyle w:val="14"/>
              <w:widowControl w:val="0"/>
            </w:pPr>
            <w:r>
              <w:rPr>
                <w:rFonts w:hint="eastAsia"/>
                <w:lang w:val="en-US" w:eastAsia="zh-CN"/>
              </w:rPr>
              <w:t>60</w:t>
            </w:r>
          </w:p>
        </w:tc>
        <w:tc>
          <w:tcPr>
            <w:tcW w:w="612" w:type="dxa"/>
            <w:vAlign w:val="center"/>
          </w:tcPr>
          <w:p w14:paraId="2DC1A34A">
            <w:pPr>
              <w:pStyle w:val="14"/>
              <w:widowControl w:val="0"/>
            </w:pPr>
          </w:p>
        </w:tc>
        <w:tc>
          <w:tcPr>
            <w:tcW w:w="706" w:type="dxa"/>
            <w:tcBorders>
              <w:right w:val="single" w:color="auto" w:sz="12" w:space="0"/>
            </w:tcBorders>
            <w:vAlign w:val="center"/>
          </w:tcPr>
          <w:p w14:paraId="0C779D4D">
            <w:pPr>
              <w:pStyle w:val="14"/>
              <w:widowControl w:val="0"/>
            </w:pPr>
            <w:r>
              <w:rPr>
                <w:rFonts w:hint="eastAsia"/>
              </w:rPr>
              <w:t>1</w:t>
            </w:r>
            <w:r>
              <w:t>00</w:t>
            </w:r>
          </w:p>
        </w:tc>
      </w:tr>
      <w:tr w14:paraId="4238D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1E160174">
            <w:pPr>
              <w:widowControl w:val="0"/>
              <w:snapToGrid w:val="0"/>
              <w:jc w:val="center"/>
              <w:rPr>
                <w:rFonts w:ascii="Arial" w:hAnsi="Arial" w:eastAsia="黑体" w:cs="Arial"/>
                <w:bCs/>
                <w:sz w:val="21"/>
                <w:szCs w:val="21"/>
              </w:rPr>
            </w:pPr>
            <w:r>
              <w:rPr>
                <w:rFonts w:ascii="Arial" w:hAnsi="Arial" w:eastAsia="黑体" w:cs="Arial"/>
                <w:bCs/>
                <w:sz w:val="21"/>
                <w:szCs w:val="21"/>
              </w:rPr>
              <w:t>X2</w:t>
            </w:r>
          </w:p>
        </w:tc>
        <w:tc>
          <w:tcPr>
            <w:tcW w:w="709" w:type="dxa"/>
            <w:vAlign w:val="top"/>
          </w:tcPr>
          <w:p w14:paraId="69ECFDA8">
            <w:pPr>
              <w:pStyle w:val="14"/>
              <w:widowControl w:val="0"/>
              <w:rPr>
                <w:rFonts w:hint="eastAsia"/>
                <w:lang w:val="en-US" w:eastAsia="zh-CN"/>
              </w:rPr>
            </w:pPr>
            <w:r>
              <w:rPr>
                <w:rFonts w:hint="eastAsia"/>
                <w:lang w:val="en-US" w:eastAsia="zh-CN"/>
              </w:rPr>
              <w:t>20%</w:t>
            </w:r>
          </w:p>
        </w:tc>
        <w:tc>
          <w:tcPr>
            <w:tcW w:w="2353" w:type="dxa"/>
            <w:tcBorders>
              <w:right w:val="double" w:color="auto" w:sz="4" w:space="0"/>
            </w:tcBorders>
            <w:vAlign w:val="top"/>
          </w:tcPr>
          <w:p w14:paraId="0D6F8D3F">
            <w:pPr>
              <w:pStyle w:val="14"/>
              <w:widowControl w:val="0"/>
              <w:rPr>
                <w:rFonts w:hint="eastAsia"/>
                <w:lang w:val="en-US" w:eastAsia="zh-CN"/>
              </w:rPr>
            </w:pPr>
            <w:r>
              <w:rPr>
                <w:rFonts w:hint="eastAsia"/>
                <w:lang w:val="en-US" w:eastAsia="zh-CN"/>
              </w:rPr>
              <w:t>课堂表现</w:t>
            </w:r>
          </w:p>
        </w:tc>
        <w:tc>
          <w:tcPr>
            <w:tcW w:w="612" w:type="dxa"/>
            <w:tcBorders>
              <w:left w:val="double" w:color="auto" w:sz="4" w:space="0"/>
            </w:tcBorders>
            <w:vAlign w:val="center"/>
          </w:tcPr>
          <w:p w14:paraId="2983F68C">
            <w:pPr>
              <w:pStyle w:val="14"/>
              <w:widowControl w:val="0"/>
              <w:rPr>
                <w:rFonts w:hint="default" w:eastAsia="宋体"/>
                <w:lang w:val="en-US" w:eastAsia="zh-CN"/>
              </w:rPr>
            </w:pPr>
            <w:r>
              <w:rPr>
                <w:rFonts w:hint="eastAsia"/>
                <w:lang w:val="en-US" w:eastAsia="zh-CN"/>
              </w:rPr>
              <w:t>80</w:t>
            </w:r>
          </w:p>
        </w:tc>
        <w:tc>
          <w:tcPr>
            <w:tcW w:w="612" w:type="dxa"/>
            <w:vAlign w:val="center"/>
          </w:tcPr>
          <w:p w14:paraId="013BDF2C">
            <w:pPr>
              <w:pStyle w:val="14"/>
              <w:widowControl w:val="0"/>
            </w:pPr>
          </w:p>
        </w:tc>
        <w:tc>
          <w:tcPr>
            <w:tcW w:w="612" w:type="dxa"/>
            <w:vAlign w:val="center"/>
          </w:tcPr>
          <w:p w14:paraId="0A728701">
            <w:pPr>
              <w:pStyle w:val="14"/>
              <w:widowControl w:val="0"/>
              <w:rPr>
                <w:rFonts w:hint="default" w:eastAsia="宋体"/>
                <w:lang w:val="en-US" w:eastAsia="zh-CN"/>
              </w:rPr>
            </w:pPr>
          </w:p>
        </w:tc>
        <w:tc>
          <w:tcPr>
            <w:tcW w:w="612" w:type="dxa"/>
            <w:vAlign w:val="center"/>
          </w:tcPr>
          <w:p w14:paraId="386AC99A">
            <w:pPr>
              <w:pStyle w:val="14"/>
              <w:widowControl w:val="0"/>
              <w:rPr>
                <w:rFonts w:hint="default" w:eastAsia="宋体"/>
                <w:lang w:val="en-US" w:eastAsia="zh-CN"/>
              </w:rPr>
            </w:pPr>
            <w:r>
              <w:rPr>
                <w:rFonts w:hint="eastAsia"/>
                <w:lang w:val="en-US" w:eastAsia="zh-CN"/>
              </w:rPr>
              <w:t>20</w:t>
            </w:r>
          </w:p>
        </w:tc>
        <w:tc>
          <w:tcPr>
            <w:tcW w:w="706" w:type="dxa"/>
            <w:tcBorders>
              <w:right w:val="single" w:color="auto" w:sz="12" w:space="0"/>
            </w:tcBorders>
            <w:vAlign w:val="center"/>
          </w:tcPr>
          <w:p w14:paraId="2E8ED04A">
            <w:pPr>
              <w:pStyle w:val="14"/>
              <w:widowControl w:val="0"/>
            </w:pPr>
            <w:r>
              <w:rPr>
                <w:rFonts w:hint="eastAsia"/>
              </w:rPr>
              <w:t>1</w:t>
            </w:r>
            <w:r>
              <w:t>00</w:t>
            </w:r>
          </w:p>
        </w:tc>
      </w:tr>
      <w:tr w14:paraId="700FB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69142554">
            <w:pPr>
              <w:widowControl w:val="0"/>
              <w:snapToGrid w:val="0"/>
              <w:jc w:val="center"/>
              <w:rPr>
                <w:rFonts w:ascii="Arial" w:hAnsi="Arial" w:eastAsia="黑体" w:cs="Arial"/>
                <w:bCs/>
                <w:sz w:val="21"/>
                <w:szCs w:val="21"/>
              </w:rPr>
            </w:pPr>
            <w:r>
              <w:rPr>
                <w:rFonts w:ascii="Arial" w:hAnsi="Arial" w:eastAsia="黑体" w:cs="Arial"/>
                <w:bCs/>
                <w:sz w:val="21"/>
                <w:szCs w:val="21"/>
              </w:rPr>
              <w:t>X3</w:t>
            </w:r>
          </w:p>
        </w:tc>
        <w:tc>
          <w:tcPr>
            <w:tcW w:w="709" w:type="dxa"/>
            <w:vAlign w:val="top"/>
          </w:tcPr>
          <w:p w14:paraId="1807ADE3">
            <w:pPr>
              <w:pStyle w:val="14"/>
              <w:widowControl w:val="0"/>
              <w:rPr>
                <w:rFonts w:hint="eastAsia"/>
                <w:lang w:val="en-US" w:eastAsia="zh-CN"/>
              </w:rPr>
            </w:pPr>
            <w:r>
              <w:rPr>
                <w:rFonts w:hint="eastAsia"/>
                <w:lang w:val="en-US" w:eastAsia="zh-CN"/>
              </w:rPr>
              <w:t>10%</w:t>
            </w:r>
          </w:p>
        </w:tc>
        <w:tc>
          <w:tcPr>
            <w:tcW w:w="2353" w:type="dxa"/>
            <w:tcBorders>
              <w:right w:val="double" w:color="auto" w:sz="4" w:space="0"/>
            </w:tcBorders>
            <w:vAlign w:val="top"/>
          </w:tcPr>
          <w:p w14:paraId="01611106">
            <w:pPr>
              <w:pStyle w:val="14"/>
              <w:widowControl w:val="0"/>
              <w:rPr>
                <w:rFonts w:hint="eastAsia"/>
                <w:lang w:val="en-US" w:eastAsia="zh-CN"/>
              </w:rPr>
            </w:pPr>
            <w:r>
              <w:rPr>
                <w:rFonts w:hint="eastAsia"/>
                <w:lang w:val="en-US" w:eastAsia="zh-CN"/>
              </w:rPr>
              <w:t>调查报告</w:t>
            </w:r>
          </w:p>
        </w:tc>
        <w:tc>
          <w:tcPr>
            <w:tcW w:w="612" w:type="dxa"/>
            <w:tcBorders>
              <w:left w:val="double" w:color="auto" w:sz="4" w:space="0"/>
            </w:tcBorders>
            <w:vAlign w:val="center"/>
          </w:tcPr>
          <w:p w14:paraId="4EC011CC">
            <w:pPr>
              <w:pStyle w:val="14"/>
              <w:widowControl w:val="0"/>
            </w:pPr>
          </w:p>
        </w:tc>
        <w:tc>
          <w:tcPr>
            <w:tcW w:w="612" w:type="dxa"/>
            <w:vAlign w:val="center"/>
          </w:tcPr>
          <w:p w14:paraId="54E2DA36">
            <w:pPr>
              <w:pStyle w:val="14"/>
              <w:widowControl w:val="0"/>
              <w:rPr>
                <w:rFonts w:hint="default" w:eastAsia="宋体"/>
                <w:lang w:val="en-US" w:eastAsia="zh-CN"/>
              </w:rPr>
            </w:pPr>
            <w:r>
              <w:rPr>
                <w:rFonts w:hint="eastAsia"/>
                <w:lang w:val="en-US" w:eastAsia="zh-CN"/>
              </w:rPr>
              <w:t>80</w:t>
            </w:r>
          </w:p>
        </w:tc>
        <w:tc>
          <w:tcPr>
            <w:tcW w:w="612" w:type="dxa"/>
            <w:vAlign w:val="center"/>
          </w:tcPr>
          <w:p w14:paraId="3DA4A400">
            <w:pPr>
              <w:pStyle w:val="14"/>
              <w:widowControl w:val="0"/>
              <w:rPr>
                <w:rFonts w:hint="default" w:eastAsia="宋体"/>
                <w:lang w:val="en-US" w:eastAsia="zh-CN"/>
              </w:rPr>
            </w:pPr>
          </w:p>
        </w:tc>
        <w:tc>
          <w:tcPr>
            <w:tcW w:w="612" w:type="dxa"/>
            <w:vAlign w:val="center"/>
          </w:tcPr>
          <w:p w14:paraId="513DBFE5">
            <w:pPr>
              <w:pStyle w:val="14"/>
              <w:widowControl w:val="0"/>
              <w:rPr>
                <w:rFonts w:hint="default" w:eastAsia="宋体"/>
                <w:lang w:val="en-US" w:eastAsia="zh-CN"/>
              </w:rPr>
            </w:pPr>
            <w:r>
              <w:rPr>
                <w:rFonts w:hint="eastAsia"/>
                <w:lang w:val="en-US" w:eastAsia="zh-CN"/>
              </w:rPr>
              <w:t>20</w:t>
            </w:r>
          </w:p>
        </w:tc>
        <w:tc>
          <w:tcPr>
            <w:tcW w:w="706" w:type="dxa"/>
            <w:tcBorders>
              <w:right w:val="single" w:color="auto" w:sz="12" w:space="0"/>
            </w:tcBorders>
            <w:vAlign w:val="center"/>
          </w:tcPr>
          <w:p w14:paraId="3A425B1E">
            <w:pPr>
              <w:pStyle w:val="14"/>
              <w:widowControl w:val="0"/>
            </w:pPr>
            <w:r>
              <w:rPr>
                <w:rFonts w:hint="eastAsia"/>
              </w:rPr>
              <w:t>1</w:t>
            </w:r>
            <w:r>
              <w:t>00</w:t>
            </w:r>
          </w:p>
        </w:tc>
      </w:tr>
    </w:tbl>
    <w:p w14:paraId="24FB5A94">
      <w:pPr>
        <w:pStyle w:val="16"/>
        <w:rPr>
          <w:rFonts w:hint="eastAsia" w:ascii="黑体" w:hAnsi="宋体"/>
          <w:sz w:val="18"/>
          <w:szCs w:val="16"/>
        </w:rPr>
      </w:pPr>
    </w:p>
    <w:p w14:paraId="13B6D272">
      <w:pPr>
        <w:pStyle w:val="16"/>
        <w:rPr>
          <w:rFonts w:hint="eastAsia" w:ascii="黑体" w:hAnsi="宋体"/>
          <w:sz w:val="18"/>
          <w:szCs w:val="16"/>
        </w:rPr>
      </w:pPr>
    </w:p>
    <w:p w14:paraId="3E6D8B46">
      <w:pPr>
        <w:pStyle w:val="16"/>
        <w:rPr>
          <w:rFonts w:hint="eastAsia" w:ascii="黑体" w:hAnsi="宋体"/>
          <w:sz w:val="18"/>
          <w:szCs w:val="16"/>
        </w:rPr>
      </w:pPr>
    </w:p>
    <w:sectPr>
      <w:headerReference r:id="rId3" w:type="default"/>
      <w:pgSz w:w="11906" w:h="16838"/>
      <w:pgMar w:top="1440" w:right="1800" w:bottom="1440" w:left="1800" w:header="397" w:footer="992" w:gutter="0"/>
      <w:pgBorders>
        <w:top w:val="none" w:sz="0" w:space="0"/>
        <w:left w:val="none" w:sz="0" w:space="0"/>
        <w:bottom w:val="none" w:sz="0" w:space="0"/>
        <w:right w:val="none" w:sz="0" w:space="0"/>
      </w:pgBorders>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62BE7">
    <w:pPr>
      <w:jc w:val="right"/>
      <w:rPr>
        <w:rFonts w:ascii="方正小标宋简体" w:hAnsi="方正小标宋简体" w:eastAsia="方正小标宋简体"/>
      </w:rPr>
    </w:pPr>
    <w:r>
      <w:rPr>
        <w:rFonts w:ascii="方正小标宋简体" w:hAnsi="方正小标宋简体" w:eastAsia="方正小标宋简体"/>
        <w:color w:val="FF0000"/>
      </w:rPr>
      <mc:AlternateContent>
        <mc:Choice Requires="wps">
          <w:drawing>
            <wp:anchor distT="0" distB="0" distL="114300" distR="114300" simplePos="0" relativeHeight="251659264" behindDoc="0" locked="0" layoutInCell="1" allowOverlap="1">
              <wp:simplePos x="0" y="0"/>
              <wp:positionH relativeFrom="page">
                <wp:posOffset>635635</wp:posOffset>
              </wp:positionH>
              <wp:positionV relativeFrom="page">
                <wp:posOffset>186055</wp:posOffset>
              </wp:positionV>
              <wp:extent cx="2635250" cy="280670"/>
              <wp:effectExtent l="0" t="0" r="0" b="0"/>
              <wp:wrapNone/>
              <wp:docPr id="44070976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39762BD0">
                          <w:pPr>
                            <w:rPr>
                              <w:rFonts w:ascii="Times New Roman" w:hAnsi="Times New Roman"/>
                            </w:rPr>
                          </w:pPr>
                          <w:r>
                            <w:rPr>
                              <w:rFonts w:ascii="Times New Roman" w:hAnsi="Times New Roman"/>
                            </w:rPr>
                            <w:t>SJQU-QR-JW-055（A0）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50.05pt;margin-top:14.65pt;height:22.1pt;width:207.5pt;mso-position-horizontal-relative:page;mso-position-vertical-relative:page;z-index:251659264;mso-width-relative:page;mso-height-relative:page;" fillcolor="#FFFFFF" filled="t" stroked="f" coordsize="21600,21600" o:gfxdata="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7hkpnU&#10;AAAACQEAAA8AAAAAAAAAAQAgAAAAIgAAAGRycy9kb3ducmV2LnhtbFBLAQIUABQAAAAIAIdO4kAT&#10;jzfzXQIAAKUEAAAOAAAAAAAAAAEAIAAAACMBAABkcnMvZTJvRG9jLnhtbFBLBQYAAAAABgAGAFkB&#10;AADyBQAAAAA=&#10;">
              <v:fill on="t" focussize="0,0"/>
              <v:stroke on="f" weight="0.5pt"/>
              <v:imagedata o:title=""/>
              <o:lock v:ext="edit" aspectratio="f"/>
              <v:textbox>
                <w:txbxContent>
                  <w:p w14:paraId="39762BD0">
                    <w:pPr>
                      <w:rPr>
                        <w:rFonts w:ascii="Times New Roman" w:hAnsi="Times New Roman"/>
                      </w:rPr>
                    </w:pPr>
                    <w:r>
                      <w:rPr>
                        <w:rFonts w:ascii="Times New Roman" w:hAnsi="Times New Roman"/>
                      </w:rPr>
                      <w:t>SJQU-QR-JW-055（A0）</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FiZGVkMjg3MTZhOTk1YjI2MDM5MjZkNGQ2NGYzYzgifQ=="/>
  </w:docVars>
  <w:rsids>
    <w:rsidRoot w:val="00B7651F"/>
    <w:rsid w:val="000203E0"/>
    <w:rsid w:val="000210E0"/>
    <w:rsid w:val="00033082"/>
    <w:rsid w:val="00044088"/>
    <w:rsid w:val="00053590"/>
    <w:rsid w:val="0006001D"/>
    <w:rsid w:val="00066041"/>
    <w:rsid w:val="00076794"/>
    <w:rsid w:val="0008122A"/>
    <w:rsid w:val="00087488"/>
    <w:rsid w:val="0009050A"/>
    <w:rsid w:val="0009721F"/>
    <w:rsid w:val="000A4E73"/>
    <w:rsid w:val="000B1BD2"/>
    <w:rsid w:val="000C0F0D"/>
    <w:rsid w:val="000C13BC"/>
    <w:rsid w:val="000D28E5"/>
    <w:rsid w:val="000D34D7"/>
    <w:rsid w:val="00100633"/>
    <w:rsid w:val="001072BC"/>
    <w:rsid w:val="00114BD6"/>
    <w:rsid w:val="00130F6D"/>
    <w:rsid w:val="00133554"/>
    <w:rsid w:val="00144082"/>
    <w:rsid w:val="0016381F"/>
    <w:rsid w:val="00163A48"/>
    <w:rsid w:val="00164E36"/>
    <w:rsid w:val="001678A2"/>
    <w:rsid w:val="00183AA1"/>
    <w:rsid w:val="0018767C"/>
    <w:rsid w:val="001A135C"/>
    <w:rsid w:val="001B0D49"/>
    <w:rsid w:val="001B546F"/>
    <w:rsid w:val="001C16FC"/>
    <w:rsid w:val="001C2E3E"/>
    <w:rsid w:val="001C388D"/>
    <w:rsid w:val="001E0494"/>
    <w:rsid w:val="001E1D2D"/>
    <w:rsid w:val="001E5A17"/>
    <w:rsid w:val="001F284E"/>
    <w:rsid w:val="001F332E"/>
    <w:rsid w:val="00217861"/>
    <w:rsid w:val="002204E4"/>
    <w:rsid w:val="002211BF"/>
    <w:rsid w:val="00233F15"/>
    <w:rsid w:val="002420F1"/>
    <w:rsid w:val="00253AC8"/>
    <w:rsid w:val="00256B39"/>
    <w:rsid w:val="0026033C"/>
    <w:rsid w:val="0027339A"/>
    <w:rsid w:val="00274E82"/>
    <w:rsid w:val="002757AB"/>
    <w:rsid w:val="0027777C"/>
    <w:rsid w:val="00277FE7"/>
    <w:rsid w:val="002877FA"/>
    <w:rsid w:val="00290962"/>
    <w:rsid w:val="0029110B"/>
    <w:rsid w:val="002A4649"/>
    <w:rsid w:val="002A7227"/>
    <w:rsid w:val="002B0773"/>
    <w:rsid w:val="002B0C48"/>
    <w:rsid w:val="002B13CA"/>
    <w:rsid w:val="002B3650"/>
    <w:rsid w:val="002B7322"/>
    <w:rsid w:val="002C58B6"/>
    <w:rsid w:val="002D0E86"/>
    <w:rsid w:val="002D7C47"/>
    <w:rsid w:val="002E33CE"/>
    <w:rsid w:val="002E3721"/>
    <w:rsid w:val="002E6F95"/>
    <w:rsid w:val="002E764D"/>
    <w:rsid w:val="002F3157"/>
    <w:rsid w:val="002F6BD5"/>
    <w:rsid w:val="00305F23"/>
    <w:rsid w:val="00313BBA"/>
    <w:rsid w:val="00317E29"/>
    <w:rsid w:val="00321515"/>
    <w:rsid w:val="0032602E"/>
    <w:rsid w:val="00327B8C"/>
    <w:rsid w:val="00331638"/>
    <w:rsid w:val="003344A7"/>
    <w:rsid w:val="00334623"/>
    <w:rsid w:val="003367AE"/>
    <w:rsid w:val="00340439"/>
    <w:rsid w:val="00344EF2"/>
    <w:rsid w:val="00347EB8"/>
    <w:rsid w:val="00347F80"/>
    <w:rsid w:val="00353F74"/>
    <w:rsid w:val="003557DE"/>
    <w:rsid w:val="00361BEB"/>
    <w:rsid w:val="00370184"/>
    <w:rsid w:val="00373C8A"/>
    <w:rsid w:val="00377C10"/>
    <w:rsid w:val="00384A1F"/>
    <w:rsid w:val="00384D60"/>
    <w:rsid w:val="00385D41"/>
    <w:rsid w:val="003861BA"/>
    <w:rsid w:val="003A1680"/>
    <w:rsid w:val="003A373C"/>
    <w:rsid w:val="003A5874"/>
    <w:rsid w:val="003B1258"/>
    <w:rsid w:val="003B4A81"/>
    <w:rsid w:val="003C1F8D"/>
    <w:rsid w:val="003C61A5"/>
    <w:rsid w:val="003D1968"/>
    <w:rsid w:val="003D4994"/>
    <w:rsid w:val="003E10A5"/>
    <w:rsid w:val="003E7D72"/>
    <w:rsid w:val="003F3923"/>
    <w:rsid w:val="003F43F6"/>
    <w:rsid w:val="004019DB"/>
    <w:rsid w:val="00402B67"/>
    <w:rsid w:val="00403C91"/>
    <w:rsid w:val="0040433E"/>
    <w:rsid w:val="00404974"/>
    <w:rsid w:val="0040726A"/>
    <w:rsid w:val="004100B0"/>
    <w:rsid w:val="0041267F"/>
    <w:rsid w:val="00424BA5"/>
    <w:rsid w:val="00425431"/>
    <w:rsid w:val="00431829"/>
    <w:rsid w:val="00437B60"/>
    <w:rsid w:val="004405E6"/>
    <w:rsid w:val="00443C84"/>
    <w:rsid w:val="00443C89"/>
    <w:rsid w:val="004540AA"/>
    <w:rsid w:val="00456BD8"/>
    <w:rsid w:val="00456DC8"/>
    <w:rsid w:val="0046549D"/>
    <w:rsid w:val="00471668"/>
    <w:rsid w:val="00481F98"/>
    <w:rsid w:val="004852BF"/>
    <w:rsid w:val="00487A46"/>
    <w:rsid w:val="00493504"/>
    <w:rsid w:val="00494579"/>
    <w:rsid w:val="00497334"/>
    <w:rsid w:val="004A4645"/>
    <w:rsid w:val="004A6F3A"/>
    <w:rsid w:val="004B408D"/>
    <w:rsid w:val="004B6F68"/>
    <w:rsid w:val="004B73F7"/>
    <w:rsid w:val="004D4FB3"/>
    <w:rsid w:val="004D75A6"/>
    <w:rsid w:val="004E3456"/>
    <w:rsid w:val="004F3DF0"/>
    <w:rsid w:val="005074E1"/>
    <w:rsid w:val="005126F1"/>
    <w:rsid w:val="00513F2F"/>
    <w:rsid w:val="0051612A"/>
    <w:rsid w:val="00517176"/>
    <w:rsid w:val="0052192E"/>
    <w:rsid w:val="00524300"/>
    <w:rsid w:val="00541F72"/>
    <w:rsid w:val="00542388"/>
    <w:rsid w:val="00544523"/>
    <w:rsid w:val="005467DC"/>
    <w:rsid w:val="00546A82"/>
    <w:rsid w:val="00547C51"/>
    <w:rsid w:val="00551335"/>
    <w:rsid w:val="005519BB"/>
    <w:rsid w:val="005523FD"/>
    <w:rsid w:val="00553D03"/>
    <w:rsid w:val="00555BA0"/>
    <w:rsid w:val="00556E41"/>
    <w:rsid w:val="0057496F"/>
    <w:rsid w:val="005770A6"/>
    <w:rsid w:val="0059045B"/>
    <w:rsid w:val="00597EC2"/>
    <w:rsid w:val="005A13AB"/>
    <w:rsid w:val="005B1150"/>
    <w:rsid w:val="005B1FFC"/>
    <w:rsid w:val="005B2B6D"/>
    <w:rsid w:val="005B4B4E"/>
    <w:rsid w:val="005C3A76"/>
    <w:rsid w:val="005D5B6F"/>
    <w:rsid w:val="005E38A5"/>
    <w:rsid w:val="005F5185"/>
    <w:rsid w:val="0062115C"/>
    <w:rsid w:val="0062265B"/>
    <w:rsid w:val="00624B5C"/>
    <w:rsid w:val="00624FE1"/>
    <w:rsid w:val="0062577D"/>
    <w:rsid w:val="0063249D"/>
    <w:rsid w:val="006331EE"/>
    <w:rsid w:val="006355E6"/>
    <w:rsid w:val="00637E00"/>
    <w:rsid w:val="0064038A"/>
    <w:rsid w:val="0065167D"/>
    <w:rsid w:val="00652D13"/>
    <w:rsid w:val="0066595A"/>
    <w:rsid w:val="00666206"/>
    <w:rsid w:val="00672788"/>
    <w:rsid w:val="00676183"/>
    <w:rsid w:val="00680DA3"/>
    <w:rsid w:val="0068377F"/>
    <w:rsid w:val="00691B24"/>
    <w:rsid w:val="00695B93"/>
    <w:rsid w:val="00697C16"/>
    <w:rsid w:val="006A5A89"/>
    <w:rsid w:val="006B3BB9"/>
    <w:rsid w:val="006B48AC"/>
    <w:rsid w:val="006B5977"/>
    <w:rsid w:val="006D1B59"/>
    <w:rsid w:val="006D2F9C"/>
    <w:rsid w:val="006D4351"/>
    <w:rsid w:val="006D5424"/>
    <w:rsid w:val="006E5CA9"/>
    <w:rsid w:val="006E5E98"/>
    <w:rsid w:val="006E7A37"/>
    <w:rsid w:val="006F3151"/>
    <w:rsid w:val="007011CA"/>
    <w:rsid w:val="007056DE"/>
    <w:rsid w:val="00706121"/>
    <w:rsid w:val="00710B6B"/>
    <w:rsid w:val="00712A2C"/>
    <w:rsid w:val="00712E84"/>
    <w:rsid w:val="00714914"/>
    <w:rsid w:val="007208D6"/>
    <w:rsid w:val="00726786"/>
    <w:rsid w:val="00732152"/>
    <w:rsid w:val="007428DF"/>
    <w:rsid w:val="00742BD1"/>
    <w:rsid w:val="00742E7A"/>
    <w:rsid w:val="0074424F"/>
    <w:rsid w:val="00764FD9"/>
    <w:rsid w:val="007740B2"/>
    <w:rsid w:val="00774C1F"/>
    <w:rsid w:val="0078194F"/>
    <w:rsid w:val="007934A4"/>
    <w:rsid w:val="007A0AC9"/>
    <w:rsid w:val="007A1B70"/>
    <w:rsid w:val="007A57F6"/>
    <w:rsid w:val="007B4FFB"/>
    <w:rsid w:val="007C0BCE"/>
    <w:rsid w:val="007C1D1B"/>
    <w:rsid w:val="007C3566"/>
    <w:rsid w:val="007C794A"/>
    <w:rsid w:val="007D5326"/>
    <w:rsid w:val="007D5A33"/>
    <w:rsid w:val="007E4F3A"/>
    <w:rsid w:val="007E620F"/>
    <w:rsid w:val="007E663C"/>
    <w:rsid w:val="007E7795"/>
    <w:rsid w:val="0080066B"/>
    <w:rsid w:val="00803578"/>
    <w:rsid w:val="00815B8D"/>
    <w:rsid w:val="00815B8E"/>
    <w:rsid w:val="00816D99"/>
    <w:rsid w:val="0082324C"/>
    <w:rsid w:val="00823D71"/>
    <w:rsid w:val="008245AF"/>
    <w:rsid w:val="008256B9"/>
    <w:rsid w:val="0083705D"/>
    <w:rsid w:val="0084242F"/>
    <w:rsid w:val="00845795"/>
    <w:rsid w:val="00847437"/>
    <w:rsid w:val="00882E15"/>
    <w:rsid w:val="00883C73"/>
    <w:rsid w:val="008901A2"/>
    <w:rsid w:val="008A08B0"/>
    <w:rsid w:val="008B0385"/>
    <w:rsid w:val="008B1082"/>
    <w:rsid w:val="008B188E"/>
    <w:rsid w:val="008B397C"/>
    <w:rsid w:val="008B47F4"/>
    <w:rsid w:val="008B7448"/>
    <w:rsid w:val="008B7E1E"/>
    <w:rsid w:val="008C2AE6"/>
    <w:rsid w:val="008C2DE8"/>
    <w:rsid w:val="008C5113"/>
    <w:rsid w:val="008C5B8A"/>
    <w:rsid w:val="008D3D5F"/>
    <w:rsid w:val="008D4E81"/>
    <w:rsid w:val="008D505F"/>
    <w:rsid w:val="008E0F55"/>
    <w:rsid w:val="008F253F"/>
    <w:rsid w:val="008F7F31"/>
    <w:rsid w:val="00900019"/>
    <w:rsid w:val="009023B1"/>
    <w:rsid w:val="009147D6"/>
    <w:rsid w:val="00914D98"/>
    <w:rsid w:val="00925F8C"/>
    <w:rsid w:val="00927324"/>
    <w:rsid w:val="00932ED7"/>
    <w:rsid w:val="00933990"/>
    <w:rsid w:val="00941B89"/>
    <w:rsid w:val="00941DEA"/>
    <w:rsid w:val="009656CC"/>
    <w:rsid w:val="00970E8C"/>
    <w:rsid w:val="00971671"/>
    <w:rsid w:val="00981A37"/>
    <w:rsid w:val="009830B2"/>
    <w:rsid w:val="0099063E"/>
    <w:rsid w:val="00992356"/>
    <w:rsid w:val="00992674"/>
    <w:rsid w:val="00994793"/>
    <w:rsid w:val="00996AE3"/>
    <w:rsid w:val="009A0450"/>
    <w:rsid w:val="009A1E27"/>
    <w:rsid w:val="009A307B"/>
    <w:rsid w:val="009B04E7"/>
    <w:rsid w:val="009B14E8"/>
    <w:rsid w:val="009B4D21"/>
    <w:rsid w:val="009B5A73"/>
    <w:rsid w:val="009C54C9"/>
    <w:rsid w:val="009C589C"/>
    <w:rsid w:val="009D192B"/>
    <w:rsid w:val="009D2582"/>
    <w:rsid w:val="009D33E1"/>
    <w:rsid w:val="009D3B45"/>
    <w:rsid w:val="009D7CF9"/>
    <w:rsid w:val="009E2CCC"/>
    <w:rsid w:val="009E2CDD"/>
    <w:rsid w:val="009E366E"/>
    <w:rsid w:val="009E6FC4"/>
    <w:rsid w:val="009F00DC"/>
    <w:rsid w:val="009F3199"/>
    <w:rsid w:val="009F3355"/>
    <w:rsid w:val="009F3648"/>
    <w:rsid w:val="009F3B7A"/>
    <w:rsid w:val="009F54D0"/>
    <w:rsid w:val="00A04523"/>
    <w:rsid w:val="00A16159"/>
    <w:rsid w:val="00A161E6"/>
    <w:rsid w:val="00A17885"/>
    <w:rsid w:val="00A2337D"/>
    <w:rsid w:val="00A25A31"/>
    <w:rsid w:val="00A31BBE"/>
    <w:rsid w:val="00A31D34"/>
    <w:rsid w:val="00A333EF"/>
    <w:rsid w:val="00A33F85"/>
    <w:rsid w:val="00A40645"/>
    <w:rsid w:val="00A6016C"/>
    <w:rsid w:val="00A769B1"/>
    <w:rsid w:val="00A77DA3"/>
    <w:rsid w:val="00A837D5"/>
    <w:rsid w:val="00A83E04"/>
    <w:rsid w:val="00A91091"/>
    <w:rsid w:val="00A93EE3"/>
    <w:rsid w:val="00A94BA9"/>
    <w:rsid w:val="00AA4970"/>
    <w:rsid w:val="00AA536D"/>
    <w:rsid w:val="00AB22C0"/>
    <w:rsid w:val="00AB28FC"/>
    <w:rsid w:val="00AB49E4"/>
    <w:rsid w:val="00AC1479"/>
    <w:rsid w:val="00AC2AAC"/>
    <w:rsid w:val="00AC40F1"/>
    <w:rsid w:val="00AC4C45"/>
    <w:rsid w:val="00AD1085"/>
    <w:rsid w:val="00AD5B40"/>
    <w:rsid w:val="00AF289F"/>
    <w:rsid w:val="00AF30B9"/>
    <w:rsid w:val="00AF43DF"/>
    <w:rsid w:val="00AF67A4"/>
    <w:rsid w:val="00AF7510"/>
    <w:rsid w:val="00B12D31"/>
    <w:rsid w:val="00B15F6E"/>
    <w:rsid w:val="00B21BEE"/>
    <w:rsid w:val="00B23284"/>
    <w:rsid w:val="00B37D43"/>
    <w:rsid w:val="00B46F21"/>
    <w:rsid w:val="00B511A5"/>
    <w:rsid w:val="00B51CDE"/>
    <w:rsid w:val="00B56541"/>
    <w:rsid w:val="00B605ED"/>
    <w:rsid w:val="00B71F97"/>
    <w:rsid w:val="00B72538"/>
    <w:rsid w:val="00B736A7"/>
    <w:rsid w:val="00B7651F"/>
    <w:rsid w:val="00B919FA"/>
    <w:rsid w:val="00B94A16"/>
    <w:rsid w:val="00BA6044"/>
    <w:rsid w:val="00BB1A93"/>
    <w:rsid w:val="00BC14BF"/>
    <w:rsid w:val="00BC2625"/>
    <w:rsid w:val="00BC3200"/>
    <w:rsid w:val="00BC338A"/>
    <w:rsid w:val="00BD7AB0"/>
    <w:rsid w:val="00BF3C20"/>
    <w:rsid w:val="00C011BC"/>
    <w:rsid w:val="00C03DBA"/>
    <w:rsid w:val="00C112E7"/>
    <w:rsid w:val="00C11C78"/>
    <w:rsid w:val="00C11CD4"/>
    <w:rsid w:val="00C15061"/>
    <w:rsid w:val="00C1713D"/>
    <w:rsid w:val="00C20D9D"/>
    <w:rsid w:val="00C2134F"/>
    <w:rsid w:val="00C24718"/>
    <w:rsid w:val="00C2675D"/>
    <w:rsid w:val="00C30AEE"/>
    <w:rsid w:val="00C33362"/>
    <w:rsid w:val="00C353AE"/>
    <w:rsid w:val="00C4194E"/>
    <w:rsid w:val="00C516B1"/>
    <w:rsid w:val="00C5350C"/>
    <w:rsid w:val="00C56E09"/>
    <w:rsid w:val="00C61B1B"/>
    <w:rsid w:val="00C66AB7"/>
    <w:rsid w:val="00C673D1"/>
    <w:rsid w:val="00C746CB"/>
    <w:rsid w:val="00C77BBF"/>
    <w:rsid w:val="00C77D64"/>
    <w:rsid w:val="00C81564"/>
    <w:rsid w:val="00C9080C"/>
    <w:rsid w:val="00C94429"/>
    <w:rsid w:val="00CA18FD"/>
    <w:rsid w:val="00CA27E5"/>
    <w:rsid w:val="00CA4897"/>
    <w:rsid w:val="00CA6928"/>
    <w:rsid w:val="00CB3D3F"/>
    <w:rsid w:val="00CB5A1A"/>
    <w:rsid w:val="00CC59E6"/>
    <w:rsid w:val="00CD5BDD"/>
    <w:rsid w:val="00CF096B"/>
    <w:rsid w:val="00CF10F7"/>
    <w:rsid w:val="00CF5EE3"/>
    <w:rsid w:val="00CF691F"/>
    <w:rsid w:val="00D00D99"/>
    <w:rsid w:val="00D013A4"/>
    <w:rsid w:val="00D026DC"/>
    <w:rsid w:val="00D15595"/>
    <w:rsid w:val="00D343A8"/>
    <w:rsid w:val="00D37832"/>
    <w:rsid w:val="00D44860"/>
    <w:rsid w:val="00D47689"/>
    <w:rsid w:val="00D50C42"/>
    <w:rsid w:val="00D57CF5"/>
    <w:rsid w:val="00D612BC"/>
    <w:rsid w:val="00D62F98"/>
    <w:rsid w:val="00D66FD6"/>
    <w:rsid w:val="00D8285B"/>
    <w:rsid w:val="00D862EB"/>
    <w:rsid w:val="00D86619"/>
    <w:rsid w:val="00D93E7C"/>
    <w:rsid w:val="00DB2BE6"/>
    <w:rsid w:val="00DB76B3"/>
    <w:rsid w:val="00DD1052"/>
    <w:rsid w:val="00DD3C7B"/>
    <w:rsid w:val="00DE2B21"/>
    <w:rsid w:val="00DE48DE"/>
    <w:rsid w:val="00DF25F2"/>
    <w:rsid w:val="00DF4166"/>
    <w:rsid w:val="00E000F4"/>
    <w:rsid w:val="00E01231"/>
    <w:rsid w:val="00E04279"/>
    <w:rsid w:val="00E11393"/>
    <w:rsid w:val="00E125D9"/>
    <w:rsid w:val="00E16D30"/>
    <w:rsid w:val="00E31E69"/>
    <w:rsid w:val="00E33169"/>
    <w:rsid w:val="00E34A7B"/>
    <w:rsid w:val="00E40973"/>
    <w:rsid w:val="00E545FF"/>
    <w:rsid w:val="00E6080E"/>
    <w:rsid w:val="00E64168"/>
    <w:rsid w:val="00E655B3"/>
    <w:rsid w:val="00E7081D"/>
    <w:rsid w:val="00E70904"/>
    <w:rsid w:val="00E71319"/>
    <w:rsid w:val="00E75171"/>
    <w:rsid w:val="00E804B0"/>
    <w:rsid w:val="00E86772"/>
    <w:rsid w:val="00E90B8B"/>
    <w:rsid w:val="00E93ADD"/>
    <w:rsid w:val="00E952D8"/>
    <w:rsid w:val="00EB00E4"/>
    <w:rsid w:val="00EB28DA"/>
    <w:rsid w:val="00EB3812"/>
    <w:rsid w:val="00EB44EB"/>
    <w:rsid w:val="00EB66B8"/>
    <w:rsid w:val="00EB791E"/>
    <w:rsid w:val="00EC70A9"/>
    <w:rsid w:val="00ED4C3A"/>
    <w:rsid w:val="00EE1C85"/>
    <w:rsid w:val="00EF21D9"/>
    <w:rsid w:val="00EF2A94"/>
    <w:rsid w:val="00EF32FB"/>
    <w:rsid w:val="00EF44B1"/>
    <w:rsid w:val="00EF4865"/>
    <w:rsid w:val="00EF5954"/>
    <w:rsid w:val="00F100D2"/>
    <w:rsid w:val="00F12942"/>
    <w:rsid w:val="00F13C41"/>
    <w:rsid w:val="00F14886"/>
    <w:rsid w:val="00F16421"/>
    <w:rsid w:val="00F201EE"/>
    <w:rsid w:val="00F35AA0"/>
    <w:rsid w:val="00F43C49"/>
    <w:rsid w:val="00F45C12"/>
    <w:rsid w:val="00F544A2"/>
    <w:rsid w:val="00F73D03"/>
    <w:rsid w:val="00F76CB9"/>
    <w:rsid w:val="00F77A73"/>
    <w:rsid w:val="00F80E46"/>
    <w:rsid w:val="00F96236"/>
    <w:rsid w:val="00FA10CE"/>
    <w:rsid w:val="00FA222F"/>
    <w:rsid w:val="00FA2891"/>
    <w:rsid w:val="00FB693D"/>
    <w:rsid w:val="00FB7768"/>
    <w:rsid w:val="00FC7489"/>
    <w:rsid w:val="00FD1BA8"/>
    <w:rsid w:val="00FD218F"/>
    <w:rsid w:val="00FD5663"/>
    <w:rsid w:val="00FD56C6"/>
    <w:rsid w:val="00FE3221"/>
    <w:rsid w:val="00FE48EA"/>
    <w:rsid w:val="00FE571F"/>
    <w:rsid w:val="00FF47F6"/>
    <w:rsid w:val="016E63C2"/>
    <w:rsid w:val="024B0C39"/>
    <w:rsid w:val="036D035E"/>
    <w:rsid w:val="04A141B0"/>
    <w:rsid w:val="0A8128A6"/>
    <w:rsid w:val="0BF32A1B"/>
    <w:rsid w:val="0C747AF0"/>
    <w:rsid w:val="10BD2C22"/>
    <w:rsid w:val="12345D7B"/>
    <w:rsid w:val="1F3C4E81"/>
    <w:rsid w:val="213D28E2"/>
    <w:rsid w:val="22987C80"/>
    <w:rsid w:val="236773C3"/>
    <w:rsid w:val="24021AA8"/>
    <w:rsid w:val="24192CCC"/>
    <w:rsid w:val="24874793"/>
    <w:rsid w:val="264E41BC"/>
    <w:rsid w:val="28583E4D"/>
    <w:rsid w:val="2A1B63F2"/>
    <w:rsid w:val="2B445A97"/>
    <w:rsid w:val="2E1D7542"/>
    <w:rsid w:val="3061701B"/>
    <w:rsid w:val="320478DA"/>
    <w:rsid w:val="39404978"/>
    <w:rsid w:val="39A66CD4"/>
    <w:rsid w:val="3A111922"/>
    <w:rsid w:val="3BBA52A8"/>
    <w:rsid w:val="3C331B88"/>
    <w:rsid w:val="3C442294"/>
    <w:rsid w:val="3CD52CE1"/>
    <w:rsid w:val="410F2E6A"/>
    <w:rsid w:val="4430136C"/>
    <w:rsid w:val="45480B20"/>
    <w:rsid w:val="499476F8"/>
    <w:rsid w:val="4AB0382B"/>
    <w:rsid w:val="4FF83606"/>
    <w:rsid w:val="50DB3D9F"/>
    <w:rsid w:val="569868B5"/>
    <w:rsid w:val="5C7B084D"/>
    <w:rsid w:val="6071407C"/>
    <w:rsid w:val="60D659F2"/>
    <w:rsid w:val="611F6817"/>
    <w:rsid w:val="62D8716E"/>
    <w:rsid w:val="64E71501"/>
    <w:rsid w:val="66CA1754"/>
    <w:rsid w:val="680B2F59"/>
    <w:rsid w:val="6B1E4B6C"/>
    <w:rsid w:val="6CCD41D3"/>
    <w:rsid w:val="6DAD27AA"/>
    <w:rsid w:val="6DFA6436"/>
    <w:rsid w:val="6F1E65D4"/>
    <w:rsid w:val="6F266C86"/>
    <w:rsid w:val="6F5042C2"/>
    <w:rsid w:val="74316312"/>
    <w:rsid w:val="75885216"/>
    <w:rsid w:val="7614190F"/>
    <w:rsid w:val="761D0DE5"/>
    <w:rsid w:val="780F13C8"/>
    <w:rsid w:val="786D6A2C"/>
    <w:rsid w:val="7C385448"/>
    <w:rsid w:val="7CB3663D"/>
    <w:rsid w:val="7F47130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19"/>
    <w:autoRedefine/>
    <w:qFormat/>
    <w:uiPriority w:val="9"/>
    <w:pPr>
      <w:keepNext/>
      <w:keepLines/>
      <w:spacing w:before="340" w:after="330" w:line="578" w:lineRule="auto"/>
      <w:outlineLvl w:val="0"/>
    </w:pPr>
    <w:rPr>
      <w:b/>
      <w:bCs/>
      <w:kern w:val="44"/>
      <w:sz w:val="44"/>
      <w:szCs w:val="44"/>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annotation text"/>
    <w:basedOn w:val="1"/>
    <w:link w:val="20"/>
    <w:autoRedefine/>
    <w:qFormat/>
    <w:uiPriority w:val="99"/>
    <w:pPr>
      <w:widowControl w:val="0"/>
    </w:pPr>
    <w:rPr>
      <w:rFonts w:ascii="Times New Roman" w:hAnsi="Times New Roman" w:cs="Times New Roman"/>
      <w:kern w:val="2"/>
      <w:sz w:val="21"/>
    </w:rPr>
  </w:style>
  <w:style w:type="paragraph" w:styleId="4">
    <w:name w:val="footer"/>
    <w:basedOn w:val="1"/>
    <w:link w:val="12"/>
    <w:autoRedefine/>
    <w:unhideWhenUsed/>
    <w:qFormat/>
    <w:uiPriority w:val="99"/>
    <w:pPr>
      <w:tabs>
        <w:tab w:val="center" w:pos="4153"/>
        <w:tab w:val="right" w:pos="8306"/>
      </w:tabs>
      <w:snapToGrid w:val="0"/>
    </w:pPr>
    <w:rPr>
      <w:rFonts w:asciiTheme="minorHAnsi" w:hAnsiTheme="minorHAnsi" w:eastAsiaTheme="minorEastAsia" w:cstheme="minorBidi"/>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autoRedefine/>
    <w:unhideWhenUsed/>
    <w:qFormat/>
    <w:uiPriority w:val="99"/>
    <w:pPr>
      <w:spacing w:before="100" w:beforeAutospacing="1" w:after="100" w:afterAutospacing="1"/>
    </w:pPr>
  </w:style>
  <w:style w:type="table" w:styleId="8">
    <w:name w:val="Table Grid"/>
    <w:basedOn w:val="7"/>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autoRedefine/>
    <w:qFormat/>
    <w:uiPriority w:val="22"/>
    <w:rPr>
      <w:b/>
      <w:bCs/>
    </w:rPr>
  </w:style>
  <w:style w:type="character" w:customStyle="1" w:styleId="11">
    <w:name w:val="页眉 字符"/>
    <w:basedOn w:val="9"/>
    <w:link w:val="5"/>
    <w:autoRedefine/>
    <w:semiHidden/>
    <w:qFormat/>
    <w:uiPriority w:val="99"/>
    <w:rPr>
      <w:sz w:val="18"/>
      <w:szCs w:val="18"/>
    </w:rPr>
  </w:style>
  <w:style w:type="character" w:customStyle="1" w:styleId="12">
    <w:name w:val="页脚 字符"/>
    <w:basedOn w:val="9"/>
    <w:link w:val="4"/>
    <w:autoRedefine/>
    <w:semiHidden/>
    <w:qFormat/>
    <w:uiPriority w:val="99"/>
    <w:rPr>
      <w:sz w:val="18"/>
      <w:szCs w:val="18"/>
    </w:rPr>
  </w:style>
  <w:style w:type="paragraph" w:customStyle="1" w:styleId="13">
    <w:name w:val="表格标题DG"/>
    <w:basedOn w:val="1"/>
    <w:autoRedefine/>
    <w:qFormat/>
    <w:uiPriority w:val="0"/>
    <w:pPr>
      <w:snapToGrid w:val="0"/>
      <w:jc w:val="center"/>
    </w:pPr>
    <w:rPr>
      <w:rFonts w:ascii="Arial" w:hAnsi="Arial" w:eastAsia="黑体"/>
      <w:bCs/>
      <w:color w:val="000000"/>
      <w:sz w:val="21"/>
      <w:szCs w:val="20"/>
    </w:rPr>
  </w:style>
  <w:style w:type="paragraph" w:customStyle="1" w:styleId="14">
    <w:name w:val="表格正文DG"/>
    <w:basedOn w:val="1"/>
    <w:autoRedefine/>
    <w:qFormat/>
    <w:uiPriority w:val="0"/>
    <w:pPr>
      <w:jc w:val="center"/>
    </w:pPr>
    <w:rPr>
      <w:rFonts w:ascii="Times New Roman" w:hAnsi="Times New Roman"/>
      <w:color w:val="000000"/>
      <w:sz w:val="21"/>
      <w:szCs w:val="21"/>
    </w:rPr>
  </w:style>
  <w:style w:type="paragraph" w:styleId="15">
    <w:name w:val="List Paragraph"/>
    <w:basedOn w:val="1"/>
    <w:autoRedefine/>
    <w:unhideWhenUsed/>
    <w:qFormat/>
    <w:uiPriority w:val="99"/>
    <w:pPr>
      <w:ind w:firstLine="420" w:firstLineChars="200"/>
    </w:pPr>
  </w:style>
  <w:style w:type="paragraph" w:customStyle="1" w:styleId="16">
    <w:name w:val="一级标题DG"/>
    <w:basedOn w:val="1"/>
    <w:autoRedefine/>
    <w:qFormat/>
    <w:uiPriority w:val="0"/>
    <w:pPr>
      <w:spacing w:line="480" w:lineRule="auto"/>
      <w:outlineLvl w:val="0"/>
    </w:pPr>
    <w:rPr>
      <w:rFonts w:ascii="Arial" w:hAnsi="Arial" w:eastAsia="黑体"/>
      <w:sz w:val="28"/>
    </w:rPr>
  </w:style>
  <w:style w:type="paragraph" w:customStyle="1" w:styleId="17">
    <w:name w:val="二级标题DG"/>
    <w:basedOn w:val="6"/>
    <w:autoRedefine/>
    <w:qFormat/>
    <w:uiPriority w:val="0"/>
    <w:pPr>
      <w:spacing w:before="25" w:beforeLines="25" w:beforeAutospacing="0" w:after="50" w:afterLines="50" w:afterAutospacing="0" w:line="440" w:lineRule="exact"/>
      <w:outlineLvl w:val="1"/>
    </w:pPr>
    <w:rPr>
      <w:rFonts w:ascii="Times New Roman" w:hAnsi="Times New Roman"/>
      <w:b/>
    </w:rPr>
  </w:style>
  <w:style w:type="paragraph" w:customStyle="1" w:styleId="18">
    <w:name w:val="正文DG"/>
    <w:basedOn w:val="1"/>
    <w:autoRedefine/>
    <w:qFormat/>
    <w:uiPriority w:val="0"/>
    <w:pPr>
      <w:snapToGrid w:val="0"/>
      <w:spacing w:line="440" w:lineRule="exact"/>
      <w:ind w:firstLine="480" w:firstLineChars="200"/>
    </w:pPr>
    <w:rPr>
      <w:rFonts w:ascii="Times New Roman" w:hAnsi="Times New Roman" w:cs="Times New Roman"/>
      <w:color w:val="000000"/>
    </w:rPr>
  </w:style>
  <w:style w:type="character" w:customStyle="1" w:styleId="19">
    <w:name w:val="标题 1 字符"/>
    <w:basedOn w:val="9"/>
    <w:link w:val="2"/>
    <w:autoRedefine/>
    <w:qFormat/>
    <w:uiPriority w:val="9"/>
    <w:rPr>
      <w:rFonts w:ascii="Calibri" w:hAnsi="Calibri" w:eastAsia="宋体" w:cs="Times New Roman"/>
      <w:b/>
      <w:bCs/>
      <w:kern w:val="44"/>
      <w:sz w:val="44"/>
      <w:szCs w:val="44"/>
    </w:rPr>
  </w:style>
  <w:style w:type="character" w:customStyle="1" w:styleId="20">
    <w:name w:val="批注文字 字符"/>
    <w:basedOn w:val="9"/>
    <w:link w:val="3"/>
    <w:autoRedefine/>
    <w:qFormat/>
    <w:uiPriority w:val="99"/>
    <w:rPr>
      <w:rFonts w:ascii="Times New Roman" w:hAnsi="Times New Roman" w:eastAsia="宋体" w:cs="Times New Roman"/>
      <w:kern w:val="2"/>
      <w:sz w:val="21"/>
      <w:szCs w:val="24"/>
    </w:rPr>
  </w:style>
  <w:style w:type="character" w:customStyle="1" w:styleId="21">
    <w:name w:val="editor-text-node"/>
    <w:basedOn w:val="9"/>
    <w:autoRedefine/>
    <w:qFormat/>
    <w:uiPriority w:val="0"/>
  </w:style>
  <w:style w:type="character" w:styleId="22">
    <w:name w:val="Placeholder Text"/>
    <w:basedOn w:val="9"/>
    <w:autoRedefine/>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AC9532-FBF0-B244-81AA-2A685C2152E4}">
  <ds:schemaRefs/>
</ds:datastoreItem>
</file>

<file path=docProps/app.xml><?xml version="1.0" encoding="utf-8"?>
<Properties xmlns="http://schemas.openxmlformats.org/officeDocument/2006/extended-properties" xmlns:vt="http://schemas.openxmlformats.org/officeDocument/2006/docPropsVTypes">
  <Template>Normal.dotm</Template>
  <Pages>7</Pages>
  <Words>4425</Words>
  <Characters>4601</Characters>
  <Lines>6</Lines>
  <Paragraphs>1</Paragraphs>
  <TotalTime>1</TotalTime>
  <ScaleCrop>false</ScaleCrop>
  <LinksUpToDate>false</LinksUpToDate>
  <CharactersWithSpaces>4724</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2023-11-21T02:39:00Z</dcterms:created>
  <dc:creator>juvg</dc:creator>
  <cp:lastModifiedBy>xw119</cp:lastModifiedBy>
  <cp:lastPrinted>2024-03-17T03:54:00Z</cp:lastPrinted>
  <dcterms:modified xsi:type="dcterms:W3CDTF">2024-09-09T02:57:23Z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FF6E2744D1504A6ABE2816739CA1FC21_13</vt:lpwstr>
  </property>
</Properties>
</file>