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C6EDB0">
      <w:pPr>
        <w:snapToGrid w:val="0"/>
        <w:jc w:val="center"/>
        <w:rPr>
          <w:sz w:val="6"/>
          <w:szCs w:val="6"/>
        </w:rPr>
      </w:pPr>
    </w:p>
    <w:p w14:paraId="4814BF65">
      <w:pPr>
        <w:snapToGrid w:val="0"/>
        <w:jc w:val="center"/>
        <w:rPr>
          <w:sz w:val="6"/>
          <w:szCs w:val="6"/>
        </w:rPr>
      </w:pPr>
    </w:p>
    <w:p w14:paraId="17DF34E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62B27B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8986FC5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31DF2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3060DE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少儿歌曲鉴赏</w:t>
            </w:r>
          </w:p>
        </w:tc>
      </w:tr>
      <w:tr w14:paraId="35AB03B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7F9F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7AE40B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2135017</w:t>
            </w:r>
          </w:p>
        </w:tc>
        <w:tc>
          <w:tcPr>
            <w:tcW w:w="1314" w:type="dxa"/>
            <w:vAlign w:val="center"/>
          </w:tcPr>
          <w:p w14:paraId="140B66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1A94E1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0832</w:t>
            </w:r>
          </w:p>
        </w:tc>
        <w:tc>
          <w:tcPr>
            <w:tcW w:w="1753" w:type="dxa"/>
            <w:vAlign w:val="center"/>
          </w:tcPr>
          <w:p w14:paraId="4D9F950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401C5E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5AF2247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5A5A5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35714A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肖晶</w:t>
            </w:r>
          </w:p>
        </w:tc>
        <w:tc>
          <w:tcPr>
            <w:tcW w:w="1314" w:type="dxa"/>
            <w:vAlign w:val="center"/>
          </w:tcPr>
          <w:p w14:paraId="0B7D2BA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C5678A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18058</w:t>
            </w:r>
          </w:p>
        </w:tc>
        <w:tc>
          <w:tcPr>
            <w:tcW w:w="1753" w:type="dxa"/>
            <w:vAlign w:val="center"/>
          </w:tcPr>
          <w:p w14:paraId="4A0AA2D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73177B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D38C2B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4202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BDBC88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22-1</w:t>
            </w:r>
          </w:p>
          <w:p w14:paraId="76C937E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22-2</w:t>
            </w:r>
          </w:p>
          <w:p w14:paraId="6CF47F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22-3</w:t>
            </w:r>
          </w:p>
        </w:tc>
        <w:tc>
          <w:tcPr>
            <w:tcW w:w="1314" w:type="dxa"/>
            <w:vAlign w:val="center"/>
          </w:tcPr>
          <w:p w14:paraId="6815A81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947BBD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17FB08F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34C8F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珠宝学院453</w:t>
            </w:r>
          </w:p>
        </w:tc>
      </w:tr>
      <w:tr w14:paraId="72050DF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FE52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27A90D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周三1-2节</w:t>
            </w:r>
          </w:p>
        </w:tc>
      </w:tr>
      <w:tr w14:paraId="6CF3595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1EC0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CD1C04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云班课：6190156</w:t>
            </w:r>
          </w:p>
        </w:tc>
      </w:tr>
      <w:tr w14:paraId="23C63EA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8856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5FE897"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  <w:t>自编</w:t>
            </w:r>
          </w:p>
        </w:tc>
      </w:tr>
      <w:tr w14:paraId="2BD5EC6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1A49E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BE5A93D">
            <w:pPr>
              <w:tabs>
                <w:tab w:val="left" w:pos="532"/>
              </w:tabs>
              <w:spacing w:line="340" w:lineRule="exact"/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  <w:t>《学堂乐歌》《音乐欣赏、表演与创作心理分析》《声乐艺术美学》</w:t>
            </w:r>
          </w:p>
        </w:tc>
      </w:tr>
    </w:tbl>
    <w:p w14:paraId="54AB499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ED53F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384"/>
        <w:gridCol w:w="2180"/>
        <w:gridCol w:w="1968"/>
      </w:tblGrid>
      <w:tr w14:paraId="2E91FE06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061D9"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883435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FDB0D">
            <w:pPr>
              <w:widowControl/>
              <w:spacing w:line="240" w:lineRule="exact"/>
              <w:ind w:firstLine="35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F00F6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CA8A8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8F4CB9C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7E9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79A5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7F7ED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古诗词歌曲赏析与演唱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08CC03CB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江南 长歌行 悯农 春晓 静夜思 游子吟 三字经 百家姓 明日歌 寻胡隐君 秋思 弟子规 一字诗 晓窗 论语 道德经</w:t>
            </w:r>
          </w:p>
          <w:p w14:paraId="7CEB7E0B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2.展示：洋娃娃和小兄弟跳舞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F9B0F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60E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复习所学歌曲，选择1-2首，从五个维度进行分析。列举本节展示课程的特色和亮点，画图分析，归纳总结。</w:t>
            </w:r>
          </w:p>
        </w:tc>
      </w:tr>
      <w:tr w14:paraId="3755FB3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7A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219A4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8ED2F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古诗词歌曲赏析与演唱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03753ACE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汉乐府、唐、宋、元、明、清等不同时期的古诗词音乐欣赏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能分析歌词和音乐，熟悉演唱2-3首。</w:t>
            </w:r>
          </w:p>
          <w:p w14:paraId="1983294A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2.展示：美丽的黄昏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5D6E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D83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复习所学歌曲，选择1-2首，从五个维度进行分析。列举本节展示课程的特色和亮点，画图分析，归纳总结。</w:t>
            </w:r>
          </w:p>
        </w:tc>
      </w:tr>
      <w:tr w14:paraId="4534553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C62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63E0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04FF2">
            <w:pPr>
              <w:ind w:right="-5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1.外国少儿歌曲赏析与演唱（一）</w:t>
            </w:r>
          </w:p>
          <w:p w14:paraId="0C92E37C">
            <w:pPr>
              <w:ind w:right="-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欢乐之歌 雪绒花 哆来咪 真善美 彩虹 </w:t>
            </w:r>
          </w:p>
          <w:p w14:paraId="73C1EB76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幸福之歌 花仙子之歌 雪球花 梭罗河…</w:t>
            </w:r>
          </w:p>
          <w:p w14:paraId="612FD5B2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2.展示：踏雪寻梅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CDA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C4C43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列举本节展示课程的特色和亮点，画图分析，归纳总结。</w:t>
            </w:r>
          </w:p>
        </w:tc>
      </w:tr>
      <w:tr w14:paraId="2B24E8D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D68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FC1DD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8C732">
            <w:pPr>
              <w:ind w:right="-5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1.外国少儿歌曲赏析与演唱（二）</w:t>
            </w:r>
          </w:p>
          <w:p w14:paraId="4229C6FD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辨别美、德、奥、日、俄、印尼等国家的歌曲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能了解歌曲创作背景和音乐特点，并熟悉演唱2-3首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少儿歌曲。</w:t>
            </w:r>
          </w:p>
          <w:p w14:paraId="2C5FB15A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2.展示：月亮姐姐快下来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407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2CDB1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复习所学歌曲，选择1-2首，从五个维度进行分析。列举本节展示课程的特色和亮点，画图分析，归纳总结。</w:t>
            </w:r>
          </w:p>
        </w:tc>
      </w:tr>
      <w:tr w14:paraId="4CAF48C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81C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3B5A8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3A8F4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中国现代流行少儿歌曲赏析与演唱（一） 青春舞曲 读唐诗 问明月 有无歌</w:t>
            </w:r>
          </w:p>
          <w:p w14:paraId="515E0F60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2.展示：缤纷舞曲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BEB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D387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复习所学歌曲，选择1-2首，从五个维度进行分析。列举本节展示课程的特色和亮点，画图分析，归纳总结。</w:t>
            </w:r>
          </w:p>
        </w:tc>
      </w:tr>
      <w:tr w14:paraId="36219BB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765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541E3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32098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1.中国现代流行少儿歌曲赏析与演唱（二）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现代少儿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歌曲创作背景和音乐特点能从多个角度分析作品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熟悉演唱2-3首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现代少儿歌曲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762664F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2.展示：国乐飘香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C7B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7C21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复习所学歌曲，选择1-2首，从五个维度进行分析。列举本节展示课程的特色和亮点，画图分析，归纳总结。</w:t>
            </w:r>
          </w:p>
        </w:tc>
      </w:tr>
      <w:tr w14:paraId="65AEF55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92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FF65B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DF0DB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港澳台校园歌曲赏析与演唱</w:t>
            </w:r>
          </w:p>
          <w:p w14:paraId="6218AB5E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蜗牛与黄鹂鸟 清晨 捉泥鳅 兰花草… </w:t>
            </w:r>
          </w:p>
          <w:p w14:paraId="4AAD0BF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了解歌曲创作背景和音乐特点，演唱2-3首台湾少儿歌曲，从多个角度分析作品。</w:t>
            </w:r>
          </w:p>
          <w:p w14:paraId="338EC360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2.展示：听见堆谐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F4F2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讲授、练习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DEF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复习所学歌曲，选择1-2首，从五个维度进行分析。列举本节展示课程的特色和亮点，画图分析，归纳总结。</w:t>
            </w:r>
          </w:p>
        </w:tc>
      </w:tr>
      <w:tr w14:paraId="0853A70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FB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3F5DC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BD7DE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随堂考查</w:t>
            </w:r>
          </w:p>
        </w:tc>
        <w:tc>
          <w:tcPr>
            <w:tcW w:w="21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1D99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展示</w:t>
            </w:r>
          </w:p>
        </w:tc>
        <w:tc>
          <w:tcPr>
            <w:tcW w:w="19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D9DF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5022D6E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5E9FD43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5A05B6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4F9C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4C7AF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1E604E3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C90D4EA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563E85B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9B7D5E0">
            <w:pPr>
              <w:spacing w:line="288" w:lineRule="auto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  <w:t>期末考查</w:t>
            </w:r>
          </w:p>
        </w:tc>
      </w:tr>
      <w:tr w14:paraId="3BEBA34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2E20942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46190F9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C688304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  <w:t>课堂展示1</w:t>
            </w:r>
          </w:p>
        </w:tc>
      </w:tr>
      <w:tr w14:paraId="6DDC1A0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6614366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13108E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2"/>
                <w:szCs w:val="18"/>
                <w:lang w:val="en-US" w:eastAsia="zh-TW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D05F488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2"/>
                <w:szCs w:val="18"/>
                <w:lang w:val="en-US" w:eastAsia="zh-CN" w:bidi="ar-SA"/>
              </w:rPr>
              <w:t>课堂展示1</w:t>
            </w:r>
          </w:p>
        </w:tc>
      </w:tr>
    </w:tbl>
    <w:p w14:paraId="6BA53EB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40F1EB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415925" cy="192405"/>
            <wp:effectExtent l="0" t="0" r="3175" b="10795"/>
            <wp:docPr id="4" name="图片 4" descr="1725859019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58590197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E954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E7480B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9564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017B83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7F51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C64F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B61CC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B61CC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66DF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A3B0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245B5"/>
    <w:multiLevelType w:val="singleLevel"/>
    <w:tmpl w:val="9D0245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12CEDE"/>
    <w:multiLevelType w:val="singleLevel"/>
    <w:tmpl w:val="C612CE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380E97"/>
    <w:rsid w:val="0250298D"/>
    <w:rsid w:val="04313670"/>
    <w:rsid w:val="0B02141F"/>
    <w:rsid w:val="0B2A14B1"/>
    <w:rsid w:val="0DB76A4A"/>
    <w:rsid w:val="12A1625D"/>
    <w:rsid w:val="137F1896"/>
    <w:rsid w:val="199D2E85"/>
    <w:rsid w:val="1B9B294B"/>
    <w:rsid w:val="24D24D81"/>
    <w:rsid w:val="2E59298A"/>
    <w:rsid w:val="34EB5A9A"/>
    <w:rsid w:val="37E50B00"/>
    <w:rsid w:val="412357A0"/>
    <w:rsid w:val="44C37CDE"/>
    <w:rsid w:val="49DF08B3"/>
    <w:rsid w:val="52C44024"/>
    <w:rsid w:val="65310993"/>
    <w:rsid w:val="6A49156D"/>
    <w:rsid w:val="6E256335"/>
    <w:rsid w:val="700912C5"/>
    <w:rsid w:val="708740D4"/>
    <w:rsid w:val="74F62C86"/>
    <w:rsid w:val="777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1035</Words>
  <Characters>1111</Characters>
  <Lines>2</Lines>
  <Paragraphs>1</Paragraphs>
  <TotalTime>0</TotalTime>
  <ScaleCrop>false</ScaleCrop>
  <LinksUpToDate>false</LinksUpToDate>
  <CharactersWithSpaces>1182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2024-09-03T23:20:00Z</cp:lastPrinted>
  <dcterms:modified xsi:type="dcterms:W3CDTF">2024-10-13T17:29:52Z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999085389C404BE2922D93D9E539EF78_13</vt:lpwstr>
  </property>
</Properties>
</file>