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0462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儿童哲学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7894B23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935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B5AFB4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1CA575">
            <w:pPr>
              <w:widowControl w:val="0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sz w:val="21"/>
                <w:szCs w:val="21"/>
              </w:rPr>
              <w:t>儿童哲学</w:t>
            </w:r>
          </w:p>
        </w:tc>
      </w:tr>
      <w:tr w14:paraId="4080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764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9D894A4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英文）</w:t>
            </w: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Philosophy for children</w:t>
            </w:r>
          </w:p>
        </w:tc>
      </w:tr>
      <w:tr w14:paraId="4F5B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9D6D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27E48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hanging="36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1130018</w:t>
            </w:r>
          </w:p>
        </w:tc>
        <w:tc>
          <w:tcPr>
            <w:tcW w:w="2126" w:type="dxa"/>
            <w:gridSpan w:val="2"/>
            <w:vAlign w:val="center"/>
          </w:tcPr>
          <w:p w14:paraId="699E6E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C7DE1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8C7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3121A7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BAD666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22AADF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24DFCC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05EB903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13F9A2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97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397F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B02115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824B01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C31AEF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学前教育专业四年级</w:t>
            </w:r>
          </w:p>
        </w:tc>
      </w:tr>
      <w:tr w14:paraId="34E2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5DAA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EE7D55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02CE97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5772A2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482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51EC4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304F932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《儿童哲学导论》 高振宇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ISBN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9787559830357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广西师范大学出版社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第3版</w:t>
            </w:r>
          </w:p>
        </w:tc>
        <w:tc>
          <w:tcPr>
            <w:tcW w:w="1413" w:type="dxa"/>
            <w:gridSpan w:val="2"/>
            <w:vAlign w:val="center"/>
          </w:tcPr>
          <w:p w14:paraId="539F28C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F32BC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A07C2A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727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5C27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87D97A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原理</w:t>
            </w:r>
            <w:r>
              <w:rPr>
                <w:rFonts w:hint="eastAsia"/>
                <w:color w:val="000000"/>
                <w:sz w:val="20"/>
                <w:szCs w:val="20"/>
              </w:rPr>
              <w:t>1130006（2）教育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哲</w:t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 w:ascii="Times New Roman" w:hAnsi="Times New Roman"/>
                <w:b w:val="0"/>
                <w:bCs w:val="0"/>
                <w:sz w:val="20"/>
                <w:szCs w:val="20"/>
              </w:rPr>
              <w:t>1130003</w:t>
            </w:r>
            <w:r>
              <w:rPr>
                <w:rFonts w:hint="eastAsia"/>
                <w:color w:val="000000"/>
                <w:sz w:val="20"/>
                <w:szCs w:val="20"/>
              </w:rPr>
              <w:t>（2）</w:t>
            </w:r>
          </w:p>
        </w:tc>
      </w:tr>
      <w:tr w14:paraId="4685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3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D076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0976EFD">
            <w:pPr>
              <w:pStyle w:val="14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儿童哲学课程是针对学前教育专业学生所开设的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</w:t>
            </w:r>
            <w:r>
              <w:rPr>
                <w:rFonts w:hint="eastAsia"/>
              </w:rPr>
              <w:t>课程，</w:t>
            </w: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课程旨在</w:t>
            </w:r>
            <w:r>
              <w:rPr>
                <w:rFonts w:hint="eastAsia"/>
                <w:lang w:val="en-US" w:eastAsia="zh-CN"/>
              </w:rPr>
              <w:t>提高学前教育专业学生对</w:t>
            </w:r>
            <w:r>
              <w:rPr>
                <w:rFonts w:hint="eastAsia"/>
              </w:rPr>
              <w:t>儿童的批判性思维、创造性思维和情感发展</w:t>
            </w:r>
            <w:r>
              <w:rPr>
                <w:rFonts w:hint="eastAsia"/>
                <w:lang w:val="en-US" w:eastAsia="zh-CN"/>
              </w:rPr>
              <w:t>的进一步认识</w:t>
            </w:r>
            <w:r>
              <w:rPr>
                <w:rFonts w:hint="eastAsia"/>
              </w:rPr>
              <w:t>，帮助他们形成独立思考的能力，理解</w:t>
            </w:r>
            <w:r>
              <w:rPr>
                <w:rFonts w:hint="eastAsia"/>
                <w:lang w:val="en-US" w:eastAsia="zh-CN"/>
              </w:rPr>
              <w:t>儿童哲学的相关</w:t>
            </w:r>
            <w:r>
              <w:rPr>
                <w:rFonts w:hint="eastAsia"/>
              </w:rPr>
              <w:t>概念，并在日常生活中应用哲学思考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主要探究儿童哲学的内涵、理论基础与意义；全国不同国家和地区开展儿童哲学研究与实践的基本情况；回顾中国的儿童哲学历史；了解李普曼意义上的儿童哲学课程实践；就儿童哲学与教师教育、教师专业发展的讨论。本课程会将儿童哲学实践案例以及教学案例融入在教学中，帮助学生更为深入的理解儿童哲学课程。</w:t>
            </w:r>
          </w:p>
          <w:p w14:paraId="2BE0A5A5">
            <w:pPr>
              <w:pStyle w:val="14"/>
              <w:widowControl w:val="0"/>
              <w:jc w:val="both"/>
              <w:rPr>
                <w:rFonts w:hint="eastAsia"/>
              </w:rPr>
            </w:pPr>
          </w:p>
        </w:tc>
      </w:tr>
      <w:tr w14:paraId="1677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315F3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46B278B">
            <w:pPr>
              <w:widowControl w:val="0"/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3172A987">
            <w:pPr>
              <w:pStyle w:val="14"/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该课程适合学前教育</w:t>
            </w:r>
            <w:r>
              <w:rPr>
                <w:rFonts w:hint="eastAsia"/>
                <w:lang w:val="en-US" w:eastAsia="zh-CN"/>
              </w:rPr>
              <w:t>专业专升本四</w:t>
            </w:r>
            <w:r>
              <w:rPr>
                <w:rFonts w:hint="eastAsia"/>
              </w:rPr>
              <w:t>年级学生</w:t>
            </w:r>
            <w:r>
              <w:rPr>
                <w:rFonts w:hint="eastAsia"/>
                <w:lang w:val="en-US" w:eastAsia="zh-CN"/>
              </w:rPr>
              <w:t>对</w:t>
            </w:r>
            <w:r>
              <w:rPr>
                <w:rFonts w:hint="eastAsia"/>
              </w:rPr>
              <w:t>常见的</w:t>
            </w:r>
            <w:r>
              <w:rPr>
                <w:rFonts w:hint="eastAsia"/>
                <w:lang w:val="en-US" w:eastAsia="zh-CN"/>
              </w:rPr>
              <w:t>儿童</w:t>
            </w:r>
            <w:r>
              <w:rPr>
                <w:rFonts w:hint="eastAsia"/>
              </w:rPr>
              <w:t>哲学问题进行思考、对话和探究深入的理论学习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96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2C3B65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BE34C31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96875" cy="229235"/>
                  <wp:effectExtent l="0" t="0" r="3175" b="18415"/>
                  <wp:docPr id="4" name="图片 4" descr="208c21fb9c25d7a03766975ebf9f8a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8c21fb9c25d7a03766975ebf9f8a9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0C2B2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C1FEAD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69A3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649E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A85404F">
            <w:pPr>
              <w:widowControl w:val="0"/>
              <w:ind w:firstLine="240" w:firstLineChars="10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/>
                <w:kern w:val="2"/>
                <w:sz w:val="24"/>
                <w:u w:val="none"/>
                <w:lang w:val="en-US" w:eastAsia="zh-CN"/>
              </w:rPr>
              <w:drawing>
                <wp:inline distT="0" distB="0" distL="114300" distR="114300">
                  <wp:extent cx="529590" cy="298450"/>
                  <wp:effectExtent l="0" t="0" r="3810" b="6350"/>
                  <wp:docPr id="6" name="图片 3" descr="f6fea7e3b9ed39e417471d7ba02dc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f6fea7e3b9ed39e417471d7ba02dc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/>
                <w:kern w:val="2"/>
                <w:sz w:val="24"/>
                <w:u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193675</wp:posOffset>
                  </wp:positionH>
                  <wp:positionV relativeFrom="page">
                    <wp:posOffset>1614805</wp:posOffset>
                  </wp:positionV>
                  <wp:extent cx="529590" cy="298450"/>
                  <wp:effectExtent l="0" t="0" r="3810" b="6350"/>
                  <wp:wrapNone/>
                  <wp:docPr id="1" name="图片 3" descr="f6fea7e3b9ed39e417471d7ba02dc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f6fea7e3b9ed39e417471d7ba02dc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/>
                <w:kern w:val="2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default" w:ascii="仿宋_GB2312"/>
                <w:kern w:val="2"/>
                <w:sz w:val="24"/>
                <w:u w:val="no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193675</wp:posOffset>
                  </wp:positionH>
                  <wp:positionV relativeFrom="page">
                    <wp:posOffset>1614805</wp:posOffset>
                  </wp:positionV>
                  <wp:extent cx="529590" cy="298450"/>
                  <wp:effectExtent l="0" t="0" r="3810" b="6350"/>
                  <wp:wrapNone/>
                  <wp:docPr id="2" name="图片 3" descr="f6fea7e3b9ed39e417471d7ba02dc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f6fea7e3b9ed39e417471d7ba02dc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签名）</w:t>
            </w:r>
          </w:p>
        </w:tc>
        <w:tc>
          <w:tcPr>
            <w:tcW w:w="1425" w:type="dxa"/>
            <w:gridSpan w:val="2"/>
            <w:vAlign w:val="center"/>
          </w:tcPr>
          <w:p w14:paraId="71FE632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804737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084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5AC52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194352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5E315B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EB44E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F3E66E"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4" w:name="_GoBack"/>
      <w:bookmarkEnd w:id="4"/>
    </w:p>
    <w:p w14:paraId="3FDBA96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733B9B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931D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6C0671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DFF755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31BE1B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9EBE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62D32E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8B0047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D095CC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理解儿童哲学对幼儿、对教师的思维及专业发展的价值，了解幼儿园儿童哲学课程的主题、步骤、案例和模式，</w:t>
            </w:r>
            <w:r>
              <w:rPr>
                <w:rFonts w:hint="eastAsia"/>
                <w:bCs/>
                <w:lang w:val="en-US" w:eastAsia="zh-CN"/>
              </w:rPr>
              <w:t>形成设计儿童哲学课例、开发儿童哲学课程，研究儿童哲学项目的意识与能力。</w:t>
            </w:r>
          </w:p>
        </w:tc>
      </w:tr>
      <w:tr w14:paraId="2C1E6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784C12E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4AD69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5BD776E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认识儿童哲学的国际经验及启示，对比</w:t>
            </w:r>
            <w:r>
              <w:rPr>
                <w:rFonts w:hint="eastAsia" w:ascii="宋体" w:hAnsi="宋体"/>
                <w:bCs/>
              </w:rPr>
              <w:t>国内外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</w:t>
            </w:r>
            <w:r>
              <w:rPr>
                <w:rFonts w:hint="eastAsia" w:ascii="宋体" w:hAnsi="宋体"/>
                <w:bCs/>
              </w:rPr>
              <w:t>发展情况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掌握儿童哲学中国化的问题与路径，</w:t>
            </w:r>
            <w:r>
              <w:rPr>
                <w:rFonts w:hint="eastAsia"/>
                <w:bCs/>
              </w:rPr>
              <w:t>对</w:t>
            </w:r>
            <w:r>
              <w:rPr>
                <w:rFonts w:hint="eastAsia"/>
                <w:bCs/>
                <w:lang w:val="en-US" w:eastAsia="zh-CN"/>
              </w:rPr>
              <w:t>儿童哲学的</w:t>
            </w:r>
            <w:r>
              <w:rPr>
                <w:rFonts w:hint="eastAsia"/>
                <w:bCs/>
              </w:rPr>
              <w:t>独特教育价值有充分认知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明白</w:t>
            </w:r>
            <w:r>
              <w:rPr>
                <w:rFonts w:hint="eastAsia"/>
                <w:bCs/>
              </w:rPr>
              <w:t>作为教师必须保护和发展儿童这样的本能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认识建构童年哲学的必要性。</w:t>
            </w:r>
          </w:p>
        </w:tc>
      </w:tr>
      <w:tr w14:paraId="37FC7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9AAD6F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80D55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E80ED4F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掌握基于核心素养的儿童哲学课程体系建构策略，</w:t>
            </w:r>
            <w:r>
              <w:rPr>
                <w:rFonts w:hint="eastAsia" w:ascii="宋体" w:hAnsi="宋体"/>
                <w:bCs/>
              </w:rPr>
              <w:t>以及具有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幼儿园实施儿童哲学课程</w:t>
            </w:r>
            <w:r>
              <w:rPr>
                <w:rFonts w:hint="eastAsia" w:ascii="宋体" w:hAnsi="宋体"/>
                <w:bCs/>
              </w:rPr>
              <w:t>的能力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lang w:eastAsia="zh-CN"/>
              </w:rPr>
              <w:t>了解儿童哲学在澳大利亚、英国、欧洲大陆、拉丁美洲等地区的实践历程与现状</w:t>
            </w:r>
            <w:r>
              <w:rPr>
                <w:rFonts w:hint="eastAsia" w:ascii="宋体" w:hAnsi="宋体"/>
                <w:bCs/>
                <w:lang w:val="en-US" w:eastAsia="zh-CN"/>
              </w:rPr>
              <w:t>的基础上</w:t>
            </w:r>
            <w:r>
              <w:rPr>
                <w:rFonts w:hint="eastAsia" w:ascii="宋体" w:hAnsi="宋体"/>
                <w:bCs/>
                <w:lang w:eastAsia="zh-CN"/>
              </w:rPr>
              <w:t>，结合国外经验加强我国儿童哲学本土化的创造性探索。</w:t>
            </w:r>
          </w:p>
        </w:tc>
      </w:tr>
      <w:tr w14:paraId="3AD7E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BA4058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86D08E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56371E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能</w:t>
            </w:r>
            <w:r>
              <w:rPr>
                <w:rFonts w:hint="eastAsia"/>
                <w:bCs/>
                <w:lang w:val="en-US" w:eastAsia="zh-CN"/>
              </w:rPr>
              <w:t>根据儿童哲学课程体系，</w:t>
            </w:r>
            <w:r>
              <w:rPr>
                <w:rFonts w:hint="eastAsia"/>
                <w:bCs/>
              </w:rPr>
              <w:t>观察记录分析幼儿的行为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</w:rPr>
              <w:t>并以此为基础实施合理的支持和引导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会引导儿童对常见的哲学问题进行思考、对话和探究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运用儿童</w:t>
            </w:r>
            <w:r>
              <w:rPr>
                <w:rFonts w:hint="eastAsia" w:ascii="宋体" w:hAnsi="宋体"/>
                <w:bCs/>
                <w:lang w:val="en-US" w:eastAsia="zh-CN"/>
              </w:rPr>
              <w:t>哲学的量化和质性评价幼儿园儿童哲学</w:t>
            </w:r>
            <w:r>
              <w:rPr>
                <w:rFonts w:hint="eastAsia" w:ascii="宋体" w:hAnsi="宋体"/>
                <w:bCs/>
              </w:rPr>
              <w:t>活动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探索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儿童哲学多元形式载体实践。</w:t>
            </w:r>
          </w:p>
        </w:tc>
      </w:tr>
      <w:tr w14:paraId="422E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774175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2F2FE4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BB89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3DE398A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具有幼儿为本、终身学习的教育理念，勇于探索创新，强化为幼儿发展提供科学支持的理念，认同幼儿教师的独特性和专业性。</w:t>
            </w:r>
          </w:p>
        </w:tc>
      </w:tr>
      <w:tr w14:paraId="025D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5CF8F9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9F3FCC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67425D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具有开放包容、文明交流、国际视野的大国胸怀，有结合国家对于幼教的要求，向先进模式学习的意识。</w:t>
            </w:r>
          </w:p>
        </w:tc>
      </w:tr>
    </w:tbl>
    <w:p w14:paraId="1162314F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8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46B57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0" w:type="dxa"/>
          </w:tcPr>
          <w:p w14:paraId="082AF2A8">
            <w:pPr>
              <w:pStyle w:val="14"/>
              <w:widowControl w:val="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XQ02：教育情怀</w:t>
            </w:r>
          </w:p>
          <w:p w14:paraId="4CF4769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②具有人文底蕴、生命关怀和科学精神，践行幼儿为本和爱与自由理念，做幼儿健康成长的启蒙者和引路人。</w:t>
            </w:r>
          </w:p>
        </w:tc>
      </w:tr>
      <w:tr w14:paraId="6B3DA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0" w:type="dxa"/>
          </w:tcPr>
          <w:p w14:paraId="62C79025">
            <w:pPr>
              <w:pStyle w:val="14"/>
              <w:widowControl w:val="0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XQ06</w:t>
            </w:r>
            <w:r>
              <w:rPr>
                <w:rFonts w:hint="eastAsia" w:cs="Times New Roman"/>
                <w:sz w:val="21"/>
                <w:szCs w:val="21"/>
              </w:rPr>
              <w:t>：</w:t>
            </w:r>
            <w:r>
              <w:rPr>
                <w:rFonts w:hint="eastAsia" w:cs="Times New Roman"/>
                <w:sz w:val="21"/>
                <w:szCs w:val="21"/>
              </w:rPr>
              <w:t>综合育人</w:t>
            </w:r>
          </w:p>
          <w:p w14:paraId="0E9752D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③综合利用幼儿园、家庭和社区各种协同活动的方式方法，能够运用信息技术拓宽家园沟通交流的渠道和途径，积极主动与家长进行有效交流，充分利用社区综合资源全面育人。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</w:tr>
      <w:tr w14:paraId="29B31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80" w:type="dxa"/>
          </w:tcPr>
          <w:p w14:paraId="6ECF714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XQ07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</w:rPr>
              <w:t>学会反思</w:t>
            </w:r>
          </w:p>
          <w:p w14:paraId="6E0CEAF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④基本掌握教育研究的方法，并用于分析与研究幼儿教育实践问题，结合运用批判性思维与方法，尝试提出解决问题的思路与方法，并具有总结和提升实践经验的能力。</w:t>
            </w:r>
          </w:p>
        </w:tc>
      </w:tr>
    </w:tbl>
    <w:p w14:paraId="51B68EC7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694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7E5A9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CB5FE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1A8D8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F4262C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81C42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43B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1BE005">
            <w:pPr>
              <w:pStyle w:val="14"/>
            </w:pPr>
            <w:r>
              <w:rPr>
                <w:rFonts w:hint="eastAsia" w:cs="Times New Roman"/>
                <w:sz w:val="21"/>
                <w:szCs w:val="21"/>
              </w:rPr>
              <w:t>XQ02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5A19A7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F6EBA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2FE6BB2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1、理解儿童哲学对幼儿、对教师的思维及专业发展的价值，了解幼儿园儿童哲学课程的主题、步骤、案例和模式，</w:t>
            </w:r>
            <w:r>
              <w:rPr>
                <w:rFonts w:hint="eastAsia"/>
                <w:bCs/>
                <w:lang w:val="en-US" w:eastAsia="zh-CN"/>
              </w:rPr>
              <w:t>形成设计儿童哲学课例、开发儿童哲学课程，研究儿童哲学项目的意识与能力。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FE3C93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5BCF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FE3DB1">
            <w:pPr>
              <w:pStyle w:val="14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CC167A0">
            <w:pPr>
              <w:pStyle w:val="14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CD10B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7DCC369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2、认识儿童哲学的国际经验及启示，对比</w:t>
            </w:r>
            <w:r>
              <w:rPr>
                <w:rFonts w:hint="eastAsia" w:ascii="宋体" w:hAnsi="宋体"/>
                <w:bCs/>
              </w:rPr>
              <w:t>国内外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</w:t>
            </w:r>
            <w:r>
              <w:rPr>
                <w:rFonts w:hint="eastAsia" w:ascii="宋体" w:hAnsi="宋体"/>
                <w:bCs/>
              </w:rPr>
              <w:t>发展情况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掌握儿童哲学中国化的问题与路径，</w:t>
            </w:r>
            <w:r>
              <w:rPr>
                <w:rFonts w:hint="eastAsia"/>
                <w:bCs/>
              </w:rPr>
              <w:t>对</w:t>
            </w:r>
            <w:r>
              <w:rPr>
                <w:rFonts w:hint="eastAsia"/>
                <w:bCs/>
                <w:lang w:val="en-US" w:eastAsia="zh-CN"/>
              </w:rPr>
              <w:t>儿童哲学的</w:t>
            </w:r>
            <w:r>
              <w:rPr>
                <w:rFonts w:hint="eastAsia"/>
                <w:bCs/>
              </w:rPr>
              <w:t>独特教育价值有充分认知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明白</w:t>
            </w:r>
            <w:r>
              <w:rPr>
                <w:rFonts w:hint="eastAsia"/>
                <w:bCs/>
              </w:rPr>
              <w:t>作为教师必须保护和发展儿童这样的本能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认识建构童年哲学的必要性。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C568B4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FBF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517A37">
            <w:pPr>
              <w:pStyle w:val="14"/>
            </w:pPr>
            <w:r>
              <w:rPr>
                <w:rFonts w:hint="eastAsia" w:cs="Times New Roman"/>
                <w:sz w:val="21"/>
                <w:szCs w:val="21"/>
              </w:rPr>
              <w:t>XQ06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C2929B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sz w:val="21"/>
                <w:szCs w:val="21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160500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0F2BEA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3、掌握基于核心素养的儿童哲学课程体系建构策略，</w:t>
            </w:r>
            <w:r>
              <w:rPr>
                <w:rFonts w:hint="eastAsia" w:ascii="宋体" w:hAnsi="宋体"/>
                <w:bCs/>
              </w:rPr>
              <w:t>以及具有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幼儿园实施儿童哲学课程</w:t>
            </w:r>
            <w:r>
              <w:rPr>
                <w:rFonts w:hint="eastAsia" w:ascii="宋体" w:hAnsi="宋体"/>
                <w:bCs/>
              </w:rPr>
              <w:t>的能力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lang w:eastAsia="zh-CN"/>
              </w:rPr>
              <w:t>了解儿童哲学在澳大利亚、英国、欧洲大陆、拉丁美洲等地区的实践历程与现状</w:t>
            </w:r>
            <w:r>
              <w:rPr>
                <w:rFonts w:hint="eastAsia" w:ascii="宋体" w:hAnsi="宋体"/>
                <w:bCs/>
                <w:lang w:val="en-US" w:eastAsia="zh-CN"/>
              </w:rPr>
              <w:t>的基础上</w:t>
            </w:r>
            <w:r>
              <w:rPr>
                <w:rFonts w:hint="eastAsia" w:ascii="宋体" w:hAnsi="宋体"/>
                <w:bCs/>
                <w:lang w:eastAsia="zh-CN"/>
              </w:rPr>
              <w:t>，结合国外经验加强我国儿童哲学本土化的创造性探索。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B733BE8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4F04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14E652A">
            <w:pPr>
              <w:pStyle w:val="14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61F1FA49">
            <w:pPr>
              <w:pStyle w:val="14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9C122B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1C5CE3DE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4、</w:t>
            </w:r>
            <w:r>
              <w:rPr>
                <w:rFonts w:hint="eastAsia"/>
                <w:bCs/>
              </w:rPr>
              <w:t>能</w:t>
            </w:r>
            <w:r>
              <w:rPr>
                <w:rFonts w:hint="eastAsia"/>
                <w:bCs/>
                <w:lang w:val="en-US" w:eastAsia="zh-CN"/>
              </w:rPr>
              <w:t>根据儿童哲学课程体系，</w:t>
            </w:r>
            <w:r>
              <w:rPr>
                <w:rFonts w:hint="eastAsia"/>
                <w:bCs/>
              </w:rPr>
              <w:t>观察记录分析幼儿的行为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</w:rPr>
              <w:t>并以此为基础实施合理的支持和引导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会引导儿童对常见的哲学问题进行思考、对话和探究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运用儿童</w:t>
            </w:r>
            <w:r>
              <w:rPr>
                <w:rFonts w:hint="eastAsia" w:ascii="宋体" w:hAnsi="宋体"/>
                <w:bCs/>
                <w:lang w:val="en-US" w:eastAsia="zh-CN"/>
              </w:rPr>
              <w:t>哲学的量化和质性评价幼儿园儿童哲学</w:t>
            </w:r>
            <w:r>
              <w:rPr>
                <w:rFonts w:hint="eastAsia" w:ascii="宋体" w:hAnsi="宋体"/>
                <w:bCs/>
              </w:rPr>
              <w:t>活动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探索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儿童哲学多元形式载体实践。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C5E1422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587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7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8A8DC1D">
            <w:pPr>
              <w:pStyle w:val="14"/>
              <w:jc w:val="center"/>
              <w:rPr>
                <w:rFonts w:hint="eastAsia" w:cs="Times New Roman"/>
                <w:sz w:val="21"/>
                <w:szCs w:val="21"/>
              </w:rPr>
            </w:pPr>
          </w:p>
          <w:p w14:paraId="3902E0E1">
            <w:pPr>
              <w:pStyle w:val="14"/>
              <w:jc w:val="center"/>
              <w:rPr>
                <w:rFonts w:hint="eastAsia" w:cs="Times New Roman"/>
                <w:sz w:val="21"/>
                <w:szCs w:val="21"/>
              </w:rPr>
            </w:pPr>
          </w:p>
          <w:p w14:paraId="45A74A6E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</w:rPr>
              <w:t>XQ07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D8D105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018FE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/>
            <w:vAlign w:val="center"/>
          </w:tcPr>
          <w:p w14:paraId="744A9D45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5、具有幼儿为本、终身学习的教育理念，勇于探索创新，强化为幼儿发展提供科学支持的理念，认同幼儿教师的独特性和专业性。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F09935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68A6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7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C2C361C">
            <w:pPr>
              <w:pStyle w:val="14"/>
              <w:jc w:val="center"/>
              <w:rPr>
                <w:rFonts w:hint="eastAsia" w:cs="Times New Roman"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0D144AD">
            <w:pPr>
              <w:pStyle w:val="14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967942B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2D9710B3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6、具有开放包容、文明交流、国际视野的大国胸怀，有结合国家对于幼教的要求，向先进模式学习的意识。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1BED54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</w:tbl>
    <w:p w14:paraId="6AA5859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BDF8E22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194F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0473E97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第一单元  儿童哲学的内涵与意义（理论6学时）</w:t>
            </w:r>
          </w:p>
          <w:p w14:paraId="654479E4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知识点：</w:t>
            </w:r>
          </w:p>
          <w:p w14:paraId="48725696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儿童哲学的概念。</w:t>
            </w:r>
          </w:p>
          <w:p w14:paraId="015D9DB2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儿童哲学的哲学基础。</w:t>
            </w:r>
          </w:p>
          <w:p w14:paraId="305012E5">
            <w:pPr>
              <w:pStyle w:val="14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3.</w:t>
            </w:r>
            <w:r>
              <w:rPr>
                <w:rFonts w:hint="eastAsia" w:cs="Times New Roman"/>
              </w:rPr>
              <w:t>建构童年哲学的必要性与可能性。</w:t>
            </w:r>
          </w:p>
          <w:p w14:paraId="3858E47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</w:t>
            </w:r>
            <w:r>
              <w:rPr>
                <w:rFonts w:cs="Times New Roman"/>
              </w:rPr>
              <w:t>要求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439C2E85">
            <w:pPr>
              <w:pStyle w:val="14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知道儿童哲学的概念。</w:t>
            </w:r>
          </w:p>
          <w:p w14:paraId="3BD2CEB7">
            <w:pPr>
              <w:pStyle w:val="14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掌握儿童哲学的哲学基础。</w:t>
            </w:r>
          </w:p>
          <w:p w14:paraId="63C449FA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理解建构童年哲学的必要性和可能性。</w:t>
            </w:r>
          </w:p>
          <w:p w14:paraId="1AC97A35">
            <w:pPr>
              <w:pStyle w:val="14"/>
              <w:widowControl w:val="0"/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3DB1550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建构童年哲学的必要性和可能性。</w:t>
            </w:r>
          </w:p>
          <w:p w14:paraId="0A641999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</w:p>
          <w:p w14:paraId="380E33FC">
            <w:pPr>
              <w:pStyle w:val="14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第二单元  儿童哲学的国际经验及启示（理论6学时）</w:t>
            </w:r>
          </w:p>
          <w:p w14:paraId="7A684582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75DB7393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儿童哲学在澳大利亚的演进历程与现状。</w:t>
            </w:r>
          </w:p>
          <w:p w14:paraId="56D735A0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儿童哲学在英国的实践现状。</w:t>
            </w:r>
          </w:p>
          <w:p w14:paraId="38A13493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儿童哲学在欧洲大陆的实践历程与现状。</w:t>
            </w:r>
          </w:p>
          <w:p w14:paraId="31FEC2CF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60F8D1B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知道儿童哲学在澳大利亚、英国、欧洲大陆、拉丁美洲的实践现状。</w:t>
            </w:r>
          </w:p>
          <w:p w14:paraId="7B040C15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default" w:ascii="宋体" w:hAnsi="宋体"/>
                <w:bCs/>
                <w:lang w:val="en-US" w:eastAsia="zh-CN"/>
              </w:rPr>
              <w:t>掌握儿童哲学的国际经验并对现实思考与启示。</w:t>
            </w:r>
          </w:p>
          <w:p w14:paraId="178352EB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2E926BE7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借鉴国际经验以及对本国实际情况的启示。</w:t>
            </w:r>
          </w:p>
          <w:p w14:paraId="5608F126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</w:p>
          <w:p w14:paraId="04BA9AA0">
            <w:pPr>
              <w:pStyle w:val="14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第三单元  儿童哲学在中国：过去、现在与未来（理论6学时）</w:t>
            </w:r>
          </w:p>
          <w:p w14:paraId="3565A5E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5448AC4F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中国儿童哲学的实践现状</w:t>
            </w:r>
            <w:r>
              <w:rPr>
                <w:rFonts w:hint="eastAsia" w:ascii="宋体" w:hAnsi="宋体"/>
                <w:bCs/>
                <w:lang w:val="en-US" w:eastAsia="zh-CN"/>
              </w:rPr>
              <w:t>。</w:t>
            </w:r>
          </w:p>
          <w:p w14:paraId="6EBE0C79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lang w:val="en-US" w:eastAsia="zh-CN"/>
              </w:rPr>
              <w:t>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儿童哲学的中国化。</w:t>
            </w:r>
          </w:p>
          <w:p w14:paraId="1D6B1EF9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default" w:ascii="宋体" w:hAnsi="宋体"/>
                <w:bCs/>
                <w:lang w:val="en-US" w:eastAsia="zh-CN"/>
              </w:rPr>
              <w:t>儿童哲学在中国的研究。</w:t>
            </w:r>
          </w:p>
          <w:p w14:paraId="1135514F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5B493A5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1.知道中国儿童则化学的实践现状。</w:t>
            </w:r>
          </w:p>
          <w:p w14:paraId="58B7885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2.掌握儿童哲学中国化的问题与路径。</w:t>
            </w:r>
          </w:p>
          <w:p w14:paraId="63797EC7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3.了解中国儿童哲学研究的三十年回顾。</w:t>
            </w:r>
          </w:p>
          <w:p w14:paraId="78CDB8C5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教学难点：</w:t>
            </w:r>
          </w:p>
          <w:p w14:paraId="603AAD3B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1.儿童哲学中国化的问题与路径。</w:t>
            </w:r>
          </w:p>
          <w:p w14:paraId="21218DB9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2FD552C1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第四单元  儿童哲学课程建构与实践探索（理论8学时）</w:t>
            </w:r>
          </w:p>
          <w:p w14:paraId="1887828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0937DD80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儿童哲学课程体系的建构。</w:t>
            </w:r>
          </w:p>
          <w:p w14:paraId="7B70A135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儿童哲学探究团体的重构与创新。</w:t>
            </w:r>
          </w:p>
          <w:p w14:paraId="51D1B60F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儿童哲学相关文本分析。</w:t>
            </w:r>
          </w:p>
          <w:p w14:paraId="0199F233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儿童哲学探究及策略。</w:t>
            </w:r>
          </w:p>
          <w:p w14:paraId="67493CD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儿童哲学的量化和质性评价。</w:t>
            </w:r>
          </w:p>
          <w:p w14:paraId="2D2FB81B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6F1A0CB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知道儿童哲学课程体系的建构。</w:t>
            </w:r>
          </w:p>
          <w:p w14:paraId="5449392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掌握儿童哲学研究团体的重构与创新。</w:t>
            </w:r>
          </w:p>
          <w:p w14:paraId="7052D38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能够对文本进行分析并提出哲学问题的思考。</w:t>
            </w:r>
          </w:p>
          <w:p w14:paraId="644A6178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能对团体的哲学研究进行质性评价。</w:t>
            </w:r>
          </w:p>
          <w:p w14:paraId="68BA5945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78F2F7C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.对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文本进行分析并提出哲学问题的思考。</w:t>
            </w:r>
          </w:p>
          <w:p w14:paraId="3351504D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对团体的哲学研究进行质性评价。</w:t>
            </w:r>
          </w:p>
          <w:p w14:paraId="40E001EE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  <w:p w14:paraId="64761CD7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第五单元  儿童哲学与教师专业发展（理论6学时）</w:t>
            </w:r>
          </w:p>
          <w:p w14:paraId="662E8268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4E3075B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儿童哲学教师的知识结构及师资培育的优化策略。</w:t>
            </w:r>
          </w:p>
          <w:p w14:paraId="6AF01DEF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教师即哲学家：理论依据、内涵与路径。</w:t>
            </w:r>
          </w:p>
          <w:p w14:paraId="326A2BA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教师教育中的哲学。</w:t>
            </w:r>
          </w:p>
          <w:p w14:paraId="693C40A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7DDCADE2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知道儿童哲学教师的知识结构及师资培育的优化策略。</w:t>
            </w:r>
          </w:p>
          <w:p w14:paraId="0F7CD2A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掌握教师即哲学家：理论依据、内涵与路径。</w:t>
            </w:r>
          </w:p>
          <w:p w14:paraId="18F90D5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67D290F7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儿童哲学教师的知识结构及师资培育的优化策略。</w:t>
            </w:r>
          </w:p>
        </w:tc>
      </w:tr>
    </w:tbl>
    <w:p w14:paraId="18EA4494">
      <w:pPr>
        <w:pStyle w:val="17"/>
        <w:spacing w:before="81" w:after="163"/>
        <w:rPr>
          <w:rFonts w:hint="eastAsia"/>
        </w:rPr>
      </w:pPr>
    </w:p>
    <w:p w14:paraId="797656C6">
      <w:pPr>
        <w:pStyle w:val="17"/>
        <w:numPr>
          <w:ilvl w:val="0"/>
          <w:numId w:val="2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099"/>
      </w:tblGrid>
      <w:tr w14:paraId="108F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E6989A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60D1029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1B4F92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772F36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7F252C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ADADBC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76C277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8E89373">
            <w:pPr>
              <w:pStyle w:val="13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981EC1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E49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356FD0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第一单元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儿童哲学的内涵与意义</w:t>
            </w:r>
          </w:p>
        </w:tc>
        <w:tc>
          <w:tcPr>
            <w:tcW w:w="1100" w:type="dxa"/>
            <w:vAlign w:val="center"/>
          </w:tcPr>
          <w:p w14:paraId="585E02D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02922EF0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E896269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3A4B51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77C8D60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8D0BB71">
            <w:pPr>
              <w:pStyle w:val="14"/>
            </w:pPr>
          </w:p>
        </w:tc>
      </w:tr>
      <w:tr w14:paraId="126D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BB4A01C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第二单元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儿童哲学的国际经验及启示</w:t>
            </w:r>
          </w:p>
        </w:tc>
        <w:tc>
          <w:tcPr>
            <w:tcW w:w="1100" w:type="dxa"/>
            <w:vAlign w:val="center"/>
          </w:tcPr>
          <w:p w14:paraId="445788B4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AD3BC9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13FB074A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2BD1459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596C4ED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1BC25A8">
            <w:pPr>
              <w:pStyle w:val="14"/>
            </w:pPr>
          </w:p>
        </w:tc>
      </w:tr>
      <w:tr w14:paraId="0AA8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8F1CB8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第三单元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儿童哲学在中国：过去、现在与未来</w:t>
            </w:r>
          </w:p>
        </w:tc>
        <w:tc>
          <w:tcPr>
            <w:tcW w:w="1100" w:type="dxa"/>
            <w:vAlign w:val="center"/>
          </w:tcPr>
          <w:p w14:paraId="666ADBC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6672D9E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418FF1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BA9F8B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D0C2FA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4859C36">
            <w:pPr>
              <w:pStyle w:val="14"/>
            </w:pPr>
          </w:p>
        </w:tc>
      </w:tr>
      <w:tr w14:paraId="54D5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08665B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第四单元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儿童哲学课程建构与实践探索</w:t>
            </w:r>
          </w:p>
        </w:tc>
        <w:tc>
          <w:tcPr>
            <w:tcW w:w="1100" w:type="dxa"/>
            <w:vAlign w:val="center"/>
          </w:tcPr>
          <w:p w14:paraId="711ACC9A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AA8DF3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61E041E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7C02A8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093A540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94D758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632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302ABE8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第五单元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儿童哲学与教师专业发展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3057D8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B33B5D0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4E7313E">
            <w:pPr>
              <w:pStyle w:val="14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18984E61">
            <w:pPr>
              <w:pStyle w:val="14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06C036C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4E3F946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19658C47">
      <w:pPr>
        <w:pStyle w:val="17"/>
        <w:numPr>
          <w:ilvl w:val="0"/>
          <w:numId w:val="0"/>
        </w:numPr>
        <w:spacing w:before="81" w:after="163"/>
        <w:rPr>
          <w:rFonts w:hint="eastAsia"/>
        </w:rPr>
      </w:pPr>
    </w:p>
    <w:p w14:paraId="03317E21"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D8D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EB985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6586A2C4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B13E6C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DB53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808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0BB918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32EB4FE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6AB1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0C1286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F3391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92CF8D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08E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FC6170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  儿童哲学的内涵与意义</w:t>
            </w:r>
          </w:p>
        </w:tc>
        <w:tc>
          <w:tcPr>
            <w:tcW w:w="2755" w:type="dxa"/>
            <w:vAlign w:val="center"/>
          </w:tcPr>
          <w:p w14:paraId="725E0794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课堂讲授、实例分析、小组讨论</w:t>
            </w:r>
          </w:p>
        </w:tc>
        <w:tc>
          <w:tcPr>
            <w:tcW w:w="1738" w:type="dxa"/>
            <w:vAlign w:val="center"/>
          </w:tcPr>
          <w:p w14:paraId="5A8F5093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平时表现、课后作业、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作品展示</w:t>
            </w:r>
          </w:p>
        </w:tc>
        <w:tc>
          <w:tcPr>
            <w:tcW w:w="725" w:type="dxa"/>
            <w:vAlign w:val="center"/>
          </w:tcPr>
          <w:p w14:paraId="33D6442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7E51DE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65677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C17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007E3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  儿童哲学的国际经验及启示</w:t>
            </w:r>
          </w:p>
        </w:tc>
        <w:tc>
          <w:tcPr>
            <w:tcW w:w="2755" w:type="dxa"/>
            <w:vAlign w:val="center"/>
          </w:tcPr>
          <w:p w14:paraId="0933450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归纳讲解法、任务驱动法、案例分析法、互动讨论</w:t>
            </w:r>
          </w:p>
        </w:tc>
        <w:tc>
          <w:tcPr>
            <w:tcW w:w="1738" w:type="dxa"/>
            <w:vAlign w:val="center"/>
          </w:tcPr>
          <w:p w14:paraId="05678CA7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6A789B1E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568D8081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20E6569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A8B386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E1E026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198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722630E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第三单元 儿童哲学在中国：过去、现在与未来</w:t>
            </w:r>
          </w:p>
        </w:tc>
        <w:tc>
          <w:tcPr>
            <w:tcW w:w="2755" w:type="dxa"/>
            <w:vAlign w:val="center"/>
          </w:tcPr>
          <w:p w14:paraId="709D8B5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案例分析法、互动讨论、情境体验（练习）法、实训作业法</w:t>
            </w:r>
          </w:p>
        </w:tc>
        <w:tc>
          <w:tcPr>
            <w:tcW w:w="1738" w:type="dxa"/>
            <w:vAlign w:val="center"/>
          </w:tcPr>
          <w:p w14:paraId="14964D6E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平时表现、课后作业、作品展示</w:t>
            </w:r>
          </w:p>
        </w:tc>
        <w:tc>
          <w:tcPr>
            <w:tcW w:w="725" w:type="dxa"/>
            <w:vAlign w:val="center"/>
          </w:tcPr>
          <w:p w14:paraId="2BBF5A5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1B6C48A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BA70E3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3C0A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F96F6CA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第四单元 儿童哲学课程建构与实践探索</w:t>
            </w:r>
          </w:p>
        </w:tc>
        <w:tc>
          <w:tcPr>
            <w:tcW w:w="2755" w:type="dxa"/>
            <w:vAlign w:val="center"/>
          </w:tcPr>
          <w:p w14:paraId="4B8B6577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案任务驱动法、案例分析法</w:t>
            </w:r>
          </w:p>
          <w:p w14:paraId="22AE36D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08EE889D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2AD7C5DF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24E466DB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4F42927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0C5C68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3A6262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165A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D891174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第五单元 儿童哲学与教师专业发展</w:t>
            </w:r>
          </w:p>
        </w:tc>
        <w:tc>
          <w:tcPr>
            <w:tcW w:w="2755" w:type="dxa"/>
            <w:vAlign w:val="center"/>
          </w:tcPr>
          <w:p w14:paraId="423A97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  <w:t>课堂讲授、课堂练习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、案例分析法、互动讨论</w:t>
            </w:r>
          </w:p>
        </w:tc>
        <w:tc>
          <w:tcPr>
            <w:tcW w:w="1738" w:type="dxa"/>
            <w:vAlign w:val="center"/>
          </w:tcPr>
          <w:p w14:paraId="150F49D3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作品展示</w:t>
            </w:r>
          </w:p>
          <w:p w14:paraId="1C45518A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2228E153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3FBFA91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799023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3145D8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7FCF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F115CC4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B3F656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3D2553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C5D39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B5B600A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5792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B007E7C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结合中国传统文化特别是诸子百家哲学的基础上，从课程、教材、教学三个维度上探索儿童哲学本土化的路径，在儿童哲学的实施路径与策略中，开展基于中国传统智慧的儿童哲学教学，在孔子对话教学视野下儿童哲学探究团体的重构与创新中，强化“儿童哲学中国化”的命题，使儿童哲学更好的服务于中国幼儿园课程的真实需要，传承与发扬中国哲学的优良传统与当代成就，形成儿童哲学的中国风格与气象。</w:t>
            </w:r>
          </w:p>
          <w:p w14:paraId="0D3FA0D7">
            <w:pPr>
              <w:pStyle w:val="14"/>
              <w:widowControl w:val="0"/>
              <w:ind w:firstLine="420" w:firstLineChars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从两个层面推进儿童哲学的中国化：实践层面，借助中国哲学的文本、命题和概念，与儿童开展中国式的哲学探究；理论层面，充分挖掘中国传统智慧中的积极因素，建构出新的童年理论。同时让学生</w:t>
            </w:r>
            <w:r>
              <w:rPr>
                <w:rFonts w:hint="eastAsia"/>
                <w:color w:val="000000"/>
                <w:sz w:val="21"/>
                <w:szCs w:val="21"/>
              </w:rPr>
              <w:t>掌握自主学习、人际沟通、团队协作等专业技能，在学前教育专业领域内形成创新精神和实践能力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帮助学生树立崇高的职业理想、规范职业操守，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争</w:t>
            </w:r>
            <w:r>
              <w:rPr>
                <w:rFonts w:hint="eastAsia"/>
                <w:color w:val="000000"/>
                <w:sz w:val="21"/>
                <w:szCs w:val="21"/>
              </w:rPr>
              <w:t>做一位“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四有</w:t>
            </w:r>
            <w:r>
              <w:rPr>
                <w:rFonts w:hint="eastAsia"/>
                <w:color w:val="000000"/>
                <w:sz w:val="21"/>
                <w:szCs w:val="21"/>
              </w:rPr>
              <w:t>好教师”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43B752C2">
      <w:pPr>
        <w:pStyle w:val="16"/>
        <w:numPr>
          <w:ilvl w:val="0"/>
          <w:numId w:val="3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2" w:name="OLE_LINK4"/>
      <w:bookmarkStart w:id="3" w:name="OLE_LINK3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190"/>
        <w:gridCol w:w="1134"/>
        <w:gridCol w:w="1134"/>
        <w:gridCol w:w="920"/>
      </w:tblGrid>
      <w:tr w14:paraId="22FE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69F59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5608F3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57C26BC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458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A6110A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09A5B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4B7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10849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92ECC3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589514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6A5DFCE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72F070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B3CC77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0" w:type="dxa"/>
            <w:vMerge w:val="continue"/>
            <w:tcBorders>
              <w:right w:val="single" w:color="auto" w:sz="12" w:space="0"/>
            </w:tcBorders>
          </w:tcPr>
          <w:p w14:paraId="77D162F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FBA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887AC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759C591A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694CA55">
            <w:pPr>
              <w:pStyle w:val="14"/>
              <w:widowControl w:val="0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儿童哲学论文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0FF2DCC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 w14:paraId="6644761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34" w:type="dxa"/>
            <w:vAlign w:val="center"/>
          </w:tcPr>
          <w:p w14:paraId="29B0A63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57F127C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756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4C9E4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05ADD6C8"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463DF0D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儿童哲学主题活动设计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64CDC95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0405A40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4EC35068">
            <w:pPr>
              <w:pStyle w:val="14"/>
              <w:widowControl w:val="0"/>
              <w:jc w:val="left"/>
            </w:pPr>
            <w:r>
              <w:t xml:space="preserve">    </w:t>
            </w:r>
            <w:r>
              <w:rPr>
                <w:rFonts w:hint="eastAsia"/>
              </w:rPr>
              <w:t>20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7BAF8AC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F25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7F7D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0EFA6D50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1A1DC21">
            <w:pPr>
              <w:pStyle w:val="14"/>
              <w:widowControl w:val="0"/>
            </w:pPr>
            <w:r>
              <w:rPr>
                <w:rFonts w:hint="eastAsia"/>
              </w:rPr>
              <w:t>小组汇报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3C366A7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0A18FACB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14:paraId="5ED5E66F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3852D36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F8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C2149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14:paraId="4049B8CC"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6551C68">
            <w:pPr>
              <w:pStyle w:val="14"/>
              <w:widowControl w:val="0"/>
            </w:pPr>
            <w:r>
              <w:rPr>
                <w:rFonts w:hint="eastAsia"/>
              </w:rPr>
              <w:t>课后作业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68062DA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0A4C22F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6BBFF29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0" w:type="dxa"/>
            <w:tcBorders>
              <w:right w:val="single" w:color="auto" w:sz="12" w:space="0"/>
            </w:tcBorders>
            <w:vAlign w:val="center"/>
          </w:tcPr>
          <w:p w14:paraId="64B0702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782D4B3F">
      <w:pPr>
        <w:pStyle w:val="16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</w:p>
    <w:bookmarkEnd w:id="2"/>
    <w:bookmarkEnd w:id="3"/>
    <w:p w14:paraId="528499B9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C624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B245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F1B245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24F31"/>
    <w:multiLevelType w:val="singleLevel"/>
    <w:tmpl w:val="D4E24F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14982E"/>
    <w:multiLevelType w:val="multilevel"/>
    <w:tmpl w:val="051498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A6655AE"/>
    <w:multiLevelType w:val="singleLevel"/>
    <w:tmpl w:val="6A6655A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DdjYTc1NTNjNDAzNmY1YzdkYWVmMDQyYjZjYm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0CD3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17F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3BD8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5C2B0C"/>
    <w:rsid w:val="016E63C2"/>
    <w:rsid w:val="01AE3368"/>
    <w:rsid w:val="01AF2CFD"/>
    <w:rsid w:val="01DE1773"/>
    <w:rsid w:val="01F33470"/>
    <w:rsid w:val="024B0C39"/>
    <w:rsid w:val="02B250DA"/>
    <w:rsid w:val="02ED4364"/>
    <w:rsid w:val="032633D2"/>
    <w:rsid w:val="03681C3C"/>
    <w:rsid w:val="03BE360A"/>
    <w:rsid w:val="040F20B8"/>
    <w:rsid w:val="04785EAF"/>
    <w:rsid w:val="04BC5CE3"/>
    <w:rsid w:val="05453FE3"/>
    <w:rsid w:val="05573D16"/>
    <w:rsid w:val="05CF1AFF"/>
    <w:rsid w:val="05DE61E6"/>
    <w:rsid w:val="05F9301F"/>
    <w:rsid w:val="06EE4206"/>
    <w:rsid w:val="07375BAD"/>
    <w:rsid w:val="074C116C"/>
    <w:rsid w:val="075A37ED"/>
    <w:rsid w:val="079E5C2C"/>
    <w:rsid w:val="07EA0E72"/>
    <w:rsid w:val="07F25F78"/>
    <w:rsid w:val="08030185"/>
    <w:rsid w:val="0845254C"/>
    <w:rsid w:val="0869623A"/>
    <w:rsid w:val="08B60D54"/>
    <w:rsid w:val="08D07A74"/>
    <w:rsid w:val="09213342"/>
    <w:rsid w:val="09E85885"/>
    <w:rsid w:val="09EA5159"/>
    <w:rsid w:val="09F45FD8"/>
    <w:rsid w:val="0A1A64AA"/>
    <w:rsid w:val="0A3C34DB"/>
    <w:rsid w:val="0A51342A"/>
    <w:rsid w:val="0A5135FF"/>
    <w:rsid w:val="0A8128A6"/>
    <w:rsid w:val="0AE222D4"/>
    <w:rsid w:val="0AF65D7F"/>
    <w:rsid w:val="0B00769A"/>
    <w:rsid w:val="0B492353"/>
    <w:rsid w:val="0B9F0780"/>
    <w:rsid w:val="0BAB6B6A"/>
    <w:rsid w:val="0BF32A1B"/>
    <w:rsid w:val="0C281F69"/>
    <w:rsid w:val="0C687DF1"/>
    <w:rsid w:val="0C6D2071"/>
    <w:rsid w:val="0C741652"/>
    <w:rsid w:val="0C8C0749"/>
    <w:rsid w:val="0C9920F0"/>
    <w:rsid w:val="0CCF6888"/>
    <w:rsid w:val="0D814026"/>
    <w:rsid w:val="0DC7755F"/>
    <w:rsid w:val="0DCE0349"/>
    <w:rsid w:val="0E3E3CC5"/>
    <w:rsid w:val="0F130CAE"/>
    <w:rsid w:val="0F136F00"/>
    <w:rsid w:val="0F227143"/>
    <w:rsid w:val="0F285A4E"/>
    <w:rsid w:val="0F384BB8"/>
    <w:rsid w:val="0F5B2655"/>
    <w:rsid w:val="0FC1070A"/>
    <w:rsid w:val="10282537"/>
    <w:rsid w:val="10B65D95"/>
    <w:rsid w:val="10BD2C22"/>
    <w:rsid w:val="10C83D1A"/>
    <w:rsid w:val="10D80401"/>
    <w:rsid w:val="11673533"/>
    <w:rsid w:val="119F4A7B"/>
    <w:rsid w:val="11AC7198"/>
    <w:rsid w:val="11DA3777"/>
    <w:rsid w:val="11F61740"/>
    <w:rsid w:val="12665599"/>
    <w:rsid w:val="12A54313"/>
    <w:rsid w:val="12B10F0A"/>
    <w:rsid w:val="133D09EF"/>
    <w:rsid w:val="13517E62"/>
    <w:rsid w:val="13763F01"/>
    <w:rsid w:val="13C506C1"/>
    <w:rsid w:val="14294AD0"/>
    <w:rsid w:val="14773A8D"/>
    <w:rsid w:val="14812B5E"/>
    <w:rsid w:val="14C842E9"/>
    <w:rsid w:val="14F72E20"/>
    <w:rsid w:val="150505A4"/>
    <w:rsid w:val="150A2B53"/>
    <w:rsid w:val="154D47EE"/>
    <w:rsid w:val="1571672E"/>
    <w:rsid w:val="158D108E"/>
    <w:rsid w:val="15995C85"/>
    <w:rsid w:val="15B825AF"/>
    <w:rsid w:val="15D50434"/>
    <w:rsid w:val="16105F47"/>
    <w:rsid w:val="17A70B2D"/>
    <w:rsid w:val="17FD6CA6"/>
    <w:rsid w:val="185D743E"/>
    <w:rsid w:val="185F31B6"/>
    <w:rsid w:val="18694035"/>
    <w:rsid w:val="188449CB"/>
    <w:rsid w:val="189310B2"/>
    <w:rsid w:val="18EB0DA5"/>
    <w:rsid w:val="18EB2C9C"/>
    <w:rsid w:val="18ED431E"/>
    <w:rsid w:val="193261D5"/>
    <w:rsid w:val="19622F5E"/>
    <w:rsid w:val="19766A09"/>
    <w:rsid w:val="19866810"/>
    <w:rsid w:val="19BB441C"/>
    <w:rsid w:val="1A074196"/>
    <w:rsid w:val="1A7B1DFD"/>
    <w:rsid w:val="1AE7638C"/>
    <w:rsid w:val="1AEE0821"/>
    <w:rsid w:val="1B9118D8"/>
    <w:rsid w:val="1BAD5FE6"/>
    <w:rsid w:val="1BF36964"/>
    <w:rsid w:val="1C233DD9"/>
    <w:rsid w:val="1C5E5533"/>
    <w:rsid w:val="1C950C62"/>
    <w:rsid w:val="1CD81789"/>
    <w:rsid w:val="1D0460DA"/>
    <w:rsid w:val="1DE57CB9"/>
    <w:rsid w:val="1E4F7829"/>
    <w:rsid w:val="1EFF4DAB"/>
    <w:rsid w:val="1F073C5F"/>
    <w:rsid w:val="1F114ADE"/>
    <w:rsid w:val="1F2952CA"/>
    <w:rsid w:val="1F6751C9"/>
    <w:rsid w:val="1F8654CC"/>
    <w:rsid w:val="1FD75D28"/>
    <w:rsid w:val="1FE04BDC"/>
    <w:rsid w:val="202F346E"/>
    <w:rsid w:val="20CE712B"/>
    <w:rsid w:val="21CD2F3E"/>
    <w:rsid w:val="21FF50C2"/>
    <w:rsid w:val="226118D9"/>
    <w:rsid w:val="22934188"/>
    <w:rsid w:val="22987C80"/>
    <w:rsid w:val="22B83BEE"/>
    <w:rsid w:val="22D12F02"/>
    <w:rsid w:val="22EE5862"/>
    <w:rsid w:val="2303104A"/>
    <w:rsid w:val="234F5BD5"/>
    <w:rsid w:val="237A5348"/>
    <w:rsid w:val="239C52BE"/>
    <w:rsid w:val="23E136EE"/>
    <w:rsid w:val="24192CCC"/>
    <w:rsid w:val="24A106B2"/>
    <w:rsid w:val="25C24D84"/>
    <w:rsid w:val="25DA0320"/>
    <w:rsid w:val="25E35426"/>
    <w:rsid w:val="26105AEF"/>
    <w:rsid w:val="264B4D7A"/>
    <w:rsid w:val="26551754"/>
    <w:rsid w:val="265A02EE"/>
    <w:rsid w:val="26A36964"/>
    <w:rsid w:val="26B748D1"/>
    <w:rsid w:val="275F6D2E"/>
    <w:rsid w:val="27A532E1"/>
    <w:rsid w:val="27F402F7"/>
    <w:rsid w:val="28577949"/>
    <w:rsid w:val="289335D2"/>
    <w:rsid w:val="28D9041B"/>
    <w:rsid w:val="28E868D5"/>
    <w:rsid w:val="291F58C6"/>
    <w:rsid w:val="294206B6"/>
    <w:rsid w:val="295959FF"/>
    <w:rsid w:val="297665B1"/>
    <w:rsid w:val="29982084"/>
    <w:rsid w:val="29CC61D1"/>
    <w:rsid w:val="2A6B7798"/>
    <w:rsid w:val="2A7704AC"/>
    <w:rsid w:val="2B195446"/>
    <w:rsid w:val="2B1D186C"/>
    <w:rsid w:val="2B365FF8"/>
    <w:rsid w:val="2B580837"/>
    <w:rsid w:val="2B677BFF"/>
    <w:rsid w:val="2B7663F5"/>
    <w:rsid w:val="2BA56CDA"/>
    <w:rsid w:val="2BB86A0D"/>
    <w:rsid w:val="2C1C0C2A"/>
    <w:rsid w:val="2C2E6CCF"/>
    <w:rsid w:val="2C4B7881"/>
    <w:rsid w:val="2C5125D5"/>
    <w:rsid w:val="2C550700"/>
    <w:rsid w:val="2C5F50DB"/>
    <w:rsid w:val="2C7C2910"/>
    <w:rsid w:val="2CF5279B"/>
    <w:rsid w:val="2D140821"/>
    <w:rsid w:val="2D236108"/>
    <w:rsid w:val="2D360531"/>
    <w:rsid w:val="2D6055AE"/>
    <w:rsid w:val="2D727090"/>
    <w:rsid w:val="2DEA4E78"/>
    <w:rsid w:val="2E8452CD"/>
    <w:rsid w:val="2E982D28"/>
    <w:rsid w:val="2E9C2616"/>
    <w:rsid w:val="2EB106E5"/>
    <w:rsid w:val="2F963509"/>
    <w:rsid w:val="303E14AB"/>
    <w:rsid w:val="30640F12"/>
    <w:rsid w:val="306C7DC6"/>
    <w:rsid w:val="309F019C"/>
    <w:rsid w:val="30D140CD"/>
    <w:rsid w:val="31091AB9"/>
    <w:rsid w:val="31093867"/>
    <w:rsid w:val="312B1A2F"/>
    <w:rsid w:val="319F615C"/>
    <w:rsid w:val="31EC5663"/>
    <w:rsid w:val="31EF671F"/>
    <w:rsid w:val="32BF0681"/>
    <w:rsid w:val="32C56DD8"/>
    <w:rsid w:val="32D103B5"/>
    <w:rsid w:val="32D54349"/>
    <w:rsid w:val="3317670F"/>
    <w:rsid w:val="33A50D76"/>
    <w:rsid w:val="33C87A09"/>
    <w:rsid w:val="341964B7"/>
    <w:rsid w:val="34515C51"/>
    <w:rsid w:val="34655258"/>
    <w:rsid w:val="34A044E2"/>
    <w:rsid w:val="34B166F0"/>
    <w:rsid w:val="35417A73"/>
    <w:rsid w:val="358642D1"/>
    <w:rsid w:val="35A16764"/>
    <w:rsid w:val="35AD335B"/>
    <w:rsid w:val="35BF4E3C"/>
    <w:rsid w:val="35D90FA8"/>
    <w:rsid w:val="366854D4"/>
    <w:rsid w:val="37076A9B"/>
    <w:rsid w:val="371F3DE4"/>
    <w:rsid w:val="3727713D"/>
    <w:rsid w:val="378D0F2E"/>
    <w:rsid w:val="37B26A07"/>
    <w:rsid w:val="37BC7885"/>
    <w:rsid w:val="37FC5ED4"/>
    <w:rsid w:val="38397128"/>
    <w:rsid w:val="3885236D"/>
    <w:rsid w:val="38FA099B"/>
    <w:rsid w:val="39180AEB"/>
    <w:rsid w:val="392C4597"/>
    <w:rsid w:val="39A44A75"/>
    <w:rsid w:val="39A66CD4"/>
    <w:rsid w:val="39B0341A"/>
    <w:rsid w:val="39D30EB6"/>
    <w:rsid w:val="3A410516"/>
    <w:rsid w:val="3A6C3EF9"/>
    <w:rsid w:val="3A8B1791"/>
    <w:rsid w:val="3A916B44"/>
    <w:rsid w:val="3ACA050B"/>
    <w:rsid w:val="3B1E43B3"/>
    <w:rsid w:val="3B20012B"/>
    <w:rsid w:val="3B345984"/>
    <w:rsid w:val="3B36794F"/>
    <w:rsid w:val="3B602C1D"/>
    <w:rsid w:val="3B9D352A"/>
    <w:rsid w:val="3C073099"/>
    <w:rsid w:val="3C1E41B5"/>
    <w:rsid w:val="3C281562"/>
    <w:rsid w:val="3CD52CE1"/>
    <w:rsid w:val="3D344362"/>
    <w:rsid w:val="3D4A148F"/>
    <w:rsid w:val="3D962926"/>
    <w:rsid w:val="3DCE0312"/>
    <w:rsid w:val="3DFB372B"/>
    <w:rsid w:val="3E6D71BA"/>
    <w:rsid w:val="3E90381A"/>
    <w:rsid w:val="3ED03C16"/>
    <w:rsid w:val="3EF618CF"/>
    <w:rsid w:val="3F1952CB"/>
    <w:rsid w:val="3F2B709E"/>
    <w:rsid w:val="3F4F7231"/>
    <w:rsid w:val="3F632CDC"/>
    <w:rsid w:val="3F78542D"/>
    <w:rsid w:val="3FC7326B"/>
    <w:rsid w:val="3FE12556"/>
    <w:rsid w:val="3FE45BCB"/>
    <w:rsid w:val="3FEC0F24"/>
    <w:rsid w:val="401D2E8B"/>
    <w:rsid w:val="40226D9C"/>
    <w:rsid w:val="40330901"/>
    <w:rsid w:val="4047615A"/>
    <w:rsid w:val="405A5969"/>
    <w:rsid w:val="40AB493B"/>
    <w:rsid w:val="40E025BF"/>
    <w:rsid w:val="410F2E6A"/>
    <w:rsid w:val="4151103E"/>
    <w:rsid w:val="41C64050"/>
    <w:rsid w:val="420267DC"/>
    <w:rsid w:val="4205007B"/>
    <w:rsid w:val="423224F1"/>
    <w:rsid w:val="423D5A66"/>
    <w:rsid w:val="424B1F31"/>
    <w:rsid w:val="42BA5FBF"/>
    <w:rsid w:val="42E303BC"/>
    <w:rsid w:val="43571729"/>
    <w:rsid w:val="43713C1A"/>
    <w:rsid w:val="437B05F4"/>
    <w:rsid w:val="43B21B3C"/>
    <w:rsid w:val="43CE2748"/>
    <w:rsid w:val="43D321DE"/>
    <w:rsid w:val="44224F14"/>
    <w:rsid w:val="4430136C"/>
    <w:rsid w:val="44380293"/>
    <w:rsid w:val="445B21D4"/>
    <w:rsid w:val="44A75419"/>
    <w:rsid w:val="45965BB9"/>
    <w:rsid w:val="45E2495B"/>
    <w:rsid w:val="463902F3"/>
    <w:rsid w:val="46873754"/>
    <w:rsid w:val="46F74436"/>
    <w:rsid w:val="46FD7572"/>
    <w:rsid w:val="471A1424"/>
    <w:rsid w:val="47425828"/>
    <w:rsid w:val="47674C91"/>
    <w:rsid w:val="47BB52E5"/>
    <w:rsid w:val="47CA1B4A"/>
    <w:rsid w:val="48194E10"/>
    <w:rsid w:val="48C83E64"/>
    <w:rsid w:val="49867CF3"/>
    <w:rsid w:val="499D0AA3"/>
    <w:rsid w:val="49FD6207"/>
    <w:rsid w:val="4A895CED"/>
    <w:rsid w:val="4AB0382B"/>
    <w:rsid w:val="4AF84C20"/>
    <w:rsid w:val="4B661B8A"/>
    <w:rsid w:val="4B663938"/>
    <w:rsid w:val="4BE13907"/>
    <w:rsid w:val="4BEE392E"/>
    <w:rsid w:val="4BF4363A"/>
    <w:rsid w:val="4C0C0983"/>
    <w:rsid w:val="4C465518"/>
    <w:rsid w:val="4C651E42"/>
    <w:rsid w:val="4CAD5597"/>
    <w:rsid w:val="4CB6269D"/>
    <w:rsid w:val="4D1C1C6E"/>
    <w:rsid w:val="4D6E4D26"/>
    <w:rsid w:val="4DCD5EF0"/>
    <w:rsid w:val="4DDF3E76"/>
    <w:rsid w:val="4E1458CD"/>
    <w:rsid w:val="4E1F4272"/>
    <w:rsid w:val="4E86609F"/>
    <w:rsid w:val="4E9E5ADF"/>
    <w:rsid w:val="4ED212E5"/>
    <w:rsid w:val="4F0973FC"/>
    <w:rsid w:val="4F5F0DCA"/>
    <w:rsid w:val="4FFD05E3"/>
    <w:rsid w:val="500B0F52"/>
    <w:rsid w:val="503F0BFC"/>
    <w:rsid w:val="5076286F"/>
    <w:rsid w:val="50C8299F"/>
    <w:rsid w:val="50CB2C2F"/>
    <w:rsid w:val="51714DE5"/>
    <w:rsid w:val="51782617"/>
    <w:rsid w:val="51B66C9C"/>
    <w:rsid w:val="51D57A6A"/>
    <w:rsid w:val="52143C1E"/>
    <w:rsid w:val="525766D1"/>
    <w:rsid w:val="525A3ACB"/>
    <w:rsid w:val="533D58C6"/>
    <w:rsid w:val="535727FA"/>
    <w:rsid w:val="53794425"/>
    <w:rsid w:val="537B019D"/>
    <w:rsid w:val="537D2167"/>
    <w:rsid w:val="539F032F"/>
    <w:rsid w:val="53B73DB0"/>
    <w:rsid w:val="53CE651E"/>
    <w:rsid w:val="53FD6E04"/>
    <w:rsid w:val="549F7EBB"/>
    <w:rsid w:val="54EF47C6"/>
    <w:rsid w:val="552A3C28"/>
    <w:rsid w:val="555313D1"/>
    <w:rsid w:val="556C5FEF"/>
    <w:rsid w:val="557E3F74"/>
    <w:rsid w:val="55894DF3"/>
    <w:rsid w:val="558B318E"/>
    <w:rsid w:val="55A41C2D"/>
    <w:rsid w:val="55C909CB"/>
    <w:rsid w:val="55E52434"/>
    <w:rsid w:val="560426CB"/>
    <w:rsid w:val="56135C26"/>
    <w:rsid w:val="5627460C"/>
    <w:rsid w:val="564231F4"/>
    <w:rsid w:val="564927D4"/>
    <w:rsid w:val="569868B5"/>
    <w:rsid w:val="56C8194B"/>
    <w:rsid w:val="572648C3"/>
    <w:rsid w:val="57420F63"/>
    <w:rsid w:val="57DF519E"/>
    <w:rsid w:val="57F16C7F"/>
    <w:rsid w:val="58072A29"/>
    <w:rsid w:val="583D1EC5"/>
    <w:rsid w:val="586B07E0"/>
    <w:rsid w:val="588625E1"/>
    <w:rsid w:val="58D72319"/>
    <w:rsid w:val="58E6255C"/>
    <w:rsid w:val="58F702C5"/>
    <w:rsid w:val="590B1FC3"/>
    <w:rsid w:val="590D7AE9"/>
    <w:rsid w:val="591C1ADA"/>
    <w:rsid w:val="59255664"/>
    <w:rsid w:val="59266DFD"/>
    <w:rsid w:val="59AC5554"/>
    <w:rsid w:val="59F62261"/>
    <w:rsid w:val="5A250E62"/>
    <w:rsid w:val="5A2E1C4B"/>
    <w:rsid w:val="5A690D4F"/>
    <w:rsid w:val="5A792654"/>
    <w:rsid w:val="5A7D0C9E"/>
    <w:rsid w:val="5AB20948"/>
    <w:rsid w:val="5AE02D8C"/>
    <w:rsid w:val="5B6559BA"/>
    <w:rsid w:val="5BDC37A3"/>
    <w:rsid w:val="5C110619"/>
    <w:rsid w:val="5C182A2D"/>
    <w:rsid w:val="5C841E70"/>
    <w:rsid w:val="5C9D16DC"/>
    <w:rsid w:val="5D2109C8"/>
    <w:rsid w:val="5D9E1657"/>
    <w:rsid w:val="5DDB01B6"/>
    <w:rsid w:val="5E483371"/>
    <w:rsid w:val="5E734892"/>
    <w:rsid w:val="5E91682F"/>
    <w:rsid w:val="5F0B6879"/>
    <w:rsid w:val="5FCF3D4A"/>
    <w:rsid w:val="6028345A"/>
    <w:rsid w:val="608B2F3F"/>
    <w:rsid w:val="60CC2038"/>
    <w:rsid w:val="60D62EB6"/>
    <w:rsid w:val="611F6817"/>
    <w:rsid w:val="61365606"/>
    <w:rsid w:val="61416163"/>
    <w:rsid w:val="61BF394A"/>
    <w:rsid w:val="61F2554D"/>
    <w:rsid w:val="62285994"/>
    <w:rsid w:val="62377985"/>
    <w:rsid w:val="627E3805"/>
    <w:rsid w:val="62946B85"/>
    <w:rsid w:val="62C751AC"/>
    <w:rsid w:val="634C3904"/>
    <w:rsid w:val="63A252D2"/>
    <w:rsid w:val="63AB062A"/>
    <w:rsid w:val="63F773CC"/>
    <w:rsid w:val="64BE438D"/>
    <w:rsid w:val="64D4595F"/>
    <w:rsid w:val="64D92F75"/>
    <w:rsid w:val="65075D34"/>
    <w:rsid w:val="650C7DC2"/>
    <w:rsid w:val="65562818"/>
    <w:rsid w:val="65896749"/>
    <w:rsid w:val="658B4F13"/>
    <w:rsid w:val="65BD4645"/>
    <w:rsid w:val="66044022"/>
    <w:rsid w:val="662621EA"/>
    <w:rsid w:val="66442670"/>
    <w:rsid w:val="66825BA1"/>
    <w:rsid w:val="66A23F66"/>
    <w:rsid w:val="66CA1754"/>
    <w:rsid w:val="6707201B"/>
    <w:rsid w:val="673426E5"/>
    <w:rsid w:val="678A67A9"/>
    <w:rsid w:val="679338AF"/>
    <w:rsid w:val="67BA708E"/>
    <w:rsid w:val="67BF28F6"/>
    <w:rsid w:val="67DF6AF4"/>
    <w:rsid w:val="67F400C3"/>
    <w:rsid w:val="68000819"/>
    <w:rsid w:val="68684D3C"/>
    <w:rsid w:val="68721717"/>
    <w:rsid w:val="68776D2D"/>
    <w:rsid w:val="68866CEE"/>
    <w:rsid w:val="68E63EB3"/>
    <w:rsid w:val="68F14D31"/>
    <w:rsid w:val="69012425"/>
    <w:rsid w:val="693B5FAC"/>
    <w:rsid w:val="69531548"/>
    <w:rsid w:val="69851BE5"/>
    <w:rsid w:val="69D41F5D"/>
    <w:rsid w:val="69F745C9"/>
    <w:rsid w:val="6A331379"/>
    <w:rsid w:val="6BA46508"/>
    <w:rsid w:val="6BD85D34"/>
    <w:rsid w:val="6C3C4515"/>
    <w:rsid w:val="6C621D6D"/>
    <w:rsid w:val="6C8B0FF9"/>
    <w:rsid w:val="6D050DAB"/>
    <w:rsid w:val="6D231231"/>
    <w:rsid w:val="6D3B5042"/>
    <w:rsid w:val="6D5E04BB"/>
    <w:rsid w:val="6D747CDF"/>
    <w:rsid w:val="6D910891"/>
    <w:rsid w:val="6DF332FA"/>
    <w:rsid w:val="6E217E67"/>
    <w:rsid w:val="6E4C2A0A"/>
    <w:rsid w:val="6E4E6782"/>
    <w:rsid w:val="6EAB7730"/>
    <w:rsid w:val="6ECB7DD2"/>
    <w:rsid w:val="6ED70525"/>
    <w:rsid w:val="6F174B77"/>
    <w:rsid w:val="6F1E65D4"/>
    <w:rsid w:val="6F266C86"/>
    <w:rsid w:val="6F5042C2"/>
    <w:rsid w:val="6F647724"/>
    <w:rsid w:val="6F9626C1"/>
    <w:rsid w:val="6FAD572A"/>
    <w:rsid w:val="709F32C5"/>
    <w:rsid w:val="70D94A29"/>
    <w:rsid w:val="71257C6E"/>
    <w:rsid w:val="717E737E"/>
    <w:rsid w:val="71D065E1"/>
    <w:rsid w:val="721101B2"/>
    <w:rsid w:val="724E611F"/>
    <w:rsid w:val="7267156F"/>
    <w:rsid w:val="72AB5F51"/>
    <w:rsid w:val="72BD3ED6"/>
    <w:rsid w:val="7363682B"/>
    <w:rsid w:val="736B56E0"/>
    <w:rsid w:val="73B21561"/>
    <w:rsid w:val="73F25E01"/>
    <w:rsid w:val="742A10F7"/>
    <w:rsid w:val="742A559B"/>
    <w:rsid w:val="74316312"/>
    <w:rsid w:val="74344CDF"/>
    <w:rsid w:val="74867354"/>
    <w:rsid w:val="74B135C7"/>
    <w:rsid w:val="756643B1"/>
    <w:rsid w:val="7641097A"/>
    <w:rsid w:val="76984A3E"/>
    <w:rsid w:val="76C05D43"/>
    <w:rsid w:val="77304C77"/>
    <w:rsid w:val="773A13C5"/>
    <w:rsid w:val="77471FC0"/>
    <w:rsid w:val="77AF3E74"/>
    <w:rsid w:val="77D0645A"/>
    <w:rsid w:val="780F13C8"/>
    <w:rsid w:val="784604CA"/>
    <w:rsid w:val="787D3DCF"/>
    <w:rsid w:val="78FB12B4"/>
    <w:rsid w:val="793F73F3"/>
    <w:rsid w:val="79492020"/>
    <w:rsid w:val="798B2638"/>
    <w:rsid w:val="7A4867FC"/>
    <w:rsid w:val="7A49604F"/>
    <w:rsid w:val="7A721A4A"/>
    <w:rsid w:val="7AC57DCC"/>
    <w:rsid w:val="7AF64429"/>
    <w:rsid w:val="7B120A9B"/>
    <w:rsid w:val="7B4A02D1"/>
    <w:rsid w:val="7B7D4202"/>
    <w:rsid w:val="7B9D6653"/>
    <w:rsid w:val="7BC92FC1"/>
    <w:rsid w:val="7C385448"/>
    <w:rsid w:val="7C8F7F7C"/>
    <w:rsid w:val="7CA26617"/>
    <w:rsid w:val="7CB3663D"/>
    <w:rsid w:val="7CC731AE"/>
    <w:rsid w:val="7CE85FF3"/>
    <w:rsid w:val="7D125B01"/>
    <w:rsid w:val="7D3B6123"/>
    <w:rsid w:val="7D5176F5"/>
    <w:rsid w:val="7D890C83"/>
    <w:rsid w:val="7DEB7B49"/>
    <w:rsid w:val="7E77762F"/>
    <w:rsid w:val="7E7E09BD"/>
    <w:rsid w:val="7E885398"/>
    <w:rsid w:val="7E8F4979"/>
    <w:rsid w:val="7E9F0934"/>
    <w:rsid w:val="7F4F4108"/>
    <w:rsid w:val="7F6D458E"/>
    <w:rsid w:val="7F9B10FB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1996</Words>
  <Characters>2111</Characters>
  <Lines>6</Lines>
  <Paragraphs>1</Paragraphs>
  <TotalTime>0</TotalTime>
  <ScaleCrop>false</ScaleCrop>
  <LinksUpToDate>false</LinksUpToDate>
  <CharactersWithSpaces>2151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多多</cp:lastModifiedBy>
  <cp:lastPrinted>2023-11-21T00:52:00Z</cp:lastPrinted>
  <dcterms:modified xsi:type="dcterms:W3CDTF">2025-02-21T15:28:35Z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1377B73E509C4888A6C2ADA78D67D314_13</vt:lpwstr>
  </property>
</Properties>
</file>