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EBABD">
      <w:pPr>
        <w:jc w:val="center"/>
        <w:rPr>
          <w:rFonts w:ascii="黑体" w:hAnsi="黑体" w:eastAsia="黑体"/>
          <w:bCs/>
          <w:sz w:val="32"/>
          <w:szCs w:val="32"/>
        </w:rPr>
      </w:pPr>
      <w:r>
        <w:rPr>
          <w:rFonts w:hint="eastAsia" w:ascii="黑体" w:hAnsi="黑体" w:eastAsia="黑体"/>
          <w:bCs/>
          <w:sz w:val="32"/>
          <w:szCs w:val="32"/>
        </w:rPr>
        <w:t>《  大学物理  》本科课程教学大纲</w:t>
      </w:r>
    </w:p>
    <w:p w14:paraId="2A1EC10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022"/>
        <w:gridCol w:w="1104"/>
        <w:gridCol w:w="381"/>
        <w:gridCol w:w="1032"/>
        <w:gridCol w:w="786"/>
      </w:tblGrid>
      <w:tr w14:paraId="6BE2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AFBBF1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0A96B79">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（中文）大学物理</w:t>
            </w:r>
          </w:p>
        </w:tc>
      </w:tr>
      <w:tr w14:paraId="358C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5F431F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F7D6B1F">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（英文）</w:t>
            </w:r>
            <w:r>
              <w:rPr>
                <w:rFonts w:hint="default" w:ascii="Times New Roman" w:hAnsi="Times New Roman" w:eastAsia="宋体" w:cs="Times New Roman"/>
                <w:color w:val="000000" w:themeColor="text1"/>
                <w:sz w:val="21"/>
                <w:szCs w:val="18"/>
                <w14:textFill>
                  <w14:solidFill>
                    <w14:schemeClr w14:val="tx1"/>
                  </w14:solidFill>
                </w14:textFill>
              </w:rPr>
              <w:t>University Physics</w:t>
            </w:r>
          </w:p>
        </w:tc>
      </w:tr>
      <w:tr w14:paraId="65A4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853A6F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0E9EB0B">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eastAsia" w:ascii="Times New Roman" w:hAnsi="Times New Roman" w:eastAsia="黑体" w:cs="Times New Roman"/>
                <w:color w:val="000000" w:themeColor="text1"/>
                <w:sz w:val="21"/>
                <w:szCs w:val="18"/>
                <w:lang w:val="en-US" w:eastAsia="zh-CN"/>
                <w14:textFill>
                  <w14:solidFill>
                    <w14:schemeClr w14:val="tx1"/>
                  </w14:solidFill>
                </w14:textFill>
              </w:rPr>
              <w:t>1130038</w:t>
            </w:r>
          </w:p>
        </w:tc>
        <w:tc>
          <w:tcPr>
            <w:tcW w:w="2126" w:type="dxa"/>
            <w:gridSpan w:val="2"/>
            <w:vAlign w:val="center"/>
          </w:tcPr>
          <w:p w14:paraId="3267CCB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14:paraId="5CBD4287">
            <w:pPr>
              <w:widowControl w:val="0"/>
              <w:jc w:val="left"/>
              <w:rPr>
                <w:rFonts w:hint="eastAsia"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3</w:t>
            </w:r>
          </w:p>
        </w:tc>
      </w:tr>
      <w:tr w14:paraId="54C1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49CAAA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37E43D6">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022" w:type="dxa"/>
            <w:vAlign w:val="center"/>
          </w:tcPr>
          <w:p w14:paraId="4C6B3E4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104" w:type="dxa"/>
            <w:vAlign w:val="center"/>
          </w:tcPr>
          <w:p w14:paraId="677CEECD">
            <w:pPr>
              <w:widowControl w:val="0"/>
              <w:jc w:val="left"/>
              <w:rPr>
                <w:rFonts w:hint="default"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413" w:type="dxa"/>
            <w:gridSpan w:val="2"/>
            <w:vAlign w:val="center"/>
          </w:tcPr>
          <w:p w14:paraId="1075C2B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7025BB79">
            <w:pPr>
              <w:widowControl w:val="0"/>
              <w:jc w:val="left"/>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14:paraId="2B7A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4F221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B3DF723">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126" w:type="dxa"/>
            <w:gridSpan w:val="2"/>
            <w:vAlign w:val="center"/>
          </w:tcPr>
          <w:p w14:paraId="6E87145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14:paraId="3EEA846E">
            <w:pPr>
              <w:widowControl w:val="0"/>
              <w:jc w:val="left"/>
              <w:rPr>
                <w:rFonts w:hint="default" w:ascii="宋体" w:hAnsi="宋体" w:eastAsia="宋体" w:cs="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理工类本科专业，一年级</w:t>
            </w:r>
            <w:r>
              <w:rPr>
                <w:rFonts w:hint="eastAsia" w:cs="宋体"/>
                <w:color w:val="000000" w:themeColor="text1"/>
                <w:sz w:val="21"/>
                <w:szCs w:val="18"/>
                <w:lang w:eastAsia="zh-CN"/>
                <w14:textFill>
                  <w14:solidFill>
                    <w14:schemeClr w14:val="tx1"/>
                  </w14:solidFill>
                </w14:textFill>
              </w:rPr>
              <w:t>或二年级</w:t>
            </w:r>
          </w:p>
        </w:tc>
      </w:tr>
      <w:tr w14:paraId="0871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0D19AE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B2C7D6B">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126" w:type="dxa"/>
            <w:gridSpan w:val="2"/>
            <w:vAlign w:val="center"/>
          </w:tcPr>
          <w:p w14:paraId="45FD12D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14:paraId="3CA15C48">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14:paraId="2E49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E4A9F8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46E2AAB">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14:textFill>
                  <w14:solidFill>
                    <w14:schemeClr w14:val="tx1"/>
                  </w14:solidFill>
                </w14:textFill>
              </w:rPr>
              <w:t>大学物理学</w:t>
            </w:r>
            <w:r>
              <w:rPr>
                <w:rFonts w:hint="eastAsia" w:ascii="宋体" w:hAnsi="宋体" w:eastAsia="宋体" w:cs="宋体"/>
                <w:color w:val="000000" w:themeColor="text1"/>
                <w:sz w:val="21"/>
                <w:szCs w:val="18"/>
                <w:lang w:eastAsia="zh-CN"/>
                <w14:textFill>
                  <w14:solidFill>
                    <w14:schemeClr w14:val="tx1"/>
                  </w14:solidFill>
                </w14:textFill>
              </w:rPr>
              <w:t>》王少杰等</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hint="default" w:ascii="Times New Roman" w:hAnsi="Times New Roman" w:eastAsia="宋体" w:cs="Times New Roman"/>
                <w:color w:val="000000" w:themeColor="text1"/>
                <w:sz w:val="21"/>
                <w:szCs w:val="18"/>
                <w14:textFill>
                  <w14:solidFill>
                    <w14:schemeClr w14:val="tx1"/>
                  </w14:solidFill>
                </w14:textFill>
              </w:rPr>
              <w:t>9787040606300</w:t>
            </w:r>
            <w:r>
              <w:rPr>
                <w:rFonts w:hint="eastAsia" w:ascii="Times New Roman" w:hAnsi="Times New Roman" w:cs="Times New Roman"/>
                <w:color w:val="000000" w:themeColor="text1"/>
                <w:sz w:val="21"/>
                <w:szCs w:val="18"/>
                <w:lang w:eastAsia="zh-CN"/>
                <w14:textFill>
                  <w14:solidFill>
                    <w14:schemeClr w14:val="tx1"/>
                  </w14:solidFill>
                </w14:textFill>
              </w:rPr>
              <w:t>，高等教育出版社，第五版</w:t>
            </w:r>
          </w:p>
        </w:tc>
        <w:tc>
          <w:tcPr>
            <w:tcW w:w="1413" w:type="dxa"/>
            <w:gridSpan w:val="2"/>
            <w:vAlign w:val="center"/>
          </w:tcPr>
          <w:p w14:paraId="1FDCEA1A">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14:paraId="726E484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3BC69247">
            <w:pPr>
              <w:widowControl w:val="0"/>
              <w:jc w:val="left"/>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14:paraId="3740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638514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1C1E344">
            <w:pPr>
              <w:widowControl w:val="0"/>
              <w:jc w:val="left"/>
              <w:rPr>
                <w:rFonts w:hint="default" w:ascii="黑体" w:hAnsi="黑体" w:eastAsia="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高等数学（</w:t>
            </w:r>
            <w:r>
              <w:rPr>
                <w:rFonts w:hint="eastAsia" w:cs="宋体"/>
                <w:color w:val="000000" w:themeColor="text1"/>
                <w:sz w:val="21"/>
                <w:szCs w:val="18"/>
                <w:lang w:val="en-US" w:eastAsia="zh-CN"/>
                <w14:textFill>
                  <w14:solidFill>
                    <w14:schemeClr w14:val="tx1"/>
                  </w14:solidFill>
                </w14:textFill>
              </w:rPr>
              <w:t>1</w:t>
            </w:r>
            <w:r>
              <w:rPr>
                <w:rFonts w:hint="eastAsia" w:ascii="宋体" w:hAnsi="宋体" w:eastAsia="宋体" w:cs="宋体"/>
                <w:color w:val="000000" w:themeColor="text1"/>
                <w:sz w:val="21"/>
                <w:szCs w:val="18"/>
                <w14:textFill>
                  <w14:solidFill>
                    <w14:schemeClr w14:val="tx1"/>
                  </w14:solidFill>
                </w14:textFill>
              </w:rPr>
              <w:t>）</w:t>
            </w:r>
            <w:r>
              <w:rPr>
                <w:rFonts w:hint="eastAsia" w:cs="宋体"/>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p>
        </w:tc>
      </w:tr>
      <w:tr w14:paraId="3EFE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7291FCE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AB7672E">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14:paraId="2C7A55D4">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《大学物理》</w:t>
            </w:r>
            <w:r>
              <w:rPr>
                <w:rFonts w:hint="eastAsia" w:cs="宋体"/>
                <w:color w:val="000000" w:themeColor="text1"/>
                <w:sz w:val="21"/>
                <w:szCs w:val="18"/>
                <w:lang w:val="en-US" w:eastAsia="zh-CN"/>
                <w14:textFill>
                  <w14:solidFill>
                    <w14:schemeClr w14:val="tx1"/>
                  </w14:solidFill>
                </w14:textFill>
              </w:rPr>
              <w:t>课程系统地阐述了物理学中力学和</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的基本概念、基本理论和基本方法。力学包括质点运动学、牛顿定律、动量定理和能量守恒定律、刚体转动；</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包括</w:t>
            </w:r>
            <w:r>
              <w:rPr>
                <w:rFonts w:hint="eastAsia" w:cs="宋体"/>
                <w:color w:val="000000" w:themeColor="text1"/>
                <w:sz w:val="21"/>
                <w:szCs w:val="18"/>
                <w:lang w:eastAsia="zh-CN"/>
                <w14:textFill>
                  <w14:solidFill>
                    <w14:schemeClr w14:val="tx1"/>
                  </w14:solidFill>
                </w14:textFill>
              </w:rPr>
              <w:t>电荷与电场、电流与磁场。</w:t>
            </w:r>
          </w:p>
          <w:p w14:paraId="51D625BB">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通过本课程的学习，使学生掌握力学和电磁学的基本概念、基本理论和基本规律，能运用物理学知识解释自然科学问题，通过进一步深入学习能够分析和解决专业工程中的遇到的物理问题。</w:t>
            </w:r>
          </w:p>
          <w:p w14:paraId="44C7D1CE">
            <w:pPr>
              <w:widowControl w:val="0"/>
              <w:ind w:firstLine="420" w:firstLineChars="200"/>
              <w:jc w:val="left"/>
              <w:rPr>
                <w:rFonts w:hint="eastAsia" w:ascii="黑体" w:hAnsi="黑体" w:eastAsia="黑体"/>
                <w:color w:val="000000" w:themeColor="text1"/>
                <w:sz w:val="21"/>
                <w:szCs w:val="18"/>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eastAsia" w:cs="宋体" w:asciiTheme="majorEastAsia" w:hAnsiTheme="majorEastAsia"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eastAsia" w:cs="宋体"/>
                <w:color w:val="000000" w:themeColor="text1"/>
                <w:sz w:val="21"/>
                <w:szCs w:val="18"/>
                <w:lang w:eastAsia="zh-CN"/>
                <w14:textFill>
                  <w14:solidFill>
                    <w14:schemeClr w14:val="tx1"/>
                  </w14:solidFill>
                </w14:textFill>
              </w:rPr>
              <w:t>。</w:t>
            </w:r>
          </w:p>
        </w:tc>
      </w:tr>
      <w:tr w14:paraId="1E3C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6" w:hRule="atLeast"/>
        </w:trPr>
        <w:tc>
          <w:tcPr>
            <w:tcW w:w="1691" w:type="dxa"/>
            <w:tcBorders>
              <w:left w:val="single" w:color="auto" w:sz="12" w:space="0"/>
              <w:bottom w:val="double" w:color="auto" w:sz="4" w:space="0"/>
            </w:tcBorders>
            <w:shd w:val="clear" w:color="auto" w:fill="auto"/>
            <w:vAlign w:val="center"/>
          </w:tcPr>
          <w:p w14:paraId="0EF07D7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AA1CDCF">
            <w:pPr>
              <w:widowControl w:val="0"/>
              <w:jc w:val="left"/>
              <w:rPr>
                <w:rFonts w:hint="eastAsia" w:ascii="黑体" w:hAnsi="黑体" w:eastAsia="黑体"/>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8"/>
                <w14:textFill>
                  <w14:solidFill>
                    <w14:schemeClr w14:val="tx1"/>
                  </w14:solidFill>
                </w14:textFill>
              </w:rPr>
              <w:t>适合理工类本科</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并且培养计划中大学物理只上一个学期的专业，建议</w:t>
            </w:r>
            <w:r>
              <w:rPr>
                <w:rFonts w:hint="eastAsia" w:asciiTheme="minorEastAsia" w:hAnsiTheme="minorEastAsia" w:eastAsiaTheme="minorEastAsia" w:cstheme="minorEastAsia"/>
                <w:color w:val="000000" w:themeColor="text1"/>
                <w:sz w:val="21"/>
                <w:szCs w:val="18"/>
                <w14:textFill>
                  <w14:solidFill>
                    <w14:schemeClr w14:val="tx1"/>
                  </w14:solidFill>
                </w14:textFill>
              </w:rPr>
              <w:t>在一年级第二学期</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或二年级第一学期</w:t>
            </w:r>
            <w:r>
              <w:rPr>
                <w:rFonts w:hint="eastAsia" w:asciiTheme="minorEastAsia" w:hAnsiTheme="minorEastAsia" w:eastAsiaTheme="minorEastAsia" w:cstheme="minorEastAsia"/>
                <w:color w:val="000000" w:themeColor="text1"/>
                <w:sz w:val="21"/>
                <w:szCs w:val="18"/>
                <w14:textFill>
                  <w14:solidFill>
                    <w14:schemeClr w14:val="tx1"/>
                  </w14:solidFill>
                </w14:textFill>
              </w:rPr>
              <w:t>学习，要求</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1"/>
                <w:szCs w:val="18"/>
                <w14:textFill>
                  <w14:solidFill>
                    <w14:schemeClr w14:val="tx1"/>
                  </w14:solidFill>
                </w14:textFill>
              </w:rPr>
              <w:t>高中物理和高等数学的基础。</w:t>
            </w:r>
          </w:p>
        </w:tc>
      </w:tr>
      <w:tr w14:paraId="08B3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88BC25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282" w:type="dxa"/>
            <w:gridSpan w:val="2"/>
            <w:tcBorders>
              <w:top w:val="double" w:color="auto" w:sz="4" w:space="0"/>
            </w:tcBorders>
            <w:vAlign w:val="center"/>
          </w:tcPr>
          <w:p w14:paraId="2EFFDE9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3360" behindDoc="0" locked="0" layoutInCell="1" allowOverlap="1">
                  <wp:simplePos x="0" y="0"/>
                  <wp:positionH relativeFrom="column">
                    <wp:posOffset>471170</wp:posOffset>
                  </wp:positionH>
                  <wp:positionV relativeFrom="paragraph">
                    <wp:posOffset>22860</wp:posOffset>
                  </wp:positionV>
                  <wp:extent cx="698500" cy="354330"/>
                  <wp:effectExtent l="0" t="0" r="6350" b="7620"/>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698500" cy="354330"/>
                          </a:xfrm>
                          <a:prstGeom prst="rect">
                            <a:avLst/>
                          </a:prstGeom>
                        </pic:spPr>
                      </pic:pic>
                    </a:graphicData>
                  </a:graphic>
                </wp:anchor>
              </w:drawing>
            </w:r>
            <w:r>
              <w:rPr>
                <w:rFonts w:hint="eastAsia"/>
                <w:sz w:val="21"/>
                <w:szCs w:val="21"/>
              </w:rPr>
              <w:t>（签名）</w:t>
            </w:r>
          </w:p>
        </w:tc>
        <w:tc>
          <w:tcPr>
            <w:tcW w:w="1485" w:type="dxa"/>
            <w:gridSpan w:val="2"/>
            <w:tcBorders>
              <w:top w:val="double" w:color="auto" w:sz="4" w:space="0"/>
            </w:tcBorders>
            <w:vAlign w:val="center"/>
          </w:tcPr>
          <w:p w14:paraId="47E4A5B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818" w:type="dxa"/>
            <w:gridSpan w:val="2"/>
            <w:tcBorders>
              <w:top w:val="double" w:color="auto" w:sz="4" w:space="0"/>
              <w:right w:val="single" w:color="auto" w:sz="12" w:space="0"/>
            </w:tcBorders>
            <w:vAlign w:val="center"/>
          </w:tcPr>
          <w:p w14:paraId="7298E466">
            <w:pPr>
              <w:widowControl w:val="0"/>
              <w:jc w:val="left"/>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2024年3月16日</w:t>
            </w:r>
          </w:p>
        </w:tc>
      </w:tr>
      <w:tr w14:paraId="4BBD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AA69E6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282" w:type="dxa"/>
            <w:gridSpan w:val="2"/>
            <w:vAlign w:val="center"/>
          </w:tcPr>
          <w:p w14:paraId="482ECE55">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4384" behindDoc="0" locked="0" layoutInCell="1" allowOverlap="1">
                  <wp:simplePos x="0" y="0"/>
                  <wp:positionH relativeFrom="column">
                    <wp:posOffset>382270</wp:posOffset>
                  </wp:positionH>
                  <wp:positionV relativeFrom="paragraph">
                    <wp:posOffset>-35560</wp:posOffset>
                  </wp:positionV>
                  <wp:extent cx="809625" cy="400050"/>
                  <wp:effectExtent l="0" t="0" r="9525" b="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809625" cy="400050"/>
                          </a:xfrm>
                          <a:prstGeom prst="rect">
                            <a:avLst/>
                          </a:prstGeom>
                          <a:noFill/>
                          <a:ln>
                            <a:noFill/>
                          </a:ln>
                        </pic:spPr>
                      </pic:pic>
                    </a:graphicData>
                  </a:graphic>
                </wp:anchor>
              </w:drawing>
            </w:r>
            <w:r>
              <w:rPr>
                <w:rFonts w:hint="eastAsia" w:ascii="黑体" w:hAnsi="黑体" w:eastAsia="黑体"/>
                <w:color w:val="000000"/>
                <w:position w:val="-20"/>
                <w:sz w:val="21"/>
                <w:szCs w:val="21"/>
                <w:lang w:eastAsia="zh-CN"/>
              </w:rPr>
              <w:drawing>
                <wp:anchor distT="0" distB="0" distL="114300" distR="114300" simplePos="0" relativeHeight="251662336" behindDoc="0" locked="0" layoutInCell="1" allowOverlap="1">
                  <wp:simplePos x="0" y="0"/>
                  <wp:positionH relativeFrom="column">
                    <wp:posOffset>4173220</wp:posOffset>
                  </wp:positionH>
                  <wp:positionV relativeFrom="paragraph">
                    <wp:posOffset>7533640</wp:posOffset>
                  </wp:positionV>
                  <wp:extent cx="807085" cy="394335"/>
                  <wp:effectExtent l="0" t="0" r="12065" b="5715"/>
                  <wp:wrapNone/>
                  <wp:docPr id="11" name="图片 10" descr="6a41f0e00fa9a721881a16de5e4e5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6a41f0e00fa9a721881a16de5e4e58d"/>
                          <pic:cNvPicPr>
                            <a:picLocks noChangeAspect="1"/>
                          </pic:cNvPicPr>
                        </pic:nvPicPr>
                        <pic:blipFill>
                          <a:blip r:embed="rId7"/>
                          <a:stretch>
                            <a:fillRect/>
                          </a:stretch>
                        </pic:blipFill>
                        <pic:spPr>
                          <a:xfrm>
                            <a:off x="0" y="0"/>
                            <a:ext cx="807085" cy="394335"/>
                          </a:xfrm>
                          <a:prstGeom prst="rect">
                            <a:avLst/>
                          </a:prstGeom>
                          <a:noFill/>
                          <a:ln>
                            <a:noFill/>
                          </a:ln>
                        </pic:spPr>
                      </pic:pic>
                    </a:graphicData>
                  </a:graphic>
                </wp:anchor>
              </w:drawing>
            </w:r>
            <w:r>
              <w:rPr>
                <w:rFonts w:hint="eastAsia" w:ascii="黑体" w:hAnsi="黑体" w:eastAsia="黑体"/>
                <w:color w:val="000000"/>
                <w:position w:val="-20"/>
                <w:sz w:val="21"/>
                <w:szCs w:val="21"/>
                <w:lang w:eastAsia="zh-CN"/>
              </w:rPr>
              <w:drawing>
                <wp:anchor distT="0" distB="0" distL="114300" distR="114300" simplePos="0" relativeHeight="251660288" behindDoc="0" locked="0" layoutInCell="1" allowOverlap="1">
                  <wp:simplePos x="0" y="0"/>
                  <wp:positionH relativeFrom="column">
                    <wp:posOffset>3868420</wp:posOffset>
                  </wp:positionH>
                  <wp:positionV relativeFrom="paragraph">
                    <wp:posOffset>7228840</wp:posOffset>
                  </wp:positionV>
                  <wp:extent cx="807085" cy="394335"/>
                  <wp:effectExtent l="0" t="0" r="12065" b="5715"/>
                  <wp:wrapNone/>
                  <wp:docPr id="6" name="图片 5" descr="6a41f0e00fa9a721881a16de5e4e5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6a41f0e00fa9a721881a16de5e4e58d"/>
                          <pic:cNvPicPr>
                            <a:picLocks noChangeAspect="1"/>
                          </pic:cNvPicPr>
                        </pic:nvPicPr>
                        <pic:blipFill>
                          <a:blip r:embed="rId7"/>
                          <a:stretch>
                            <a:fillRect/>
                          </a:stretch>
                        </pic:blipFill>
                        <pic:spPr>
                          <a:xfrm>
                            <a:off x="0" y="0"/>
                            <a:ext cx="807085" cy="394335"/>
                          </a:xfrm>
                          <a:prstGeom prst="rect">
                            <a:avLst/>
                          </a:prstGeom>
                          <a:noFill/>
                          <a:ln>
                            <a:noFill/>
                          </a:ln>
                        </pic:spPr>
                      </pic:pic>
                    </a:graphicData>
                  </a:graphic>
                </wp:anchor>
              </w:drawing>
            </w:r>
            <w:r>
              <w:rPr>
                <w:rFonts w:hint="eastAsia" w:ascii="黑体" w:hAnsi="黑体" w:eastAsia="黑体"/>
                <w:color w:val="000000"/>
                <w:position w:val="-20"/>
                <w:sz w:val="21"/>
                <w:szCs w:val="21"/>
                <w:lang w:eastAsia="zh-CN"/>
              </w:rPr>
              <w:drawing>
                <wp:anchor distT="0" distB="0" distL="114300" distR="114300" simplePos="0" relativeHeight="251661312" behindDoc="0" locked="0" layoutInCell="1" allowOverlap="1">
                  <wp:simplePos x="0" y="0"/>
                  <wp:positionH relativeFrom="column">
                    <wp:posOffset>4020820</wp:posOffset>
                  </wp:positionH>
                  <wp:positionV relativeFrom="paragraph">
                    <wp:posOffset>7381240</wp:posOffset>
                  </wp:positionV>
                  <wp:extent cx="807085" cy="394335"/>
                  <wp:effectExtent l="0" t="0" r="12065" b="5715"/>
                  <wp:wrapNone/>
                  <wp:docPr id="7" name="图片 6" descr="6a41f0e00fa9a721881a16de5e4e5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6a41f0e00fa9a721881a16de5e4e58d"/>
                          <pic:cNvPicPr>
                            <a:picLocks noChangeAspect="1"/>
                          </pic:cNvPicPr>
                        </pic:nvPicPr>
                        <pic:blipFill>
                          <a:blip r:embed="rId7"/>
                          <a:stretch>
                            <a:fillRect/>
                          </a:stretch>
                        </pic:blipFill>
                        <pic:spPr>
                          <a:xfrm>
                            <a:off x="0" y="0"/>
                            <a:ext cx="807085" cy="394335"/>
                          </a:xfrm>
                          <a:prstGeom prst="rect">
                            <a:avLst/>
                          </a:prstGeom>
                          <a:noFill/>
                          <a:ln>
                            <a:noFill/>
                          </a:ln>
                        </pic:spPr>
                      </pic:pic>
                    </a:graphicData>
                  </a:graphic>
                </wp:anchor>
              </w:drawing>
            </w:r>
            <w:r>
              <w:rPr>
                <w:rFonts w:hint="eastAsia"/>
                <w:sz w:val="21"/>
                <w:szCs w:val="21"/>
              </w:rPr>
              <w:t>（签名）</w:t>
            </w:r>
          </w:p>
        </w:tc>
        <w:tc>
          <w:tcPr>
            <w:tcW w:w="1485" w:type="dxa"/>
            <w:gridSpan w:val="2"/>
            <w:vAlign w:val="center"/>
          </w:tcPr>
          <w:p w14:paraId="6A0411D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818" w:type="dxa"/>
            <w:gridSpan w:val="2"/>
            <w:tcBorders>
              <w:right w:val="single" w:color="auto" w:sz="12" w:space="0"/>
            </w:tcBorders>
            <w:vAlign w:val="center"/>
          </w:tcPr>
          <w:p w14:paraId="5A0D65A0">
            <w:pPr>
              <w:widowControl w:val="0"/>
              <w:jc w:val="left"/>
              <w:rPr>
                <w:rFonts w:ascii="Times New Roman" w:hAnsi="Times New Roman"/>
                <w:color w:val="000000"/>
                <w:sz w:val="21"/>
                <w:szCs w:val="21"/>
              </w:rPr>
            </w:pPr>
            <w:r>
              <w:rPr>
                <w:rFonts w:hint="eastAsia" w:ascii="Times New Roman" w:hAnsi="Times New Roman"/>
                <w:color w:val="000000"/>
                <w:sz w:val="21"/>
                <w:szCs w:val="21"/>
                <w:lang w:val="en-US" w:eastAsia="zh-CN"/>
              </w:rPr>
              <w:t>2024年3</w:t>
            </w:r>
            <w:bookmarkStart w:id="6" w:name="_GoBack"/>
            <w:bookmarkEnd w:id="6"/>
            <w:r>
              <w:rPr>
                <w:rFonts w:hint="eastAsia" w:ascii="Times New Roman" w:hAnsi="Times New Roman"/>
                <w:color w:val="000000"/>
                <w:sz w:val="21"/>
                <w:szCs w:val="21"/>
                <w:lang w:val="en-US" w:eastAsia="zh-CN"/>
              </w:rPr>
              <w:t>月18日</w:t>
            </w:r>
          </w:p>
        </w:tc>
      </w:tr>
      <w:tr w14:paraId="4804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AAE00D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282" w:type="dxa"/>
            <w:gridSpan w:val="2"/>
            <w:tcBorders>
              <w:bottom w:val="single" w:color="auto" w:sz="12" w:space="0"/>
            </w:tcBorders>
            <w:vAlign w:val="center"/>
          </w:tcPr>
          <w:p w14:paraId="3D1CC95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85" w:type="dxa"/>
            <w:gridSpan w:val="2"/>
            <w:tcBorders>
              <w:bottom w:val="single" w:color="auto" w:sz="12" w:space="0"/>
            </w:tcBorders>
            <w:vAlign w:val="center"/>
          </w:tcPr>
          <w:p w14:paraId="51358F7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818" w:type="dxa"/>
            <w:gridSpan w:val="2"/>
            <w:tcBorders>
              <w:bottom w:val="single" w:color="auto" w:sz="12" w:space="0"/>
              <w:right w:val="single" w:color="auto" w:sz="12" w:space="0"/>
            </w:tcBorders>
            <w:vAlign w:val="center"/>
          </w:tcPr>
          <w:p w14:paraId="7726B332">
            <w:pPr>
              <w:widowControl w:val="0"/>
              <w:jc w:val="center"/>
              <w:rPr>
                <w:rFonts w:ascii="Times New Roman" w:hAnsi="Times New Roman"/>
                <w:color w:val="000000"/>
                <w:sz w:val="21"/>
                <w:szCs w:val="21"/>
              </w:rPr>
            </w:pPr>
          </w:p>
        </w:tc>
      </w:tr>
    </w:tbl>
    <w:p w14:paraId="72CD07B0">
      <w:pPr>
        <w:spacing w:line="100" w:lineRule="exact"/>
        <w:rPr>
          <w:rFonts w:ascii="Arial" w:hAnsi="Arial" w:eastAsia="黑体"/>
        </w:rPr>
      </w:pPr>
      <w:r>
        <w:br w:type="page"/>
      </w:r>
    </w:p>
    <w:p w14:paraId="541307B0">
      <w:pPr>
        <w:pStyle w:val="16"/>
        <w:spacing w:before="326" w:beforeLines="100" w:line="360" w:lineRule="auto"/>
        <w:rPr>
          <w:rFonts w:ascii="黑体" w:hAnsi="宋体"/>
        </w:rPr>
      </w:pPr>
      <w:r>
        <w:rPr>
          <w:rFonts w:hint="eastAsia" w:ascii="黑体" w:hAnsi="宋体"/>
        </w:rPr>
        <w:t>二、课程目标与毕业要求</w:t>
      </w:r>
    </w:p>
    <w:p w14:paraId="7D048F59">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E052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922969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DEB726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37534D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346B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14:paraId="1D264433">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4E8A0CE">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14:paraId="5D907965">
            <w:pPr>
              <w:keepNext w:val="0"/>
              <w:keepLines w:val="0"/>
              <w:widowControl/>
              <w:suppressLineNumbers w:val="0"/>
              <w:jc w:val="left"/>
              <w:rPr>
                <w:rFonts w:hint="eastAsia" w:cs="宋体"/>
                <w:b/>
                <w:bCs w:val="0"/>
                <w:color w:val="000000"/>
                <w:sz w:val="21"/>
                <w:szCs w:val="18"/>
                <w:lang w:val="en-US" w:eastAsia="zh-CN"/>
              </w:rPr>
            </w:pPr>
            <w:r>
              <w:rPr>
                <w:rFonts w:hint="eastAsia" w:cs="宋体"/>
                <w:b/>
                <w:bCs w:val="0"/>
                <w:color w:val="000000"/>
                <w:sz w:val="21"/>
                <w:szCs w:val="18"/>
                <w:lang w:val="en-US" w:eastAsia="zh-CN"/>
              </w:rPr>
              <w:t>掌握力学和电磁学的基本概念、基本理论和基本方法。</w:t>
            </w:r>
          </w:p>
          <w:p w14:paraId="1EE46751">
            <w:pPr>
              <w:keepNext w:val="0"/>
              <w:keepLines w:val="0"/>
              <w:widowControl/>
              <w:suppressLineNumbers w:val="0"/>
              <w:jc w:val="left"/>
              <w:rPr>
                <w:rFonts w:hint="eastAsia" w:cs="宋体"/>
                <w:bCs/>
                <w:color w:val="000000"/>
                <w:sz w:val="21"/>
                <w:szCs w:val="18"/>
                <w:lang w:val="en-US" w:eastAsia="zh-CN"/>
              </w:rPr>
            </w:pPr>
            <w:r>
              <w:rPr>
                <w:rFonts w:hint="eastAsia" w:cs="宋体"/>
                <w:bCs/>
                <w:color w:val="000000"/>
                <w:sz w:val="21"/>
                <w:szCs w:val="18"/>
                <w:lang w:val="en-US" w:eastAsia="zh-CN"/>
              </w:rPr>
              <w:t>使学生对力学和电磁学的基本概念、基本原理和基本规律有较全面系统地认识，了解各种运动形式之间的联系以及物理学的近现代发展和成就。</w:t>
            </w:r>
          </w:p>
        </w:tc>
      </w:tr>
      <w:tr w14:paraId="51CEA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14:paraId="1BD2B10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13B6E4F">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14:paraId="69F7662D">
            <w:pPr>
              <w:keepNext w:val="0"/>
              <w:keepLines w:val="0"/>
              <w:widowControl/>
              <w:suppressLineNumbers w:val="0"/>
              <w:jc w:val="left"/>
              <w:rPr>
                <w:rFonts w:hint="eastAsia" w:cs="宋体"/>
                <w:b/>
                <w:bCs w:val="0"/>
                <w:color w:val="000000"/>
                <w:sz w:val="21"/>
                <w:szCs w:val="18"/>
                <w:lang w:val="en-US" w:eastAsia="zh-CN"/>
              </w:rPr>
            </w:pPr>
            <w:r>
              <w:rPr>
                <w:rFonts w:hint="eastAsia" w:cs="宋体"/>
                <w:b/>
                <w:bCs w:val="0"/>
                <w:color w:val="000000"/>
                <w:sz w:val="21"/>
                <w:szCs w:val="18"/>
                <w:lang w:val="en-US" w:eastAsia="zh-CN"/>
              </w:rPr>
              <w:t xml:space="preserve">进行科学思维方法和运算能力的训练。 </w:t>
            </w:r>
          </w:p>
          <w:p w14:paraId="51DDAC2A">
            <w:pPr>
              <w:keepNext w:val="0"/>
              <w:keepLines w:val="0"/>
              <w:widowControl/>
              <w:suppressLineNumbers w:val="0"/>
              <w:jc w:val="left"/>
              <w:rPr>
                <w:rFonts w:hint="eastAsia" w:cs="宋体"/>
                <w:bCs/>
                <w:color w:val="000000"/>
                <w:sz w:val="21"/>
                <w:szCs w:val="18"/>
                <w:lang w:val="en-US" w:eastAsia="zh-CN"/>
              </w:rPr>
            </w:pPr>
            <w:r>
              <w:rPr>
                <w:rFonts w:hint="eastAsia" w:cs="宋体"/>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14:paraId="12095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14:paraId="568A63FB">
            <w:pPr>
              <w:snapToGrid w:val="0"/>
              <w:jc w:val="center"/>
              <w:rPr>
                <w:rFonts w:hint="eastAsia" w:ascii="黑体" w:hAnsi="黑体" w:eastAsia="黑体"/>
                <w:bCs/>
                <w:color w:val="000000"/>
                <w:sz w:val="21"/>
                <w:szCs w:val="18"/>
              </w:rPr>
            </w:pPr>
          </w:p>
        </w:tc>
        <w:tc>
          <w:tcPr>
            <w:tcW w:w="782" w:type="dxa"/>
            <w:shd w:val="clear" w:color="auto" w:fill="auto"/>
            <w:vAlign w:val="center"/>
          </w:tcPr>
          <w:p w14:paraId="168CE2AE">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14:paraId="4A3E96F0">
            <w:pPr>
              <w:keepNext w:val="0"/>
              <w:keepLines w:val="0"/>
              <w:widowControl/>
              <w:suppressLineNumbers w:val="0"/>
              <w:jc w:val="left"/>
              <w:rPr>
                <w:rFonts w:hint="eastAsia" w:cs="宋体"/>
                <w:bCs/>
                <w:color w:val="000000"/>
                <w:sz w:val="21"/>
                <w:szCs w:val="18"/>
                <w:lang w:val="en-US" w:eastAsia="zh-CN"/>
              </w:rPr>
            </w:pPr>
            <w:r>
              <w:rPr>
                <w:rFonts w:hint="eastAsia" w:cs="宋体"/>
                <w:b/>
                <w:bCs w:val="0"/>
                <w:color w:val="000000"/>
                <w:sz w:val="21"/>
                <w:szCs w:val="18"/>
                <w:lang w:val="en-US" w:eastAsia="zh-CN"/>
              </w:rPr>
              <w:t>应用物理学基本原理对工程问题建模和解决问题。</w:t>
            </w:r>
            <w:r>
              <w:rPr>
                <w:rFonts w:hint="eastAsia" w:cs="宋体"/>
                <w:bCs/>
                <w:color w:val="000000"/>
                <w:sz w:val="21"/>
                <w:szCs w:val="18"/>
                <w:lang w:val="en-US" w:eastAsia="zh-CN"/>
              </w:rPr>
              <w:t xml:space="preserve"> </w:t>
            </w:r>
          </w:p>
          <w:p w14:paraId="29D92BF0">
            <w:pPr>
              <w:keepNext w:val="0"/>
              <w:keepLines w:val="0"/>
              <w:widowControl/>
              <w:suppressLineNumbers w:val="0"/>
              <w:jc w:val="left"/>
              <w:rPr>
                <w:rFonts w:hint="eastAsia" w:cs="宋体"/>
                <w:bCs/>
                <w:color w:val="000000"/>
                <w:sz w:val="21"/>
                <w:szCs w:val="18"/>
                <w:lang w:val="en-US" w:eastAsia="zh-CN"/>
              </w:rPr>
            </w:pPr>
            <w:r>
              <w:rPr>
                <w:rFonts w:hint="eastAsia" w:cs="宋体"/>
                <w:bCs/>
                <w:color w:val="000000"/>
                <w:sz w:val="21"/>
                <w:szCs w:val="18"/>
                <w:lang w:val="en-US" w:eastAsia="zh-CN"/>
              </w:rPr>
              <w:t>培养学生分析问题和解决问题的能力，使学生在学习物理学知识的同时,能够具有运用物理学原理处理、解决实际问题的能力。</w:t>
            </w:r>
          </w:p>
        </w:tc>
      </w:tr>
      <w:tr w14:paraId="44F65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77F5F7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2A166D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56E3D38">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14:paraId="7C065882">
            <w:pPr>
              <w:keepNext w:val="0"/>
              <w:keepLines w:val="0"/>
              <w:widowControl/>
              <w:suppressLineNumbers w:val="0"/>
              <w:jc w:val="left"/>
              <w:rPr>
                <w:rFonts w:hint="eastAsia" w:cs="宋体"/>
                <w:bCs/>
                <w:color w:val="000000"/>
                <w:sz w:val="21"/>
                <w:szCs w:val="18"/>
                <w:lang w:val="en-US" w:eastAsia="zh-CN"/>
              </w:rPr>
            </w:pPr>
            <w:r>
              <w:rPr>
                <w:rFonts w:hint="eastAsia" w:cs="宋体"/>
                <w:b/>
                <w:bCs w:val="0"/>
                <w:color w:val="000000"/>
                <w:sz w:val="21"/>
                <w:szCs w:val="18"/>
                <w:lang w:val="en-US" w:eastAsia="zh-CN"/>
              </w:rPr>
              <w:t>结合辩证唯物主义培养学生的科学精神和科学素质。</w:t>
            </w:r>
            <w:r>
              <w:rPr>
                <w:rFonts w:hint="eastAsia" w:cs="宋体"/>
                <w:bCs/>
                <w:color w:val="000000"/>
                <w:sz w:val="21"/>
                <w:szCs w:val="18"/>
                <w:lang w:val="en-US" w:eastAsia="zh-CN"/>
              </w:rPr>
              <w:t xml:space="preserve"> </w:t>
            </w:r>
          </w:p>
          <w:p w14:paraId="08353A95">
            <w:pPr>
              <w:keepNext w:val="0"/>
              <w:keepLines w:val="0"/>
              <w:widowControl/>
              <w:suppressLineNumbers w:val="0"/>
              <w:jc w:val="left"/>
              <w:rPr>
                <w:rFonts w:hint="eastAsia" w:cs="宋体"/>
                <w:bCs/>
                <w:color w:val="000000"/>
                <w:sz w:val="21"/>
                <w:szCs w:val="18"/>
                <w:lang w:val="en-US" w:eastAsia="zh-CN"/>
              </w:rPr>
            </w:pPr>
            <w:r>
              <w:rPr>
                <w:rFonts w:hint="eastAsia" w:cs="宋体"/>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14:paraId="1CAFA986">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B68167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A57171E">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14:paraId="29A9936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E7938B6">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14:paraId="6B6AB54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24C66D">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14:paraId="689F261F">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5023"/>
        <w:gridCol w:w="1088"/>
      </w:tblGrid>
      <w:tr w14:paraId="2A2E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25A4EF">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959378F">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139E013">
            <w:pPr>
              <w:pStyle w:val="13"/>
              <w:rPr>
                <w:szCs w:val="16"/>
              </w:rPr>
            </w:pPr>
            <w:r>
              <w:rPr>
                <w:rFonts w:hint="eastAsia"/>
                <w:szCs w:val="16"/>
              </w:rPr>
              <w:t>支撑度</w:t>
            </w:r>
          </w:p>
        </w:tc>
        <w:tc>
          <w:tcPr>
            <w:tcW w:w="5023" w:type="dxa"/>
            <w:tcBorders>
              <w:top w:val="single" w:color="auto" w:sz="12" w:space="0"/>
            </w:tcBorders>
            <w:vAlign w:val="center"/>
          </w:tcPr>
          <w:p w14:paraId="249EB30E">
            <w:pPr>
              <w:pStyle w:val="13"/>
              <w:rPr>
                <w:szCs w:val="16"/>
              </w:rPr>
            </w:pPr>
            <w:r>
              <w:rPr>
                <w:rFonts w:hint="eastAsia"/>
                <w:szCs w:val="16"/>
              </w:rPr>
              <w:t>课程目标</w:t>
            </w:r>
          </w:p>
        </w:tc>
        <w:tc>
          <w:tcPr>
            <w:tcW w:w="1088" w:type="dxa"/>
            <w:tcBorders>
              <w:top w:val="single" w:color="auto" w:sz="12" w:space="0"/>
              <w:right w:val="single" w:color="auto" w:sz="12" w:space="0"/>
            </w:tcBorders>
            <w:vAlign w:val="center"/>
          </w:tcPr>
          <w:p w14:paraId="668451C5">
            <w:pPr>
              <w:pStyle w:val="13"/>
              <w:rPr>
                <w:szCs w:val="16"/>
              </w:rPr>
            </w:pPr>
            <w:r>
              <w:rPr>
                <w:rFonts w:hint="eastAsia"/>
                <w:szCs w:val="16"/>
              </w:rPr>
              <w:t>对指标点的贡献度</w:t>
            </w:r>
          </w:p>
        </w:tc>
      </w:tr>
      <w:tr w14:paraId="5D39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14:paraId="38D0171A">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14:paraId="48DAA009">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14:paraId="7B3C6EAE">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5023" w:type="dxa"/>
            <w:vAlign w:val="center"/>
          </w:tcPr>
          <w:p w14:paraId="5DEB184E">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088" w:type="dxa"/>
            <w:tcBorders>
              <w:right w:val="single" w:color="auto" w:sz="12" w:space="0"/>
            </w:tcBorders>
            <w:vAlign w:val="center"/>
          </w:tcPr>
          <w:p w14:paraId="32BD69B6">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79C2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14:paraId="40D26161">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14:paraId="589B17A3">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14:paraId="0C9E3CBD">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5023" w:type="dxa"/>
            <w:vAlign w:val="center"/>
          </w:tcPr>
          <w:p w14:paraId="65F506B6">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掌握力学和电磁学的基本概念、基本理论和基本方法。</w:t>
            </w:r>
          </w:p>
        </w:tc>
        <w:tc>
          <w:tcPr>
            <w:tcW w:w="1088" w:type="dxa"/>
            <w:tcBorders>
              <w:right w:val="single" w:color="auto" w:sz="12" w:space="0"/>
            </w:tcBorders>
            <w:vAlign w:val="center"/>
          </w:tcPr>
          <w:p w14:paraId="3364A9DE">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14:paraId="544F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14:paraId="12C629DE">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14:paraId="57B59A19">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14:paraId="718E649F">
            <w:pPr>
              <w:pStyle w:val="14"/>
              <w:rPr>
                <w:rFonts w:hint="default" w:ascii="Times New Roman" w:hAnsi="Times New Roman" w:cs="Times New Roman"/>
                <w:lang w:val="en-US" w:eastAsia="zh-CN"/>
              </w:rPr>
            </w:pPr>
          </w:p>
        </w:tc>
        <w:tc>
          <w:tcPr>
            <w:tcW w:w="5023" w:type="dxa"/>
            <w:vAlign w:val="center"/>
          </w:tcPr>
          <w:p w14:paraId="543E55BC">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088" w:type="dxa"/>
            <w:tcBorders>
              <w:right w:val="single" w:color="auto" w:sz="12" w:space="0"/>
            </w:tcBorders>
            <w:vAlign w:val="center"/>
          </w:tcPr>
          <w:p w14:paraId="4A811B44">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6BB6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14:paraId="0DE918F5">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14:paraId="08ABC593">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14:paraId="3D7200A8">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5023" w:type="dxa"/>
            <w:vAlign w:val="center"/>
          </w:tcPr>
          <w:p w14:paraId="7B0CCFE7">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088" w:type="dxa"/>
            <w:tcBorders>
              <w:bottom w:val="single" w:color="auto" w:sz="12" w:space="0"/>
              <w:right w:val="single" w:color="auto" w:sz="12" w:space="0"/>
            </w:tcBorders>
            <w:vAlign w:val="center"/>
          </w:tcPr>
          <w:p w14:paraId="17C214C6">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14:paraId="5F53A488">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6DB83F8">
      <w:pPr>
        <w:pStyle w:val="17"/>
        <w:spacing w:before="81" w:after="163"/>
      </w:pPr>
      <w:bookmarkStart w:id="0" w:name="OLE_LINK2"/>
      <w:bookmarkStart w:id="1" w:name="OLE_LINK1"/>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39033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9F8930B">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2" w:name="OLE_LINK6"/>
            <w:bookmarkStart w:id="3" w:name="OLE_LINK5"/>
            <w:r>
              <w:rPr>
                <w:rFonts w:hint="default" w:ascii="Times New Roman" w:hAnsi="Times New Roman" w:eastAsia="宋体" w:cs="Times New Roman"/>
                <w:b/>
                <w:bCs/>
                <w:color w:val="000000"/>
                <w:kern w:val="0"/>
                <w:sz w:val="21"/>
                <w:szCs w:val="21"/>
                <w:lang w:val="en-US" w:eastAsia="zh-CN" w:bidi="ar"/>
              </w:rPr>
              <w:t>第一单元：力学</w:t>
            </w:r>
          </w:p>
          <w:p w14:paraId="02B4270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第一章 质点运动学 (6 学时) </w:t>
            </w:r>
          </w:p>
          <w:p w14:paraId="08D80AF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3C1137F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 运动 时空 测量 </w:t>
            </w:r>
          </w:p>
          <w:p w14:paraId="3DD2841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1-2 质点运动的描述 </w:t>
            </w:r>
          </w:p>
          <w:p w14:paraId="4C5AF15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1-3 质点运动变化的描述 </w:t>
            </w:r>
          </w:p>
          <w:p w14:paraId="10BF679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315A1C5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运动学方程、位移、速度、加速度：了解质点模型及参考系和坐标系的概念；掌握位置矢量、运动方程和轨迹方程的概念及其计算；掌握位移和路程、速度和速率的区别，以及位移、速度等物理量的意义和计算；理解加速度等描述质点运动变化的物理量的概念；熟练掌握已知运动学方程求解位移、速度、加速度；已知加速度求解速度和运动方程的方法。 </w:t>
            </w:r>
          </w:p>
          <w:p w14:paraId="798ACE6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圆周运动的线量、角量表示：掌握质点作圆周运动时的角速度、角加速度、切向加速度和法向加速度的表示，并能进行基本问题计算。 </w:t>
            </w:r>
          </w:p>
          <w:p w14:paraId="3BBF6C9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521BBF1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通过讲述物理学史、力学史,使大学生热爱科学、热爱物理、勇于创新。 </w:t>
            </w:r>
          </w:p>
          <w:p w14:paraId="218C60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建立正确的物质观、运动观、相互作用观和能量观,逐步形成正确的世界观。 </w:t>
            </w:r>
          </w:p>
          <w:p w14:paraId="3FCAFDC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第二章 质点动力学 (8 学时) </w:t>
            </w:r>
          </w:p>
          <w:p w14:paraId="6F385DB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0960F8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2-1 动量 动量守恒定律 </w:t>
            </w:r>
          </w:p>
          <w:p w14:paraId="222DCDE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2-2 角动量 角动量守恒定律 </w:t>
            </w:r>
          </w:p>
          <w:p w14:paraId="2214B3C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2-3 能量 能量守恒定律 </w:t>
            </w:r>
          </w:p>
          <w:p w14:paraId="4334142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5D4B480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cs="Times New Roman"/>
                <w:b w:val="0"/>
                <w:bCs w:val="0"/>
                <w:color w:val="000000"/>
                <w:kern w:val="0"/>
                <w:sz w:val="21"/>
                <w:szCs w:val="21"/>
                <w:lang w:val="en-US" w:eastAsia="zh-CN" w:bidi="ar"/>
              </w:rPr>
              <w:t>1、</w:t>
            </w:r>
            <w:r>
              <w:rPr>
                <w:rFonts w:hint="default" w:ascii="Times New Roman" w:hAnsi="Times New Roman" w:eastAsia="宋体" w:cs="Times New Roman"/>
                <w:b/>
                <w:bCs/>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熟练应用微积分方法求解一维变力作用下基本的质点动力学问题。</w:t>
            </w:r>
            <w:r>
              <w:rPr>
                <w:rFonts w:hint="default" w:ascii="Times New Roman" w:hAnsi="Times New Roman" w:eastAsia="宋体" w:cs="Times New Roman"/>
                <w:b/>
                <w:bCs/>
                <w:color w:val="000000"/>
                <w:kern w:val="0"/>
                <w:sz w:val="21"/>
                <w:szCs w:val="21"/>
                <w:lang w:val="en-US" w:eastAsia="zh-CN" w:bidi="ar"/>
              </w:rPr>
              <w:t xml:space="preserve"> </w:t>
            </w:r>
          </w:p>
          <w:p w14:paraId="79A8999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动量、冲量、动量定理：理解动量、冲量的概念，掌握变力的冲量的计算；熟练掌握质点和质点系的动量定理及其应用。 </w:t>
            </w:r>
          </w:p>
          <w:p w14:paraId="419B48E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动能、动能定理、功、变力的功：正确理解功的概念，熟练计算变力的功；掌握动能定理，能运用它分析解决动力学问题。 </w:t>
            </w:r>
          </w:p>
          <w:p w14:paraId="16618A8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势能、保守力与势能的关系、功能原理、机械能守恒定律：理解保守力做功的特点及势能的概念，会计算重力、弹性力势能；掌握功能原理及机械能守恒定律，能运用它们分析解决动力学问题。 </w:t>
            </w:r>
          </w:p>
          <w:p w14:paraId="2384C3A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41B2790C">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牛顿定律所涉及的科学概念、定律以及思维方式，培养学生形成正确的世界观和认识自然界的方法，让学生掌握自然科学知识，培养学生的科学素养。通过动量定理和能量守恒定律对火箭或导弹进行动力学分析，使学生对动量定理和能量守恒定律加深理解，从而培养学生应用物理学知识解决工程实际问题的能力，结合我国两弹一星元勋在艰苦条件下作出的重大贡献，增强学生的爱国主义精神和新时代的使命感。 </w:t>
            </w:r>
          </w:p>
          <w:p w14:paraId="52DF4DE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第三章 刚体力学基础（10 学时) </w:t>
            </w:r>
          </w:p>
          <w:p w14:paraId="3401D18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5C8314D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3-1 刚体运动的基本形式 </w:t>
            </w:r>
          </w:p>
          <w:p w14:paraId="671245B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3-2 定轴转动刚体的角动量 转动惯量 </w:t>
            </w:r>
          </w:p>
          <w:p w14:paraId="29BEAC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3-3 刚体定轴转动定律 </w:t>
            </w:r>
          </w:p>
          <w:p w14:paraId="6CDAAF3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3-4 刚体的角动量定理和角动量守恒定律 </w:t>
            </w:r>
          </w:p>
          <w:p w14:paraId="7079D03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3-5 刚体定轴转动的动能定理 </w:t>
            </w:r>
          </w:p>
          <w:p w14:paraId="7A0F98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3097A05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刚体的定轴转动：了解刚体平动、转动的特点；掌握刚体定轴转动的角量表示及其与线量的关系。 </w:t>
            </w:r>
          </w:p>
          <w:p w14:paraId="21D8560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角动量、转动惯量：了解定轴转动刚体的角动量表示；理解转动惯量的概念，掌握应用取微元法计算具有简单几何形状的刚体的转动惯量的方法。 </w:t>
            </w:r>
          </w:p>
          <w:p w14:paraId="2FDDE34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力矩、转动定律：掌握刚体定轴转动的力矩表示；熟练掌握刚体定轴转动的转动定律，能应用其分析刚体的定轴转动、求解有关定轴转动的问题。 </w:t>
            </w:r>
          </w:p>
          <w:p w14:paraId="326A199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角动量定理、角动量守恒定律：掌握刚体的角动量定理及其应用；熟练掌握刚体的角动量守恒定律，并应用其求解有关问题。 </w:t>
            </w:r>
          </w:p>
          <w:p w14:paraId="4F4260E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5</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刚体定轴转动的动能定理：掌握刚体转动动能和势能的表示；掌握刚体定轴转动的动能定理的应用。 </w:t>
            </w:r>
          </w:p>
          <w:p w14:paraId="01D8735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4833611A">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以物体对轴的角动量守恒定律为例，通过回转仪在军事、航天、汽车领域的应用，向学生传达科技兴国的重要性，培养学生热爱科学、积极探索的精神；通过跳水及花样滑冰运动员的事迹，培养学生勤奋刻苦、不畏艰难、不怕失败的优秀品质。以寓教于乐的方式，结合视频播放，通过讲解人物与历史故事、科技进展，将大学物理课程与学生的思想政治教育相结合，发挥大学老师在教书和育人两方面的双重作用。</w:t>
            </w:r>
          </w:p>
          <w:p w14:paraId="007F8E9F">
            <w:pPr>
              <w:widowControl w:val="0"/>
              <w:spacing w:line="360" w:lineRule="exact"/>
              <w:jc w:val="both"/>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教学重点、难点：</w:t>
            </w:r>
          </w:p>
          <w:p w14:paraId="322790FC">
            <w:pPr>
              <w:widowControl w:val="0"/>
              <w:numPr>
                <w:ilvl w:val="0"/>
                <w:numId w:val="1"/>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两类运动学问题和圆周运动。</w:t>
            </w:r>
          </w:p>
          <w:p w14:paraId="01ABBEE4">
            <w:pPr>
              <w:widowControl w:val="0"/>
              <w:numPr>
                <w:ilvl w:val="0"/>
                <w:numId w:val="1"/>
              </w:numPr>
              <w:spacing w:line="360" w:lineRule="exact"/>
              <w:ind w:left="0" w:leftChars="0" w:firstLine="0" w:firstLineChars="0"/>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牛顿运动定律的应用，动量定理和动量守恒定律、动能定律和功能原理与机械能守恒定律的意义及应用。</w:t>
            </w:r>
          </w:p>
          <w:p w14:paraId="22076BFC">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rPr>
              <w:t>3、</w:t>
            </w:r>
            <w:r>
              <w:rPr>
                <w:rFonts w:hint="default" w:ascii="Times New Roman" w:hAnsi="Times New Roman" w:eastAsia="宋体" w:cs="Times New Roman"/>
                <w:bCs/>
                <w:color w:val="000000"/>
                <w:kern w:val="0"/>
                <w:sz w:val="21"/>
                <w:szCs w:val="21"/>
              </w:rPr>
              <w:t>刚体定轴转动的转动定律、角动量守恒定律的意义及应用。</w:t>
            </w:r>
          </w:p>
          <w:p w14:paraId="779802A9">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第二单元电磁学</w:t>
            </w:r>
          </w:p>
          <w:p w14:paraId="2C66DDA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第六章 电荷与电场（12 学时） </w:t>
            </w:r>
            <w:r>
              <w:rPr>
                <w:rFonts w:hint="default" w:ascii="Times New Roman" w:hAnsi="Times New Roman" w:eastAsia="宋体" w:cs="Times New Roman"/>
                <w:color w:val="000000"/>
                <w:kern w:val="0"/>
                <w:sz w:val="21"/>
                <w:szCs w:val="21"/>
                <w:lang w:val="en-US" w:eastAsia="zh-CN" w:bidi="ar"/>
              </w:rPr>
              <w:t xml:space="preserve"> </w:t>
            </w:r>
          </w:p>
          <w:p w14:paraId="30A0A15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54B4195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6-1 库仑定律与电场强度 </w:t>
            </w:r>
          </w:p>
          <w:p w14:paraId="774A9C8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6-2 电场强度通量与高斯定理 </w:t>
            </w:r>
          </w:p>
          <w:p w14:paraId="48805CA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6-3 静电场的环路定理与电势 </w:t>
            </w:r>
          </w:p>
          <w:p w14:paraId="0AB38E5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6-4 静电场中导体 </w:t>
            </w:r>
          </w:p>
          <w:p w14:paraId="10440DA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12E1486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1、库仑定律、电场强度：掌握库仑定律的表示及意义；理解电场强度的定义</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p w14:paraId="386FED7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2、电场强度叠加原理：理解电场强度叠加原理，熟练掌握用电场强度叠加原理求解带电系统电场强度的计算方法。</w:t>
            </w:r>
          </w:p>
          <w:p w14:paraId="0922A32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3、电场强度通量、真空中的高斯定理：掌握电场强度通量的概念及计算；熟练掌握高斯定理及用高斯定理计算简单几何形状的带电体的电场强度的条件和方法。 </w:t>
            </w:r>
          </w:p>
          <w:p w14:paraId="48BE0FA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电场力的功、静电场的环路定理、电势能、电势、电势差、电势叠加原理：掌握静电场的环路定理及其意义；理解电势能、电势、电势差的概念；熟练掌握用电势叠加原理（电势与电场强度的积分关系）和电势的定义式求解带电系统电势的方法。 </w:t>
            </w:r>
          </w:p>
          <w:p w14:paraId="212933E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5、静电平衡时导体上的电荷分布及电场强度和电势分布：正确理解导体的静电平衡条件，熟练计算静电平衡时导体的电荷分布及电场强度与电势的分布；了解尖端放电与静电屏蔽现象。 </w:t>
            </w:r>
          </w:p>
          <w:p w14:paraId="04EAF53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6、电容器的电容：了解电容器的性质，了解电容器电容的概念。 </w:t>
            </w:r>
          </w:p>
          <w:p w14:paraId="14E4C96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18F62542">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工匠精神是一种职业精神，是职业道德、职业能力、职业品质的体现。将工匠精神融入大学物理课程思政教学，努力培养学生精益求精、执着、专注的专业素质。从静电学的基础内容出发，结合生活中静电应用与防护实例，通过学习老一辈科学家为振兴中华而刻苦专研、奋发图强的先进事迹，增强学生的爱国责任感和使命感，对建设有中国特色社会主义道路的信心和决心更加坚定信念。 </w:t>
            </w:r>
          </w:p>
          <w:p w14:paraId="5A1E6AE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第七章 电流与磁场 (12 学时） </w:t>
            </w:r>
          </w:p>
          <w:p w14:paraId="5799EAB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0A01A6D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7-1 恒定电流和恒定电场 电动势 </w:t>
            </w:r>
          </w:p>
          <w:p w14:paraId="7105B1C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7-2 恒定磁场和磁感应强度 </w:t>
            </w:r>
          </w:p>
          <w:p w14:paraId="5D2CDD1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7-3 毕奥-萨伐尔定律</w:t>
            </w:r>
          </w:p>
          <w:p w14:paraId="5E4C0B4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7-4 磁场中的高斯定理 </w:t>
            </w:r>
          </w:p>
          <w:p w14:paraId="74166B0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7-5 真空中恒定磁场的安培环路定理 </w:t>
            </w:r>
          </w:p>
          <w:p w14:paraId="1722D25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7-6 磁场对运动电荷和载流导线的作用 </w:t>
            </w:r>
          </w:p>
          <w:p w14:paraId="5B12687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73D0659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1、磁感强度、毕奥-萨伐尔定律：正确理解磁感强度的定义；理解毕奥-萨伐尔定律的内容和物理意义；应用毕奥-萨伐尔定律计算磁感强度。</w:t>
            </w:r>
          </w:p>
          <w:p w14:paraId="314D09E5">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2、磁通量、磁场的高斯定理：掌握磁通量的概念和计算方法；了解恒定磁场中高斯定理的数学表达式及其物理意义。 </w:t>
            </w:r>
          </w:p>
          <w:p w14:paraId="1A5B50C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3、安培环路定理：熟练掌握应用安培环路定理计算具有一定对称性磁场的磁感强度的方法。 </w:t>
            </w:r>
          </w:p>
          <w:p w14:paraId="2F04E6A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带电粒子在外磁场中受到的力及其运动、磁场对载流导体的作用：掌握洛仑兹力的应用，能分析点电荷在均匀电场和均匀磁场中的受力和运动；掌握安培定律的计算方法，能熟练计算简单几何形状载流导体在均匀磁场中和在无限长直载流导线产生的非均匀磁场中所受的力。 </w:t>
            </w:r>
          </w:p>
          <w:p w14:paraId="49BF365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510192D2">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主要围绕培养学生政治认同、国家意识、文化自信和公民人格。让学生能够认识和理解自己祖国的历史、文化、国情等，逐渐积淀成主人翁责任感、自豪感和归属感，有效引导学生树立正确的国家观、社会观和世界观。 </w:t>
            </w:r>
          </w:p>
          <w:p w14:paraId="14E204A2">
            <w:pPr>
              <w:widowControl w:val="0"/>
              <w:spacing w:line="360" w:lineRule="exact"/>
              <w:jc w:val="both"/>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教学重点、难点：</w:t>
            </w:r>
          </w:p>
          <w:p w14:paraId="00B21708">
            <w:pPr>
              <w:widowControl w:val="0"/>
              <w:numPr>
                <w:ilvl w:val="0"/>
                <w:numId w:val="2"/>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静电场的高斯定理、电场强度和电势的计算</w:t>
            </w:r>
            <w:r>
              <w:rPr>
                <w:rFonts w:hint="default" w:ascii="Times New Roman" w:hAnsi="Times New Roman" w:eastAsia="宋体" w:cs="Times New Roman"/>
                <w:bCs/>
                <w:color w:val="000000"/>
                <w:kern w:val="0"/>
                <w:sz w:val="21"/>
                <w:szCs w:val="21"/>
                <w:lang w:eastAsia="zh-CN"/>
              </w:rPr>
              <w:t>。</w:t>
            </w:r>
          </w:p>
          <w:p w14:paraId="6FBD3EE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bCs/>
                <w:color w:val="000000"/>
                <w:kern w:val="0"/>
                <w:sz w:val="21"/>
                <w:szCs w:val="21"/>
                <w:lang w:val="en-US" w:eastAsia="zh-CN"/>
              </w:rPr>
              <w:t>2、</w:t>
            </w:r>
            <w:r>
              <w:rPr>
                <w:rFonts w:hint="default" w:ascii="Times New Roman" w:hAnsi="Times New Roman" w:eastAsia="宋体" w:cs="Times New Roman"/>
                <w:bCs/>
                <w:color w:val="000000"/>
                <w:kern w:val="0"/>
                <w:sz w:val="21"/>
                <w:szCs w:val="21"/>
              </w:rPr>
              <w:t>安培环路定理、磁力的计算</w:t>
            </w:r>
            <w:r>
              <w:rPr>
                <w:rFonts w:hint="default" w:ascii="Times New Roman" w:hAnsi="Times New Roman" w:eastAsia="宋体" w:cs="Times New Roman"/>
                <w:bCs/>
                <w:color w:val="000000"/>
                <w:kern w:val="0"/>
                <w:sz w:val="21"/>
                <w:szCs w:val="21"/>
                <w:lang w:eastAsia="zh-CN"/>
              </w:rPr>
              <w:t>。</w:t>
            </w:r>
          </w:p>
        </w:tc>
      </w:tr>
      <w:bookmarkEnd w:id="2"/>
      <w:bookmarkEnd w:id="3"/>
    </w:tbl>
    <w:p w14:paraId="1842B8A7">
      <w:pPr>
        <w:pStyle w:val="17"/>
        <w:spacing w:before="81" w:after="163"/>
      </w:pPr>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14:paraId="3EB1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0B623BA3">
            <w:pPr>
              <w:pStyle w:val="13"/>
              <w:ind w:firstLine="489"/>
              <w:jc w:val="right"/>
              <w:rPr>
                <w:szCs w:val="16"/>
              </w:rPr>
            </w:pPr>
            <w:r>
              <w:rPr>
                <w:rFonts w:hint="eastAsia"/>
                <w:szCs w:val="16"/>
              </w:rPr>
              <w:t>课程目标</w:t>
            </w:r>
          </w:p>
          <w:p w14:paraId="0E0ED7B1">
            <w:pPr>
              <w:pStyle w:val="13"/>
              <w:ind w:right="210"/>
              <w:jc w:val="left"/>
              <w:rPr>
                <w:rFonts w:hint="eastAsia"/>
                <w:szCs w:val="16"/>
              </w:rPr>
            </w:pPr>
          </w:p>
          <w:p w14:paraId="52DB1393">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0FE4326D">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4AB9D61C">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773646DF">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14:paraId="2EC78166">
            <w:pPr>
              <w:pStyle w:val="13"/>
              <w:rPr>
                <w:rFonts w:hint="default"/>
                <w:szCs w:val="16"/>
                <w:lang w:val="en-US" w:eastAsia="zh-CN"/>
              </w:rPr>
            </w:pPr>
            <w:r>
              <w:rPr>
                <w:rFonts w:hint="eastAsia"/>
                <w:szCs w:val="16"/>
                <w:lang w:val="en-US" w:eastAsia="zh-CN"/>
              </w:rPr>
              <w:t>4</w:t>
            </w:r>
          </w:p>
        </w:tc>
      </w:tr>
      <w:tr w14:paraId="6E70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9775D96">
            <w:pPr>
              <w:pStyle w:val="14"/>
              <w:rPr>
                <w:rFonts w:hint="eastAsia" w:eastAsia="宋体"/>
                <w:lang w:eastAsia="zh-CN"/>
              </w:rPr>
            </w:pPr>
            <w:r>
              <w:rPr>
                <w:rFonts w:hint="eastAsia"/>
                <w:lang w:eastAsia="zh-CN"/>
              </w:rPr>
              <w:t>力学</w:t>
            </w:r>
          </w:p>
        </w:tc>
        <w:tc>
          <w:tcPr>
            <w:tcW w:w="1100" w:type="dxa"/>
            <w:vAlign w:val="center"/>
          </w:tcPr>
          <w:p w14:paraId="3CFE9E28">
            <w:pPr>
              <w:pStyle w:val="14"/>
            </w:pPr>
            <w:r>
              <w:rPr>
                <w:rFonts w:hint="default" w:ascii="Arial" w:hAnsi="Arial" w:cs="Arial"/>
              </w:rPr>
              <w:t>√</w:t>
            </w:r>
          </w:p>
        </w:tc>
        <w:tc>
          <w:tcPr>
            <w:tcW w:w="1100" w:type="dxa"/>
            <w:vAlign w:val="center"/>
          </w:tcPr>
          <w:p w14:paraId="41BBE5CB">
            <w:pPr>
              <w:pStyle w:val="14"/>
            </w:pPr>
            <w:r>
              <w:rPr>
                <w:rFonts w:hint="default" w:ascii="Arial" w:hAnsi="Arial" w:cs="Arial"/>
              </w:rPr>
              <w:t>√</w:t>
            </w:r>
          </w:p>
        </w:tc>
        <w:tc>
          <w:tcPr>
            <w:tcW w:w="1100" w:type="dxa"/>
            <w:vAlign w:val="center"/>
          </w:tcPr>
          <w:p w14:paraId="099AF006">
            <w:pPr>
              <w:pStyle w:val="14"/>
            </w:pPr>
            <w:r>
              <w:rPr>
                <w:rFonts w:hint="default" w:ascii="Arial" w:hAnsi="Arial" w:cs="Arial"/>
              </w:rPr>
              <w:t>√</w:t>
            </w:r>
          </w:p>
        </w:tc>
        <w:tc>
          <w:tcPr>
            <w:tcW w:w="1100" w:type="dxa"/>
            <w:vAlign w:val="center"/>
          </w:tcPr>
          <w:p w14:paraId="0A69CF41">
            <w:pPr>
              <w:pStyle w:val="14"/>
              <w:rPr>
                <w:rFonts w:hint="default" w:ascii="Arial" w:hAnsi="Arial" w:cs="Arial"/>
              </w:rPr>
            </w:pPr>
            <w:r>
              <w:rPr>
                <w:rFonts w:hint="default" w:ascii="Arial" w:hAnsi="Arial" w:cs="Arial"/>
              </w:rPr>
              <w:t>√</w:t>
            </w:r>
          </w:p>
        </w:tc>
      </w:tr>
      <w:tr w14:paraId="12F3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6788E93">
            <w:pPr>
              <w:pStyle w:val="14"/>
              <w:rPr>
                <w:rFonts w:hint="eastAsia" w:eastAsia="宋体"/>
                <w:lang w:eastAsia="zh-CN"/>
              </w:rPr>
            </w:pPr>
            <w:r>
              <w:rPr>
                <w:rFonts w:hint="eastAsia"/>
                <w:lang w:eastAsia="zh-CN"/>
              </w:rPr>
              <w:t>电磁学</w:t>
            </w:r>
          </w:p>
        </w:tc>
        <w:tc>
          <w:tcPr>
            <w:tcW w:w="1100" w:type="dxa"/>
            <w:vAlign w:val="center"/>
          </w:tcPr>
          <w:p w14:paraId="525F19AA">
            <w:pPr>
              <w:pStyle w:val="14"/>
            </w:pPr>
            <w:r>
              <w:rPr>
                <w:rFonts w:hint="default" w:ascii="Arial" w:hAnsi="Arial" w:cs="Arial"/>
              </w:rPr>
              <w:t>√</w:t>
            </w:r>
          </w:p>
        </w:tc>
        <w:tc>
          <w:tcPr>
            <w:tcW w:w="1100" w:type="dxa"/>
            <w:vAlign w:val="center"/>
          </w:tcPr>
          <w:p w14:paraId="655844A1">
            <w:pPr>
              <w:pStyle w:val="14"/>
            </w:pPr>
            <w:r>
              <w:rPr>
                <w:rFonts w:hint="default" w:ascii="Arial" w:hAnsi="Arial" w:cs="Arial"/>
              </w:rPr>
              <w:t>√</w:t>
            </w:r>
          </w:p>
        </w:tc>
        <w:tc>
          <w:tcPr>
            <w:tcW w:w="1100" w:type="dxa"/>
            <w:vAlign w:val="center"/>
          </w:tcPr>
          <w:p w14:paraId="51D9851E">
            <w:pPr>
              <w:pStyle w:val="14"/>
            </w:pPr>
            <w:r>
              <w:rPr>
                <w:rFonts w:hint="default" w:ascii="Arial" w:hAnsi="Arial" w:cs="Arial"/>
              </w:rPr>
              <w:t>√</w:t>
            </w:r>
          </w:p>
        </w:tc>
        <w:tc>
          <w:tcPr>
            <w:tcW w:w="1100" w:type="dxa"/>
            <w:vAlign w:val="center"/>
          </w:tcPr>
          <w:p w14:paraId="15D87909">
            <w:pPr>
              <w:pStyle w:val="14"/>
              <w:rPr>
                <w:rFonts w:hint="default" w:ascii="Arial" w:hAnsi="Arial" w:cs="Arial"/>
              </w:rPr>
            </w:pPr>
            <w:r>
              <w:rPr>
                <w:rFonts w:hint="default" w:ascii="Arial" w:hAnsi="Arial" w:cs="Arial"/>
              </w:rPr>
              <w:t>√</w:t>
            </w:r>
          </w:p>
        </w:tc>
      </w:tr>
    </w:tbl>
    <w:p w14:paraId="5465F539">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028"/>
        <w:gridCol w:w="4095"/>
        <w:gridCol w:w="1242"/>
        <w:gridCol w:w="725"/>
        <w:gridCol w:w="669"/>
        <w:gridCol w:w="717"/>
      </w:tblGrid>
      <w:tr w14:paraId="0591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restart"/>
            <w:tcBorders>
              <w:top w:val="single" w:color="auto" w:sz="12" w:space="0"/>
              <w:left w:val="single" w:color="auto" w:sz="12" w:space="0"/>
            </w:tcBorders>
            <w:vAlign w:val="center"/>
          </w:tcPr>
          <w:p w14:paraId="7CDBD88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095" w:type="dxa"/>
            <w:vMerge w:val="restart"/>
            <w:tcBorders>
              <w:top w:val="single" w:color="auto" w:sz="12" w:space="0"/>
            </w:tcBorders>
            <w:vAlign w:val="center"/>
          </w:tcPr>
          <w:p w14:paraId="27526FDE">
            <w:pPr>
              <w:pStyle w:val="13"/>
              <w:widowControl w:val="0"/>
              <w:rPr>
                <w:szCs w:val="21"/>
              </w:rPr>
            </w:pPr>
            <w:r>
              <w:rPr>
                <w:rFonts w:hint="eastAsia" w:ascii="黑体" w:hAnsi="黑体"/>
                <w:szCs w:val="21"/>
              </w:rPr>
              <w:t>教与学方式</w:t>
            </w:r>
          </w:p>
        </w:tc>
        <w:tc>
          <w:tcPr>
            <w:tcW w:w="1242" w:type="dxa"/>
            <w:vMerge w:val="restart"/>
            <w:tcBorders>
              <w:top w:val="single" w:color="auto" w:sz="12" w:space="0"/>
            </w:tcBorders>
            <w:vAlign w:val="center"/>
          </w:tcPr>
          <w:p w14:paraId="0988A9FE">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7CAA0E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D99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continue"/>
            <w:tcBorders>
              <w:left w:val="single" w:color="auto" w:sz="12" w:space="0"/>
            </w:tcBorders>
          </w:tcPr>
          <w:p w14:paraId="1552CAD3">
            <w:pPr>
              <w:widowControl w:val="0"/>
              <w:snapToGrid w:val="0"/>
              <w:jc w:val="center"/>
              <w:rPr>
                <w:rFonts w:ascii="黑体" w:hAnsi="黑体" w:eastAsia="黑体"/>
                <w:bCs/>
                <w:sz w:val="21"/>
                <w:szCs w:val="21"/>
              </w:rPr>
            </w:pPr>
          </w:p>
        </w:tc>
        <w:tc>
          <w:tcPr>
            <w:tcW w:w="4095" w:type="dxa"/>
            <w:vMerge w:val="continue"/>
          </w:tcPr>
          <w:p w14:paraId="0CDC9973">
            <w:pPr>
              <w:widowControl w:val="0"/>
              <w:snapToGrid w:val="0"/>
              <w:jc w:val="center"/>
              <w:rPr>
                <w:rFonts w:ascii="黑体" w:hAnsi="黑体" w:eastAsia="黑体"/>
                <w:bCs/>
                <w:sz w:val="21"/>
                <w:szCs w:val="21"/>
              </w:rPr>
            </w:pPr>
          </w:p>
        </w:tc>
        <w:tc>
          <w:tcPr>
            <w:tcW w:w="1242" w:type="dxa"/>
            <w:vMerge w:val="continue"/>
          </w:tcPr>
          <w:p w14:paraId="78EEA46C">
            <w:pPr>
              <w:widowControl w:val="0"/>
              <w:snapToGrid w:val="0"/>
              <w:jc w:val="center"/>
              <w:rPr>
                <w:rFonts w:ascii="黑体" w:hAnsi="黑体" w:eastAsia="黑体"/>
                <w:bCs/>
                <w:sz w:val="21"/>
                <w:szCs w:val="21"/>
              </w:rPr>
            </w:pPr>
          </w:p>
        </w:tc>
        <w:tc>
          <w:tcPr>
            <w:tcW w:w="725" w:type="dxa"/>
            <w:vAlign w:val="center"/>
          </w:tcPr>
          <w:p w14:paraId="5A21F8E9">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4E0B5C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452DD60">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631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9" w:hRule="atLeast"/>
          <w:jc w:val="center"/>
        </w:trPr>
        <w:tc>
          <w:tcPr>
            <w:tcW w:w="1028" w:type="dxa"/>
            <w:tcBorders>
              <w:left w:val="single" w:color="auto" w:sz="12" w:space="0"/>
            </w:tcBorders>
            <w:vAlign w:val="center"/>
          </w:tcPr>
          <w:p w14:paraId="15E62195">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力学</w:t>
            </w:r>
          </w:p>
        </w:tc>
        <w:tc>
          <w:tcPr>
            <w:tcW w:w="4095" w:type="dxa"/>
            <w:vMerge w:val="restart"/>
            <w:vAlign w:val="center"/>
          </w:tcPr>
          <w:p w14:paraId="31FA9839">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14:paraId="504CB9FB">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14:paraId="3323DBFE">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14:paraId="1CBAD282">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4、同伴教学法：利用一些引导学生深入探究的概念测试题等，引导学生参与教学过程，变传统单一的讲授为基于剖析概念的自主学习和合作探究。 </w:t>
            </w:r>
          </w:p>
          <w:p w14:paraId="35219D94">
            <w:pPr>
              <w:keepNext w:val="0"/>
              <w:keepLines w:val="0"/>
              <w:widowControl/>
              <w:suppressLineNumbers w:val="0"/>
              <w:jc w:val="left"/>
              <w:rPr>
                <w:rFonts w:ascii="Times New Roman" w:hAnsi="Times New Roman"/>
                <w:bCs/>
                <w:sz w:val="21"/>
                <w:szCs w:val="21"/>
              </w:rPr>
            </w:pPr>
            <w:r>
              <w:rPr>
                <w:rFonts w:hint="default" w:ascii="Times New Roman" w:hAnsi="Times New Roman" w:eastAsia="宋体" w:cs="Times New Roman"/>
                <w:color w:val="000000"/>
                <w:kern w:val="0"/>
                <w:sz w:val="21"/>
                <w:szCs w:val="21"/>
                <w:lang w:val="en-US" w:eastAsia="zh-CN" w:bidi="ar"/>
              </w:rPr>
              <w:t>5、练习法：通过大量的例题讲解和课后习题的练习，使学生对教学大纲要求的知识点快速掌握，同时掌握应用物理概念和基本定理解题的技巧。</w:t>
            </w:r>
          </w:p>
        </w:tc>
        <w:tc>
          <w:tcPr>
            <w:tcW w:w="1242" w:type="dxa"/>
            <w:vMerge w:val="restart"/>
            <w:vAlign w:val="center"/>
          </w:tcPr>
          <w:p w14:paraId="32DA2A5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期末考试</w:t>
            </w:r>
          </w:p>
          <w:p w14:paraId="34EB024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作业习题</w:t>
            </w:r>
          </w:p>
          <w:p w14:paraId="5EE8329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课堂表现</w:t>
            </w:r>
          </w:p>
          <w:p w14:paraId="4FAAFF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调查报告</w:t>
            </w:r>
          </w:p>
        </w:tc>
        <w:tc>
          <w:tcPr>
            <w:tcW w:w="725" w:type="dxa"/>
            <w:vAlign w:val="center"/>
          </w:tcPr>
          <w:p w14:paraId="054B50F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6CA8669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B50B3F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03B6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028" w:type="dxa"/>
            <w:tcBorders>
              <w:left w:val="single" w:color="auto" w:sz="12" w:space="0"/>
            </w:tcBorders>
            <w:vAlign w:val="center"/>
          </w:tcPr>
          <w:p w14:paraId="4C4BF91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电磁学</w:t>
            </w:r>
          </w:p>
        </w:tc>
        <w:tc>
          <w:tcPr>
            <w:tcW w:w="4095" w:type="dxa"/>
            <w:vMerge w:val="continue"/>
            <w:vAlign w:val="center"/>
          </w:tcPr>
          <w:p w14:paraId="1409D502">
            <w:pPr>
              <w:widowControl w:val="0"/>
              <w:snapToGrid w:val="0"/>
              <w:jc w:val="center"/>
              <w:rPr>
                <w:rFonts w:ascii="Times New Roman" w:hAnsi="Times New Roman"/>
                <w:bCs/>
                <w:sz w:val="21"/>
                <w:szCs w:val="21"/>
              </w:rPr>
            </w:pPr>
          </w:p>
        </w:tc>
        <w:tc>
          <w:tcPr>
            <w:tcW w:w="1242" w:type="dxa"/>
            <w:vMerge w:val="continue"/>
            <w:vAlign w:val="center"/>
          </w:tcPr>
          <w:p w14:paraId="5317BAA1">
            <w:pPr>
              <w:widowControl w:val="0"/>
              <w:snapToGrid w:val="0"/>
              <w:jc w:val="center"/>
              <w:rPr>
                <w:rFonts w:ascii="Times New Roman" w:hAnsi="Times New Roman"/>
                <w:bCs/>
                <w:sz w:val="21"/>
                <w:szCs w:val="21"/>
              </w:rPr>
            </w:pPr>
          </w:p>
        </w:tc>
        <w:tc>
          <w:tcPr>
            <w:tcW w:w="725" w:type="dxa"/>
            <w:vAlign w:val="center"/>
          </w:tcPr>
          <w:p w14:paraId="44C615C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1DF017C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1A38AE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00AF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735685C">
            <w:pPr>
              <w:pStyle w:val="13"/>
              <w:widowControl w:val="0"/>
            </w:pPr>
            <w:r>
              <w:rPr>
                <w:rFonts w:hint="eastAsia"/>
              </w:rPr>
              <w:t>合计</w:t>
            </w:r>
          </w:p>
        </w:tc>
        <w:tc>
          <w:tcPr>
            <w:tcW w:w="725" w:type="dxa"/>
            <w:tcBorders>
              <w:bottom w:val="single" w:color="auto" w:sz="12" w:space="0"/>
            </w:tcBorders>
            <w:vAlign w:val="center"/>
          </w:tcPr>
          <w:p w14:paraId="45E5A6C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7C541DEC">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5924487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3D584B4D">
      <w:pPr>
        <w:pStyle w:val="16"/>
        <w:spacing w:before="326" w:beforeLines="100" w:line="360" w:lineRule="auto"/>
        <w:ind w:firstLine="140" w:firstLineChars="50"/>
        <w:rPr>
          <w:rFonts w:ascii="黑体" w:hAnsi="宋体"/>
        </w:rPr>
      </w:pPr>
      <w:r>
        <w:rPr>
          <w:rFonts w:hint="eastAsia" w:ascii="黑体" w:hAnsi="宋体"/>
        </w:rPr>
        <w:t>四、课程思政教学设计</w:t>
      </w:r>
    </w:p>
    <w:bookmarkEnd w:id="0"/>
    <w:bookmarkEnd w:id="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1CA7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14:paraId="455B294B">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1、使学生在学习物理学知识的同时,逐步建立正确的思想方法和研究方法,充分发挥本课程在培养学生辩证唯物主义世界观方面的作用, 将马克思主义立场观点方法的教育与科学精神的培养结合起来，进行科学素质教育。 </w:t>
            </w:r>
          </w:p>
          <w:p w14:paraId="2832768E">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14:paraId="60AF4B94">
            <w:pPr>
              <w:widowControl w:val="0"/>
              <w:spacing w:line="360" w:lineRule="exact"/>
              <w:jc w:val="both"/>
              <w:rPr>
                <w:rFonts w:hint="eastAsia"/>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14:paraId="31AAE4DF">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29E9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DFAA77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1469F0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6849A51">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136267CD">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14:paraId="15486A26">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5B7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3E6CD49">
            <w:pPr>
              <w:widowControl w:val="0"/>
              <w:snapToGrid w:val="0"/>
              <w:jc w:val="center"/>
              <w:rPr>
                <w:rFonts w:ascii="黑体" w:hAnsi="黑体" w:eastAsia="黑体"/>
                <w:bCs/>
                <w:sz w:val="21"/>
                <w:szCs w:val="21"/>
              </w:rPr>
            </w:pPr>
          </w:p>
        </w:tc>
        <w:tc>
          <w:tcPr>
            <w:tcW w:w="709" w:type="dxa"/>
            <w:vMerge w:val="continue"/>
          </w:tcPr>
          <w:p w14:paraId="1F18BF87">
            <w:pPr>
              <w:pStyle w:val="16"/>
              <w:widowControl w:val="0"/>
              <w:jc w:val="both"/>
              <w:rPr>
                <w:rFonts w:ascii="黑体" w:hAnsi="黑体"/>
                <w:bCs/>
                <w:sz w:val="21"/>
                <w:szCs w:val="21"/>
              </w:rPr>
            </w:pPr>
          </w:p>
        </w:tc>
        <w:tc>
          <w:tcPr>
            <w:tcW w:w="2353" w:type="dxa"/>
            <w:vMerge w:val="continue"/>
            <w:tcBorders>
              <w:right w:val="double" w:color="auto" w:sz="4" w:space="0"/>
            </w:tcBorders>
          </w:tcPr>
          <w:p w14:paraId="0EB3BCE5">
            <w:pPr>
              <w:pStyle w:val="16"/>
              <w:widowControl w:val="0"/>
              <w:jc w:val="both"/>
              <w:rPr>
                <w:rFonts w:ascii="黑体" w:hAnsi="黑体"/>
                <w:bCs/>
                <w:sz w:val="21"/>
                <w:szCs w:val="21"/>
              </w:rPr>
            </w:pPr>
          </w:p>
        </w:tc>
        <w:tc>
          <w:tcPr>
            <w:tcW w:w="612" w:type="dxa"/>
            <w:tcBorders>
              <w:left w:val="double" w:color="auto" w:sz="4" w:space="0"/>
            </w:tcBorders>
            <w:vAlign w:val="center"/>
          </w:tcPr>
          <w:p w14:paraId="7E2329D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00688871">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55A7D18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74DFFB5A">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vAlign w:val="top"/>
          </w:tcPr>
          <w:p w14:paraId="0F2511DE">
            <w:pPr>
              <w:pStyle w:val="16"/>
              <w:widowControl w:val="0"/>
              <w:spacing w:line="240" w:lineRule="auto"/>
              <w:jc w:val="center"/>
              <w:rPr>
                <w:rFonts w:ascii="黑体" w:hAnsi="黑体"/>
                <w:bCs/>
                <w:sz w:val="21"/>
                <w:szCs w:val="21"/>
              </w:rPr>
            </w:pPr>
          </w:p>
        </w:tc>
      </w:tr>
      <w:tr w14:paraId="759C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16A432D">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EA3455A">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14:paraId="2468E63E">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14:paraId="55E63572">
            <w:pPr>
              <w:pStyle w:val="14"/>
              <w:widowControl w:val="0"/>
              <w:rPr>
                <w:rFonts w:hint="default" w:eastAsia="宋体"/>
                <w:lang w:val="en-US" w:eastAsia="zh-CN"/>
              </w:rPr>
            </w:pPr>
            <w:r>
              <w:rPr>
                <w:rFonts w:hint="eastAsia"/>
                <w:lang w:val="en-US" w:eastAsia="zh-CN"/>
              </w:rPr>
              <w:t>60</w:t>
            </w:r>
          </w:p>
        </w:tc>
        <w:tc>
          <w:tcPr>
            <w:tcW w:w="612" w:type="dxa"/>
            <w:vAlign w:val="center"/>
          </w:tcPr>
          <w:p w14:paraId="5389B158">
            <w:pPr>
              <w:pStyle w:val="14"/>
              <w:widowControl w:val="0"/>
              <w:rPr>
                <w:rFonts w:hint="default" w:eastAsia="宋体"/>
                <w:lang w:val="en-US" w:eastAsia="zh-CN"/>
              </w:rPr>
            </w:pPr>
            <w:r>
              <w:rPr>
                <w:rFonts w:hint="eastAsia"/>
                <w:lang w:val="en-US" w:eastAsia="zh-CN"/>
              </w:rPr>
              <w:t>5</w:t>
            </w:r>
          </w:p>
        </w:tc>
        <w:tc>
          <w:tcPr>
            <w:tcW w:w="612" w:type="dxa"/>
            <w:vAlign w:val="center"/>
          </w:tcPr>
          <w:p w14:paraId="07C400C7">
            <w:pPr>
              <w:pStyle w:val="14"/>
              <w:widowControl w:val="0"/>
              <w:rPr>
                <w:rFonts w:hint="default"/>
                <w:lang w:val="en-US"/>
              </w:rPr>
            </w:pPr>
            <w:r>
              <w:rPr>
                <w:rFonts w:hint="eastAsia"/>
                <w:lang w:val="en-US" w:eastAsia="zh-CN"/>
              </w:rPr>
              <w:t>30</w:t>
            </w:r>
          </w:p>
        </w:tc>
        <w:tc>
          <w:tcPr>
            <w:tcW w:w="612" w:type="dxa"/>
            <w:vAlign w:val="center"/>
          </w:tcPr>
          <w:p w14:paraId="750C3CCA">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14:paraId="42C1E39C">
            <w:pPr>
              <w:pStyle w:val="14"/>
              <w:widowControl w:val="0"/>
            </w:pPr>
            <w:r>
              <w:rPr>
                <w:rFonts w:hint="eastAsia"/>
              </w:rPr>
              <w:t>1</w:t>
            </w:r>
            <w:r>
              <w:t>00</w:t>
            </w:r>
          </w:p>
        </w:tc>
      </w:tr>
      <w:tr w14:paraId="0136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81874B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35658413">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6A4E5F3F">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14:paraId="0FFFEC1F">
            <w:pPr>
              <w:pStyle w:val="14"/>
              <w:widowControl w:val="0"/>
              <w:rPr>
                <w:rFonts w:hint="default" w:eastAsia="宋体"/>
                <w:lang w:val="en-US" w:eastAsia="zh-CN"/>
              </w:rPr>
            </w:pPr>
            <w:r>
              <w:rPr>
                <w:rFonts w:hint="eastAsia"/>
                <w:lang w:val="en-US" w:eastAsia="zh-CN"/>
              </w:rPr>
              <w:t>40</w:t>
            </w:r>
          </w:p>
        </w:tc>
        <w:tc>
          <w:tcPr>
            <w:tcW w:w="612" w:type="dxa"/>
            <w:vAlign w:val="center"/>
          </w:tcPr>
          <w:p w14:paraId="27F16C8F">
            <w:pPr>
              <w:pStyle w:val="14"/>
              <w:widowControl w:val="0"/>
              <w:rPr>
                <w:rFonts w:hint="default" w:eastAsia="宋体"/>
                <w:lang w:val="en-US" w:eastAsia="zh-CN"/>
              </w:rPr>
            </w:pPr>
          </w:p>
        </w:tc>
        <w:tc>
          <w:tcPr>
            <w:tcW w:w="612" w:type="dxa"/>
            <w:vAlign w:val="center"/>
          </w:tcPr>
          <w:p w14:paraId="2A8B17DF">
            <w:pPr>
              <w:pStyle w:val="14"/>
              <w:widowControl w:val="0"/>
            </w:pPr>
            <w:r>
              <w:rPr>
                <w:rFonts w:hint="eastAsia"/>
                <w:lang w:val="en-US" w:eastAsia="zh-CN"/>
              </w:rPr>
              <w:t>60</w:t>
            </w:r>
          </w:p>
        </w:tc>
        <w:tc>
          <w:tcPr>
            <w:tcW w:w="612" w:type="dxa"/>
            <w:vAlign w:val="center"/>
          </w:tcPr>
          <w:p w14:paraId="55A82B47">
            <w:pPr>
              <w:pStyle w:val="14"/>
              <w:widowControl w:val="0"/>
            </w:pPr>
          </w:p>
        </w:tc>
        <w:tc>
          <w:tcPr>
            <w:tcW w:w="706" w:type="dxa"/>
            <w:tcBorders>
              <w:right w:val="single" w:color="auto" w:sz="12" w:space="0"/>
            </w:tcBorders>
            <w:vAlign w:val="center"/>
          </w:tcPr>
          <w:p w14:paraId="79D10F78">
            <w:pPr>
              <w:pStyle w:val="14"/>
              <w:widowControl w:val="0"/>
            </w:pPr>
            <w:r>
              <w:rPr>
                <w:rFonts w:hint="eastAsia"/>
              </w:rPr>
              <w:t>1</w:t>
            </w:r>
            <w:r>
              <w:t>00</w:t>
            </w:r>
          </w:p>
        </w:tc>
      </w:tr>
      <w:tr w14:paraId="7F1B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76FF5B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7661B1A5">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35661C5A">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14:paraId="47250DB3">
            <w:pPr>
              <w:pStyle w:val="14"/>
              <w:widowControl w:val="0"/>
              <w:rPr>
                <w:rFonts w:hint="default" w:eastAsia="宋体"/>
                <w:lang w:val="en-US" w:eastAsia="zh-CN"/>
              </w:rPr>
            </w:pPr>
            <w:r>
              <w:rPr>
                <w:rFonts w:hint="eastAsia"/>
                <w:lang w:val="en-US" w:eastAsia="zh-CN"/>
              </w:rPr>
              <w:t>80</w:t>
            </w:r>
          </w:p>
        </w:tc>
        <w:tc>
          <w:tcPr>
            <w:tcW w:w="612" w:type="dxa"/>
            <w:vAlign w:val="center"/>
          </w:tcPr>
          <w:p w14:paraId="55DF32FB">
            <w:pPr>
              <w:pStyle w:val="14"/>
              <w:widowControl w:val="0"/>
            </w:pPr>
          </w:p>
        </w:tc>
        <w:tc>
          <w:tcPr>
            <w:tcW w:w="612" w:type="dxa"/>
            <w:vAlign w:val="center"/>
          </w:tcPr>
          <w:p w14:paraId="347038DC">
            <w:pPr>
              <w:pStyle w:val="14"/>
              <w:widowControl w:val="0"/>
              <w:rPr>
                <w:rFonts w:hint="default" w:eastAsia="宋体"/>
                <w:lang w:val="en-US" w:eastAsia="zh-CN"/>
              </w:rPr>
            </w:pPr>
          </w:p>
        </w:tc>
        <w:tc>
          <w:tcPr>
            <w:tcW w:w="612" w:type="dxa"/>
            <w:vAlign w:val="center"/>
          </w:tcPr>
          <w:p w14:paraId="352C121C">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2E87A7E6">
            <w:pPr>
              <w:pStyle w:val="14"/>
              <w:widowControl w:val="0"/>
            </w:pPr>
            <w:r>
              <w:rPr>
                <w:rFonts w:hint="eastAsia"/>
              </w:rPr>
              <w:t>1</w:t>
            </w:r>
            <w:r>
              <w:t>00</w:t>
            </w:r>
          </w:p>
        </w:tc>
      </w:tr>
      <w:tr w14:paraId="200E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FA4092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62B2EFDF">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14:paraId="7E63A2D7">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14:paraId="4EA203A9">
            <w:pPr>
              <w:pStyle w:val="14"/>
              <w:widowControl w:val="0"/>
            </w:pPr>
          </w:p>
        </w:tc>
        <w:tc>
          <w:tcPr>
            <w:tcW w:w="612" w:type="dxa"/>
            <w:vAlign w:val="center"/>
          </w:tcPr>
          <w:p w14:paraId="0381E2A3">
            <w:pPr>
              <w:pStyle w:val="14"/>
              <w:widowControl w:val="0"/>
              <w:rPr>
                <w:rFonts w:hint="default" w:eastAsia="宋体"/>
                <w:lang w:val="en-US" w:eastAsia="zh-CN"/>
              </w:rPr>
            </w:pPr>
            <w:r>
              <w:rPr>
                <w:rFonts w:hint="eastAsia"/>
                <w:lang w:val="en-US" w:eastAsia="zh-CN"/>
              </w:rPr>
              <w:t>80</w:t>
            </w:r>
          </w:p>
        </w:tc>
        <w:tc>
          <w:tcPr>
            <w:tcW w:w="612" w:type="dxa"/>
            <w:vAlign w:val="center"/>
          </w:tcPr>
          <w:p w14:paraId="394A80A7">
            <w:pPr>
              <w:pStyle w:val="14"/>
              <w:widowControl w:val="0"/>
              <w:rPr>
                <w:rFonts w:hint="default" w:eastAsia="宋体"/>
                <w:lang w:val="en-US" w:eastAsia="zh-CN"/>
              </w:rPr>
            </w:pPr>
          </w:p>
        </w:tc>
        <w:tc>
          <w:tcPr>
            <w:tcW w:w="612" w:type="dxa"/>
            <w:vAlign w:val="center"/>
          </w:tcPr>
          <w:p w14:paraId="29B6729D">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3186DEF6">
            <w:pPr>
              <w:pStyle w:val="14"/>
              <w:widowControl w:val="0"/>
            </w:pPr>
            <w:r>
              <w:rPr>
                <w:rFonts w:hint="eastAsia"/>
              </w:rPr>
              <w:t>1</w:t>
            </w:r>
            <w:r>
              <w:t>00</w:t>
            </w:r>
          </w:p>
        </w:tc>
      </w:tr>
    </w:tbl>
    <w:p w14:paraId="24C9C8D1">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4D4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0D1983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0D1983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D90D6"/>
    <w:multiLevelType w:val="singleLevel"/>
    <w:tmpl w:val="C61D90D6"/>
    <w:lvl w:ilvl="0" w:tentative="0">
      <w:start w:val="1"/>
      <w:numFmt w:val="decimal"/>
      <w:suff w:val="nothing"/>
      <w:lvlText w:val="%1、"/>
      <w:lvlJc w:val="left"/>
    </w:lvl>
  </w:abstractNum>
  <w:abstractNum w:abstractNumId="1">
    <w:nsid w:val="D0977A74"/>
    <w:multiLevelType w:val="singleLevel"/>
    <w:tmpl w:val="D0977A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6D035E"/>
    <w:rsid w:val="053A5A24"/>
    <w:rsid w:val="07520D4F"/>
    <w:rsid w:val="09901291"/>
    <w:rsid w:val="0A8128A6"/>
    <w:rsid w:val="0BF32A1B"/>
    <w:rsid w:val="0C747AF0"/>
    <w:rsid w:val="0D3D55A3"/>
    <w:rsid w:val="10BD2C22"/>
    <w:rsid w:val="19562B45"/>
    <w:rsid w:val="1B093668"/>
    <w:rsid w:val="1F3C4E81"/>
    <w:rsid w:val="22987C80"/>
    <w:rsid w:val="236773C3"/>
    <w:rsid w:val="24192CCC"/>
    <w:rsid w:val="2A1B63F2"/>
    <w:rsid w:val="2CD144D3"/>
    <w:rsid w:val="2E1D7542"/>
    <w:rsid w:val="3061701B"/>
    <w:rsid w:val="320478DA"/>
    <w:rsid w:val="323D487E"/>
    <w:rsid w:val="33940007"/>
    <w:rsid w:val="38AD4702"/>
    <w:rsid w:val="39404978"/>
    <w:rsid w:val="39A66CD4"/>
    <w:rsid w:val="3BBA52A8"/>
    <w:rsid w:val="3CD52CE1"/>
    <w:rsid w:val="3FF83F52"/>
    <w:rsid w:val="410F2E6A"/>
    <w:rsid w:val="4430136C"/>
    <w:rsid w:val="4AB0382B"/>
    <w:rsid w:val="4EDD4C16"/>
    <w:rsid w:val="50A91DD5"/>
    <w:rsid w:val="50DB3D9F"/>
    <w:rsid w:val="55125A51"/>
    <w:rsid w:val="569868B5"/>
    <w:rsid w:val="597B350D"/>
    <w:rsid w:val="5A6406E9"/>
    <w:rsid w:val="5AF0177A"/>
    <w:rsid w:val="5C207B24"/>
    <w:rsid w:val="5C430B28"/>
    <w:rsid w:val="5C7B084D"/>
    <w:rsid w:val="611F6817"/>
    <w:rsid w:val="64E71501"/>
    <w:rsid w:val="66CA1754"/>
    <w:rsid w:val="680B2F59"/>
    <w:rsid w:val="699F378D"/>
    <w:rsid w:val="6B1E4B6C"/>
    <w:rsid w:val="6CCD41D3"/>
    <w:rsid w:val="6DAD27AA"/>
    <w:rsid w:val="6DFA6436"/>
    <w:rsid w:val="6F1E65D4"/>
    <w:rsid w:val="6F266C86"/>
    <w:rsid w:val="6F5042C2"/>
    <w:rsid w:val="719D7059"/>
    <w:rsid w:val="74316312"/>
    <w:rsid w:val="75885216"/>
    <w:rsid w:val="75E12705"/>
    <w:rsid w:val="7614190F"/>
    <w:rsid w:val="780F13C8"/>
    <w:rsid w:val="786D6A2C"/>
    <w:rsid w:val="7C385448"/>
    <w:rsid w:val="7CB3663D"/>
    <w:rsid w:val="7F471308"/>
    <w:rsid w:val="7FB16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4901</Words>
  <Characters>5059</Characters>
  <Lines>6</Lines>
  <Paragraphs>1</Paragraphs>
  <TotalTime>2</TotalTime>
  <ScaleCrop>false</ScaleCrop>
  <LinksUpToDate>false</LinksUpToDate>
  <CharactersWithSpaces>5199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xw119</cp:lastModifiedBy>
  <cp:lastPrinted>2024-09-09T02:52:00Z</cp:lastPrinted>
  <dcterms:modified xsi:type="dcterms:W3CDTF">2024-09-11T06:42:31Z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4AB0FCE91C734D94867CA1FCE69F60EF_13</vt:lpwstr>
  </property>
</Properties>
</file>