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17E9FE30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08652E" w:rsidRPr="0008652E">
        <w:rPr>
          <w:rFonts w:ascii="黑体" w:eastAsia="黑体" w:hAnsi="黑体" w:hint="eastAsia"/>
          <w:bCs/>
          <w:sz w:val="32"/>
          <w:szCs w:val="32"/>
        </w:rPr>
        <w:t>南半球故事-澳大利亚的自然与人文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796E9C89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08652E" w:rsidRPr="0008652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南半球故事-澳大利亚的自然与人文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3E257103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08652E" w:rsidRPr="0008652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The Nature and Culture of Australia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521E609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11D487A" w:rsidR="00EE1C85" w:rsidRPr="00290962" w:rsidRDefault="00E61B28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716BBC9" w:rsidR="00D57CF5" w:rsidRPr="00290962" w:rsidRDefault="00E61B28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B8B0D72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1021B2E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45ED46AF" w:rsidR="00D57CF5" w:rsidRPr="00290962" w:rsidRDefault="00E61B28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D7ECCC0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全校各专业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C721F08" w:rsidR="00D57CF5" w:rsidRPr="00290962" w:rsidRDefault="00E61B28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1AAE3C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08C98B50" w:rsidR="000203E0" w:rsidRPr="00290962" w:rsidRDefault="00E61B2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全民发呆的澳洲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》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,</w:t>
            </w:r>
            <w:r w:rsidR="00E87264">
              <w:rPr>
                <w:rFonts w:hint="eastAsia"/>
              </w:rPr>
              <w:t xml:space="preserve"> </w:t>
            </w:r>
            <w:r w:rsidR="00E87264" w:rsidRP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比尔·布莱森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="00E87264" w:rsidRP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江苏凤凰文艺出版社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2019.12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960E2BF" w:rsidR="000203E0" w:rsidRPr="00290962" w:rsidRDefault="00E61B2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633288E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D57CF5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F8B9BA2" w14:textId="77777777" w:rsidR="00B9609A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本课程以教师在澳大利亚的留学与生活体验为基础，带领学生深入了解澳洲的自然风光、人文特色与社会文化。从悉尼的海港与歌剧院，到墨尔本的咖啡文化与艺术街区；从原住民的精神信仰到现代多元社会的融合与冲突，课程将以真实的故事、影像资料、音乐与艺术作品为载体，展示一个充满生命力与多样性的澳大利亚。</w:t>
            </w:r>
          </w:p>
          <w:p w14:paraId="29DE8E7D" w14:textId="77777777" w:rsidR="00B9609A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学生将通过主题讲授、影片赏析、讨论与实践活动，认识澳洲的教育体系、生态观念、设计理念与生活方式，理解中西文化差异与跨文化交流的复杂性。课程鼓励学生结合自身视角，进行文化观察、图文创作与反思性写作，培养全球视野与人文理解力。</w:t>
            </w:r>
          </w:p>
          <w:p w14:paraId="2F9259C8" w14:textId="5A0D15F8" w:rsidR="00D57CF5" w:rsidRPr="00290962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通过学习，学生不仅能感受南半球的独特魅力，更能思考现代社会中的多元共存、文化认同与生活美学，从而在文化交流与个人成长之间找到新的平衡与启发。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0C6926F3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本课程适合所有各专业对</w:t>
            </w:r>
            <w:r w:rsidR="00F23D9C">
              <w:rPr>
                <w:rFonts w:hint="eastAsia"/>
                <w:bCs/>
              </w:rPr>
              <w:t>大洋洲澳大利亚生活及风土人情</w:t>
            </w:r>
            <w:r>
              <w:rPr>
                <w:rFonts w:hint="eastAsia"/>
                <w:bCs/>
              </w:rPr>
              <w:t>感兴趣的学生。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A4423D5" w:rsidR="009E2CDD" w:rsidRPr="00DD1052" w:rsidRDefault="009E2CDD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36109D8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30CFB299" w:rsidR="009E2CDD" w:rsidRPr="00DD1052" w:rsidRDefault="009E2CDD" w:rsidP="0027339A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F4DF6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2B035207" w:rsidR="009E2CDD" w:rsidRPr="00DD1052" w:rsidRDefault="009E2CDD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4A149497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61B28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27DC70D3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了解澳大利亚的自然地理、人文历史与社会结构，掌握其多元文化形成的背景与主要特征。</w:t>
            </w:r>
          </w:p>
        </w:tc>
      </w:tr>
      <w:tr w:rsidR="00E61B28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E61B28" w:rsidRPr="003C61A5" w:rsidRDefault="00E61B28" w:rsidP="00E61B28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0348A042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ascii="宋体" w:hAnsi="宋体" w:hint="eastAsia"/>
                <w:bCs/>
              </w:rPr>
              <w:t>掌握澳大利亚主要城市（如悉尼、墨尔本等）的文化符号、生活方式及其与全球化的关联。</w:t>
            </w:r>
          </w:p>
        </w:tc>
      </w:tr>
      <w:tr w:rsidR="00E61B28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6B5D3317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具备跨文化观察与比较分析能力，能够从社会、艺术与生活角度解读不同文化现象。</w:t>
            </w:r>
          </w:p>
        </w:tc>
      </w:tr>
      <w:tr w:rsidR="00E61B28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5CD351F8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能够运用影像、文字或图文结合的方式进行文化表达与反思，形成具有个人视角的文化观察成果。</w:t>
            </w:r>
          </w:p>
        </w:tc>
      </w:tr>
      <w:tr w:rsidR="00E61B28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E61B28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3256DD1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培养开放、多元与包容的文化视野，理解并尊重不同社会背景下的生活方式与价值观。</w:t>
            </w:r>
          </w:p>
        </w:tc>
      </w:tr>
      <w:tr w:rsidR="00E61B28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22B86131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提升人文思辨与审美鉴赏能力，在全球化语境中形成自我认同与文化自信。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15B8D" w14:paraId="644F64E0" w14:textId="77777777" w:rsidTr="00BE4830">
        <w:tc>
          <w:tcPr>
            <w:tcW w:w="8276" w:type="dxa"/>
          </w:tcPr>
          <w:p w14:paraId="3E6C85A2" w14:textId="2C518EBE" w:rsidR="005770A6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LO3：理解他人的观点，尊重他人的价值观，能在不同场合用书面或口头形式进行有效沟通。</w:t>
            </w:r>
          </w:p>
        </w:tc>
      </w:tr>
      <w:tr w:rsidR="00E61B28" w14:paraId="504CB5CB" w14:textId="77777777" w:rsidTr="00BE4830">
        <w:tc>
          <w:tcPr>
            <w:tcW w:w="8276" w:type="dxa"/>
          </w:tcPr>
          <w:p w14:paraId="1D7C9AD6" w14:textId="1F0FAAD7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L053: 懂得审美，有发现美、感受美、鉴赏美、评价美、创造美的能力。</w:t>
            </w:r>
          </w:p>
        </w:tc>
      </w:tr>
      <w:tr w:rsidR="00E61B28" w14:paraId="3B4E9BD8" w14:textId="77777777" w:rsidTr="00BE4830">
        <w:tc>
          <w:tcPr>
            <w:tcW w:w="8276" w:type="dxa"/>
          </w:tcPr>
          <w:p w14:paraId="20E2E3EC" w14:textId="48C7953D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LO8：具有基本的外语表达沟通能力与跨文化理解能力，有国际竞争与合作的意识。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237D" w14:paraId="6D99A554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453889E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3990BAE9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732953F" w14:textId="43ACF9A7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67AA3D9" w14:textId="5DF25701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3500AB50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0DC4F7FB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33687062" w14:textId="6020052E" w:rsidR="00FB237D" w:rsidRPr="0027339A" w:rsidRDefault="00FB237D" w:rsidP="00FB237D">
            <w:pPr>
              <w:pStyle w:val="DG0"/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AC35F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1A03BAD" w14:textId="47739146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B1E0CA0" w14:textId="379902EC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AD7397B" w14:textId="0411DF12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352B622A" w14:textId="77777777" w:rsidTr="001B16A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5937F2AF" w14:textId="3CA76605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5F77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D48766" w14:textId="7D01954B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05B19BC" w14:textId="40C96963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1F73EA6" w14:textId="09DCE0A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2189"/>
              <w:gridCol w:w="2287"/>
              <w:gridCol w:w="2058"/>
            </w:tblGrid>
            <w:tr w:rsidR="00B10701" w:rsidRPr="00166542" w14:paraId="3C7B9D56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CD9143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 w:rsidRPr="00166542">
                    <w:rPr>
                      <w:rStyle w:val="a9"/>
                      <w:sz w:val="21"/>
                      <w:szCs w:val="21"/>
                    </w:rPr>
                    <w:t>单元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A6F03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主要知识点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19E5B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能力要求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4F8DA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教学难点</w:t>
                  </w:r>
                </w:p>
              </w:tc>
            </w:tr>
            <w:tr w:rsidR="00B10701" w:rsidRPr="00166542" w14:paraId="381C67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4FB36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第一单元：走进澳大利亚——自然与地理的多样性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3258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澳洲的自然地理概况、气候特征与生态环境；独特的动植物与可持续理念。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295A9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能够通过地图与影像识读澳洲地理与生态特征，理解自然环境对社会与生活方式的影响。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45F64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学生对地理环境与文化关联的理解较弱；需通过视觉化案例激发兴趣。</w:t>
                  </w:r>
                </w:p>
              </w:tc>
            </w:tr>
            <w:tr w:rsidR="00B10701" w:rsidRPr="00166542" w14:paraId="159B4F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8FEF2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第二单元：多元文化的形成与族群共存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96135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原住民文化与精神信仰；殖民历史；多元族群与现代社会结构。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2F92F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能够分析文化融合、冲突与认同的过程，培养跨文化理解与比较分析能力。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E4C2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原住民文化抽象、资料分散；学生易流于表面印象。</w:t>
                  </w:r>
                </w:p>
              </w:tc>
            </w:tr>
            <w:tr w:rsidR="00B10701" w:rsidRPr="00166542" w14:paraId="7E324C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44CBB9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第三单元：城市与生活——悉尼与墨尔本的文化对话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827DD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城市空间与生活方式；咖啡文化、艺术节与设计产业；教育与城市精神。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E10D7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能够通过案例分析城市文化现象，理解城市文化与生活方式之间的关系。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90ADB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城市文化内容丰富，需引导学生抓住核心主题；部分学生缺乏城市文化体验。</w:t>
                  </w:r>
                </w:p>
              </w:tc>
            </w:tr>
            <w:tr w:rsidR="00B10701" w:rsidRPr="00166542" w14:paraId="0CE7D0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9C560D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第四单元：艺术与日常——影像中的澳洲精神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E2DEE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澳大利亚电影、音乐、建筑与艺术作品中的文化表达。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4CAF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具备影像与艺术作品的文化解读能力，能用视觉语言表达文化理解。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A6454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学生艺术分析能力差异大，需提供多媒体示范与引导。</w:t>
                  </w:r>
                </w:p>
              </w:tc>
            </w:tr>
            <w:tr w:rsidR="00B10701" w:rsidRPr="00166542" w14:paraId="4416DC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AD44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第五单元：跨文化视角与个人反思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F420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中澳文化差异与沟通；跨文化交流中的身份认同与适应；全球化背景下的文化共生。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5A96A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能够结合自身经验撰写文化观察报告或创作作品，表达个人视角与文化思考。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1264B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跨文化反思抽象，学生需教师引导从具体案例出发。</w:t>
                  </w:r>
                </w:p>
              </w:tc>
            </w:tr>
          </w:tbl>
          <w:p w14:paraId="063BC27F" w14:textId="77777777" w:rsidR="0018767C" w:rsidRPr="00B10701" w:rsidRDefault="0018767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2B0EBA6C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11855039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77777777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7D0E2C4F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4C8C07D5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ABADD7E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</w:tr>
      <w:tr w:rsidR="00FB237D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72825CAE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一．</w:t>
            </w:r>
            <w:r w:rsidR="00DB2BCA" w:rsidRPr="00DB2BCA">
              <w:rPr>
                <w:rFonts w:hint="eastAsia"/>
                <w:sz w:val="20"/>
                <w:szCs w:val="20"/>
              </w:rPr>
              <w:t>走进澳大利亚——自然与地理的多样性</w:t>
            </w:r>
          </w:p>
        </w:tc>
        <w:tc>
          <w:tcPr>
            <w:tcW w:w="1074" w:type="dxa"/>
            <w:vAlign w:val="center"/>
          </w:tcPr>
          <w:p w14:paraId="3833F6F2" w14:textId="730D82F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4009DFDC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F64818" w14:textId="686663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3AF48B6D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FB237D" w:rsidRPr="00E71319" w:rsidRDefault="00FB237D" w:rsidP="00FB237D">
            <w:pPr>
              <w:pStyle w:val="DG0"/>
            </w:pPr>
          </w:p>
        </w:tc>
      </w:tr>
      <w:tr w:rsidR="00FB237D" w:rsidRPr="005126F1" w14:paraId="03D29C0A" w14:textId="03CCE92A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2E7E948F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DB2BCA" w:rsidRPr="00DB2BCA">
              <w:rPr>
                <w:rFonts w:hint="eastAsia"/>
                <w:sz w:val="20"/>
                <w:szCs w:val="20"/>
              </w:rPr>
              <w:t>多元文化的形成与族群共存</w:t>
            </w:r>
          </w:p>
        </w:tc>
        <w:tc>
          <w:tcPr>
            <w:tcW w:w="1074" w:type="dxa"/>
            <w:vAlign w:val="center"/>
          </w:tcPr>
          <w:p w14:paraId="4DEA4A96" w14:textId="551FD3B4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04FEF4" w14:textId="4B0FBAA2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7FFDC7" w14:textId="52ADF7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 w14:textId="77059F0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 w14:textId="2DB3483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F5781B3" w14:textId="351DD923" w:rsidR="00FB237D" w:rsidRPr="00E71319" w:rsidRDefault="00FB237D" w:rsidP="00FB237D">
            <w:pPr>
              <w:pStyle w:val="DG0"/>
            </w:pPr>
          </w:p>
        </w:tc>
      </w:tr>
      <w:tr w:rsidR="00FB237D" w:rsidRPr="005126F1" w14:paraId="6F36EA7B" w14:textId="77777777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B779BC" w14:textId="0B7FBC24" w:rsidR="00FB237D" w:rsidRPr="00E71319" w:rsidRDefault="00DB2BCA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三：</w:t>
            </w:r>
            <w:r w:rsidRPr="00DB2BCA">
              <w:rPr>
                <w:rFonts w:hint="eastAsia"/>
                <w:sz w:val="20"/>
                <w:szCs w:val="20"/>
              </w:rPr>
              <w:t>城市与生活——悉尼与墨尔本的文化对话</w:t>
            </w:r>
          </w:p>
        </w:tc>
        <w:tc>
          <w:tcPr>
            <w:tcW w:w="1074" w:type="dxa"/>
            <w:vAlign w:val="center"/>
          </w:tcPr>
          <w:p w14:paraId="2EC5D24D" w14:textId="1F66ACE6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621A5DE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3E523F2" w14:textId="4103B245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A0BCC8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976EB2C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228B867" w14:textId="45DADC2E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237D" w:rsidRPr="005126F1" w14:paraId="696192DE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9513F9" w14:textId="574DDB5F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lastRenderedPageBreak/>
              <w:t>四．</w:t>
            </w:r>
            <w:r w:rsidR="00DB2BCA" w:rsidRPr="00DB2BCA">
              <w:rPr>
                <w:rFonts w:hint="eastAsia"/>
                <w:sz w:val="20"/>
                <w:szCs w:val="20"/>
              </w:rPr>
              <w:t>艺术与日常——影像中的澳洲精神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2A2BEF35" w14:textId="700CBD2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72847D1F" w14:textId="33C215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FC1094B" w14:textId="37C86B32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0B8E65FB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0EAF897" w14:textId="1EC522D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14FB1B8" w14:textId="77777777" w:rsidR="00FB237D" w:rsidRPr="00E71319" w:rsidRDefault="00FB237D" w:rsidP="00FB237D">
            <w:pPr>
              <w:pStyle w:val="DG0"/>
            </w:pPr>
          </w:p>
        </w:tc>
      </w:tr>
      <w:tr w:rsidR="00FB237D" w:rsidRPr="005126F1" w14:paraId="42F8EBDA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59CF5CEB" w14:textId="752BA252" w:rsidR="00FB237D" w:rsidRDefault="00FB237D" w:rsidP="00FB237D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五．</w:t>
            </w:r>
            <w:r w:rsidR="00DB2BCA" w:rsidRPr="00DB2BCA">
              <w:rPr>
                <w:rFonts w:hint="eastAsia"/>
                <w:sz w:val="20"/>
                <w:szCs w:val="20"/>
              </w:rPr>
              <w:t>跨文化视角与个人反思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032C7AE4" w14:textId="77777777" w:rsidR="00FB237D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C73364C" w14:textId="6B1FCC21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4AF6E7AA" w14:textId="77777777" w:rsidR="00FB237D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D223E5E" w14:textId="3DE70C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25BFA5A5" w14:textId="63C7C32B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44426A68" w14:textId="77777777" w:rsidR="00FB237D" w:rsidRPr="00E71319" w:rsidRDefault="00FB237D" w:rsidP="00FB237D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B237D" w14:paraId="561309D8" w14:textId="437A8363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2214D1E5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一．</w:t>
            </w:r>
            <w:r w:rsidR="006F4A81" w:rsidRPr="006F4A81">
              <w:rPr>
                <w:rFonts w:hint="eastAsia"/>
                <w:sz w:val="20"/>
                <w:szCs w:val="20"/>
              </w:rPr>
              <w:t>走进澳大利亚——自然与地理的多样性</w:t>
            </w:r>
          </w:p>
        </w:tc>
        <w:tc>
          <w:tcPr>
            <w:tcW w:w="2690" w:type="dxa"/>
            <w:vAlign w:val="center"/>
          </w:tcPr>
          <w:p w14:paraId="1AE5D317" w14:textId="3D828E5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讨论与互动</w:t>
            </w:r>
          </w:p>
        </w:tc>
        <w:tc>
          <w:tcPr>
            <w:tcW w:w="1697" w:type="dxa"/>
            <w:vAlign w:val="center"/>
          </w:tcPr>
          <w:p w14:paraId="6B3D7823" w14:textId="77777777" w:rsidR="00FB237D" w:rsidRPr="00E25CBD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p w14:paraId="1671CBB1" w14:textId="0E9A1CA3" w:rsidR="00FB237D" w:rsidRPr="00E71319" w:rsidRDefault="008C18D1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DDFCF13" w14:textId="37F39F6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E18152D" w14:textId="1836A41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342856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13ACC6F2" w14:textId="39A0AF94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1DEA88A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6F4A81" w:rsidRPr="006F4A81">
              <w:rPr>
                <w:rFonts w:hint="eastAsia"/>
                <w:sz w:val="20"/>
                <w:szCs w:val="20"/>
              </w:rPr>
              <w:t>多元文化的形成与族群共存</w:t>
            </w:r>
          </w:p>
        </w:tc>
        <w:tc>
          <w:tcPr>
            <w:tcW w:w="2690" w:type="dxa"/>
            <w:vAlign w:val="center"/>
          </w:tcPr>
          <w:p w14:paraId="09BAD965" w14:textId="1ADE8F0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6456A219" w14:textId="67229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0329DAE" w14:textId="3461F67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2D38806E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BA3CFF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25114FD" w14:textId="1C3B32DC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066DB53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现代主义建筑</w:t>
            </w:r>
          </w:p>
        </w:tc>
        <w:tc>
          <w:tcPr>
            <w:tcW w:w="2690" w:type="dxa"/>
            <w:vAlign w:val="center"/>
          </w:tcPr>
          <w:p w14:paraId="7C4AF4A7" w14:textId="39CE805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054C380B" w14:textId="421F20C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29893A4" w14:textId="3F39B74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24390D17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BB7ED3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1096597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D4B65C9" w14:textId="1A9977B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="006F4A81" w:rsidRPr="006F4A81">
              <w:rPr>
                <w:rFonts w:hint="eastAsia"/>
                <w:sz w:val="20"/>
                <w:szCs w:val="20"/>
              </w:rPr>
              <w:t>城市与生活——悉尼与墨尔本的文化对话</w:t>
            </w:r>
          </w:p>
        </w:tc>
        <w:tc>
          <w:tcPr>
            <w:tcW w:w="2690" w:type="dxa"/>
            <w:vAlign w:val="center"/>
          </w:tcPr>
          <w:p w14:paraId="308CAC55" w14:textId="17702E1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讲授法、讨论与互动</w:t>
            </w:r>
          </w:p>
        </w:tc>
        <w:tc>
          <w:tcPr>
            <w:tcW w:w="1697" w:type="dxa"/>
            <w:vAlign w:val="center"/>
          </w:tcPr>
          <w:p w14:paraId="1FBC0A54" w14:textId="45A624B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0BE4FD01" w14:textId="11DA747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ACAC396" w14:textId="04B1DA3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BE427B" w14:textId="360DF8B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65C1D491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7F6DCB6" w14:textId="1910993B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33C3">
              <w:rPr>
                <w:rFonts w:hint="eastAsia"/>
                <w:sz w:val="20"/>
                <w:szCs w:val="20"/>
              </w:rPr>
              <w:t>五.</w:t>
            </w:r>
            <w:r w:rsidRPr="001333C3">
              <w:rPr>
                <w:sz w:val="20"/>
                <w:szCs w:val="20"/>
              </w:rPr>
              <w:t xml:space="preserve"> </w:t>
            </w:r>
            <w:r w:rsidR="006F4A81" w:rsidRPr="006F4A81">
              <w:rPr>
                <w:rFonts w:hint="eastAsia"/>
                <w:sz w:val="20"/>
                <w:szCs w:val="20"/>
              </w:rPr>
              <w:t>跨文化视角与个人反思</w:t>
            </w:r>
          </w:p>
        </w:tc>
        <w:tc>
          <w:tcPr>
            <w:tcW w:w="2690" w:type="dxa"/>
            <w:vAlign w:val="center"/>
          </w:tcPr>
          <w:p w14:paraId="547E30BF" w14:textId="296AF99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讨论与互动、大师作品分析</w:t>
            </w:r>
          </w:p>
        </w:tc>
        <w:tc>
          <w:tcPr>
            <w:tcW w:w="1697" w:type="dxa"/>
            <w:vAlign w:val="center"/>
          </w:tcPr>
          <w:p w14:paraId="0820E855" w14:textId="07F4F5F6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17DA94B" w14:textId="5B8CA06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CD486B9" w14:textId="3CF1840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415761" w14:textId="1863C642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FB237D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B237D" w:rsidRPr="00E71319" w:rsidRDefault="00FB237D" w:rsidP="00FB237D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9A87DA0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6D8BD665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7DFE644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237D" w14:paraId="4192B08C" w14:textId="77777777" w:rsidTr="0073552C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6C84D04C" w:rsidR="00FB237D" w:rsidRPr="00E71319" w:rsidRDefault="00FB237D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bookmarkEnd w:id="2"/>
    <w:bookmarkEnd w:id="3"/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p w14:paraId="25956C08" w14:textId="77777777" w:rsidR="0016381F" w:rsidRDefault="0016381F" w:rsidP="0063249D">
            <w:pPr>
              <w:pStyle w:val="DG0"/>
              <w:jc w:val="left"/>
            </w:pPr>
          </w:p>
          <w:p w14:paraId="6B6D20D1" w14:textId="7FD40F72" w:rsidR="00883C73" w:rsidRDefault="00FB237D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B237D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17949A84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 w14:textId="2D00A290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0C692E2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A1C5EB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6D6A766F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284E660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62ABFA92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7AB894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1623B85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6069485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68347F00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0064ECF3" w:rsidR="00FB237D" w:rsidRPr="004019DB" w:rsidRDefault="00F21B77" w:rsidP="00FB237D">
            <w:pPr>
              <w:pStyle w:val="DG0"/>
            </w:pPr>
            <w:r>
              <w:rPr>
                <w:rFonts w:hint="eastAsia"/>
              </w:rPr>
              <w:t>3</w:t>
            </w:r>
            <w:r w:rsidR="00FB237D"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70377062" w:rsidR="00FB237D" w:rsidRPr="004019DB" w:rsidRDefault="001479D5" w:rsidP="00FB237D">
            <w:pPr>
              <w:pStyle w:val="DG0"/>
            </w:pPr>
            <w:r>
              <w:rPr>
                <w:rFonts w:hint="eastAsia"/>
              </w:rPr>
              <w:t>个人研究报告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099214F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833F605" w14:textId="443B477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C7BBD66" w14:textId="31322E46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654901" w14:textId="6D25FF2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FAE935E" w14:textId="65BB7A0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644625C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4D4A91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32DA11EB" w14:textId="0E8DF11E" w:rsidTr="000A57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2EC5CAB7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3B259A23" w:rsidR="00FB237D" w:rsidRPr="004019DB" w:rsidRDefault="00F21B77" w:rsidP="00FB237D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1489CBCC" w:rsidR="00FB237D" w:rsidRPr="004019DB" w:rsidRDefault="001479D5" w:rsidP="00FB237D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1B37813B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3B65635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3BA0CF35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2339EC7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00322EC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2039916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142C2F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E1B5" w14:textId="77777777" w:rsidR="00900568" w:rsidRDefault="00900568" w:rsidP="002B0C48">
      <w:pPr>
        <w:rPr>
          <w:rFonts w:hint="eastAsia"/>
        </w:rPr>
      </w:pPr>
      <w:r>
        <w:separator/>
      </w:r>
    </w:p>
  </w:endnote>
  <w:endnote w:type="continuationSeparator" w:id="0">
    <w:p w14:paraId="7243B6B8" w14:textId="77777777" w:rsidR="00900568" w:rsidRDefault="00900568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2B38" w14:textId="77777777" w:rsidR="00900568" w:rsidRDefault="00900568" w:rsidP="002B0C48">
      <w:pPr>
        <w:rPr>
          <w:rFonts w:hint="eastAsia"/>
        </w:rPr>
      </w:pPr>
      <w:r>
        <w:separator/>
      </w:r>
    </w:p>
  </w:footnote>
  <w:footnote w:type="continuationSeparator" w:id="0">
    <w:p w14:paraId="27C1A407" w14:textId="77777777" w:rsidR="00900568" w:rsidRDefault="00900568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12039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652E"/>
    <w:rsid w:val="00087488"/>
    <w:rsid w:val="0009050A"/>
    <w:rsid w:val="0009721F"/>
    <w:rsid w:val="000A4E73"/>
    <w:rsid w:val="000B1BD2"/>
    <w:rsid w:val="000C0F0D"/>
    <w:rsid w:val="000C13BC"/>
    <w:rsid w:val="000C4AE6"/>
    <w:rsid w:val="000D28E5"/>
    <w:rsid w:val="000D34D7"/>
    <w:rsid w:val="000F0F15"/>
    <w:rsid w:val="00100633"/>
    <w:rsid w:val="001072BC"/>
    <w:rsid w:val="00114BD6"/>
    <w:rsid w:val="00130F6D"/>
    <w:rsid w:val="00133554"/>
    <w:rsid w:val="00144082"/>
    <w:rsid w:val="001479D5"/>
    <w:rsid w:val="0016381F"/>
    <w:rsid w:val="00163A48"/>
    <w:rsid w:val="00164E36"/>
    <w:rsid w:val="00166542"/>
    <w:rsid w:val="001678A2"/>
    <w:rsid w:val="00183AA1"/>
    <w:rsid w:val="0018767C"/>
    <w:rsid w:val="001A135C"/>
    <w:rsid w:val="001B0D49"/>
    <w:rsid w:val="001B16A1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57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332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0FC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62A6"/>
    <w:rsid w:val="00541F72"/>
    <w:rsid w:val="00542388"/>
    <w:rsid w:val="00544523"/>
    <w:rsid w:val="005467DC"/>
    <w:rsid w:val="00546A82"/>
    <w:rsid w:val="00547C51"/>
    <w:rsid w:val="00551335"/>
    <w:rsid w:val="005519BB"/>
    <w:rsid w:val="005521D7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1037"/>
    <w:rsid w:val="0061063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02C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4A81"/>
    <w:rsid w:val="007011CA"/>
    <w:rsid w:val="007056DE"/>
    <w:rsid w:val="00706121"/>
    <w:rsid w:val="00710B6B"/>
    <w:rsid w:val="00712A2C"/>
    <w:rsid w:val="00712E84"/>
    <w:rsid w:val="00714914"/>
    <w:rsid w:val="007208D6"/>
    <w:rsid w:val="00724E87"/>
    <w:rsid w:val="0072673F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215E"/>
    <w:rsid w:val="00882E15"/>
    <w:rsid w:val="00883C73"/>
    <w:rsid w:val="00885A38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18D1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0568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67C81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072"/>
    <w:rsid w:val="00AF289F"/>
    <w:rsid w:val="00AF30B9"/>
    <w:rsid w:val="00AF43DF"/>
    <w:rsid w:val="00AF67A4"/>
    <w:rsid w:val="00AF7510"/>
    <w:rsid w:val="00B10701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4803"/>
    <w:rsid w:val="00B71F97"/>
    <w:rsid w:val="00B72538"/>
    <w:rsid w:val="00B736A7"/>
    <w:rsid w:val="00B7651F"/>
    <w:rsid w:val="00B919FA"/>
    <w:rsid w:val="00B94A16"/>
    <w:rsid w:val="00B9609A"/>
    <w:rsid w:val="00BA33E4"/>
    <w:rsid w:val="00BA6044"/>
    <w:rsid w:val="00BB1A93"/>
    <w:rsid w:val="00BC14BF"/>
    <w:rsid w:val="00BC2625"/>
    <w:rsid w:val="00BC3200"/>
    <w:rsid w:val="00BC338A"/>
    <w:rsid w:val="00BD7AB0"/>
    <w:rsid w:val="00BE4830"/>
    <w:rsid w:val="00BF0B17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16F5"/>
    <w:rsid w:val="00CC53A6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12D3"/>
    <w:rsid w:val="00D44860"/>
    <w:rsid w:val="00D47689"/>
    <w:rsid w:val="00D50C42"/>
    <w:rsid w:val="00D57CF5"/>
    <w:rsid w:val="00D612BC"/>
    <w:rsid w:val="00D62F98"/>
    <w:rsid w:val="00D66FD6"/>
    <w:rsid w:val="00D8285B"/>
    <w:rsid w:val="00D84076"/>
    <w:rsid w:val="00D862EB"/>
    <w:rsid w:val="00D86619"/>
    <w:rsid w:val="00D86B21"/>
    <w:rsid w:val="00D93E7C"/>
    <w:rsid w:val="00DB2BCA"/>
    <w:rsid w:val="00DB2BE6"/>
    <w:rsid w:val="00DB76B3"/>
    <w:rsid w:val="00DC331B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B28"/>
    <w:rsid w:val="00E64168"/>
    <w:rsid w:val="00E655B3"/>
    <w:rsid w:val="00E7081D"/>
    <w:rsid w:val="00E70904"/>
    <w:rsid w:val="00E71319"/>
    <w:rsid w:val="00E75171"/>
    <w:rsid w:val="00E804B0"/>
    <w:rsid w:val="00E86772"/>
    <w:rsid w:val="00E87264"/>
    <w:rsid w:val="00E90B8B"/>
    <w:rsid w:val="00E93ADD"/>
    <w:rsid w:val="00E952D8"/>
    <w:rsid w:val="00EA1F5C"/>
    <w:rsid w:val="00EB00E4"/>
    <w:rsid w:val="00EB28DA"/>
    <w:rsid w:val="00EB3812"/>
    <w:rsid w:val="00EB44EB"/>
    <w:rsid w:val="00EB6238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21B77"/>
    <w:rsid w:val="00F23D9C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237D"/>
    <w:rsid w:val="00FB693D"/>
    <w:rsid w:val="00FB7768"/>
    <w:rsid w:val="00FC7489"/>
    <w:rsid w:val="00FD1BA8"/>
    <w:rsid w:val="00FD218F"/>
    <w:rsid w:val="00FD5663"/>
    <w:rsid w:val="00FD56C6"/>
    <w:rsid w:val="00FE3221"/>
    <w:rsid w:val="00FE440B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45</cp:revision>
  <cp:lastPrinted>2023-11-21T00:52:00Z</cp:lastPrinted>
  <dcterms:created xsi:type="dcterms:W3CDTF">2023-11-21T02:39:00Z</dcterms:created>
  <dcterms:modified xsi:type="dcterms:W3CDTF">2025-10-30T04:50:00Z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