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153"/>
          <w:tab w:val="right" w:pos="8306"/>
        </w:tabs>
        <w:spacing w:line="288" w:lineRule="auto"/>
        <w:jc w:val="left"/>
        <w:rPr>
          <w:rFonts w:ascii="方正小标宋简体" w:hAnsi="宋体"/>
          <w:bCs/>
          <w:kern w:val="0"/>
          <w:szCs w:val="21"/>
        </w:rPr>
      </w:pPr>
      <w:r>
        <w:rPr>
          <w:rFonts w:asciiTheme="minorEastAsia" w:hAnsiTheme="minorEastAsia" w:eastAsiaTheme="minorEastAsia"/>
          <w:bCs/>
          <w:kern w:val="0"/>
          <w:sz w:val="40"/>
          <w:szCs w:val="40"/>
        </w:rPr>
        <w:tab/>
      </w:r>
      <w:r>
        <w:rPr>
          <w:rFonts w:hint="eastAsia" w:asciiTheme="minorEastAsia" w:hAnsiTheme="minorEastAsia" w:eastAsiaTheme="minorEastAsia"/>
          <w:bCs/>
          <w:kern w:val="0"/>
          <w:sz w:val="40"/>
          <w:szCs w:val="40"/>
        </w:rPr>
        <w:t xml:space="preserve"> </w: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530860</wp:posOffset>
                </wp:positionH>
                <wp:positionV relativeFrom="page">
                  <wp:posOffset>349885</wp:posOffset>
                </wp:positionV>
                <wp:extent cx="2635250" cy="280670"/>
                <wp:effectExtent l="0" t="0" r="6350" b="1143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40385" y="35941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  <w:sz w:val="24"/>
                                <w:szCs w:val="24"/>
                              </w:rPr>
                              <w:t>33（A</w:t>
                            </w:r>
                            <w:r>
                              <w:rPr>
                                <w:rFonts w:ascii="宋体" w:hAnsi="宋体"/>
                                <w:spacing w:val="20"/>
                                <w:sz w:val="24"/>
                                <w:szCs w:val="24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1.8pt;margin-top:27.55pt;height:22.1pt;width:207.5pt;mso-position-horizontal-relative:page;mso-position-vertical-relative:page;z-index:251659264;mso-width-relative:page;mso-height-relative:page;" fillcolor="#FFFFFF" filled="t" stroked="f" coordsize="21600,21600" o:gfxdata="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Q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</w:t>
                      </w:r>
                      <w:r>
                        <w:rPr>
                          <w:rFonts w:hint="eastAsia" w:ascii="宋体" w:hAnsi="宋体"/>
                          <w:spacing w:val="20"/>
                          <w:sz w:val="24"/>
                          <w:szCs w:val="24"/>
                        </w:rPr>
                        <w:t>33（A</w:t>
                      </w:r>
                      <w:r>
                        <w:rPr>
                          <w:rFonts w:ascii="宋体" w:hAnsi="宋体"/>
                          <w:spacing w:val="20"/>
                          <w:sz w:val="24"/>
                          <w:szCs w:val="24"/>
                        </w:rPr>
                        <w:t>0）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Theme="minorEastAsia" w:hAnsiTheme="minorEastAsia" w:eastAsiaTheme="minorEastAsia"/>
          <w:bCs/>
          <w:kern w:val="0"/>
          <w:sz w:val="40"/>
          <w:szCs w:val="40"/>
        </w:rPr>
        <w:t>专业课课程</w:t>
      </w:r>
      <w:r>
        <w:rPr>
          <w:rFonts w:hint="eastAsia" w:ascii="方正小标宋简体" w:hAnsi="宋体" w:eastAsia="方正小标宋简体"/>
          <w:bCs/>
          <w:kern w:val="0"/>
          <w:sz w:val="40"/>
          <w:szCs w:val="40"/>
        </w:rPr>
        <w:t>教学大纲</w:t>
      </w:r>
      <w:r>
        <w:rPr>
          <w:rFonts w:ascii="方正小标宋简体" w:hAnsi="宋体" w:eastAsia="方正小标宋简体"/>
          <w:bCs/>
          <w:kern w:val="0"/>
          <w:sz w:val="40"/>
          <w:szCs w:val="40"/>
        </w:rPr>
        <w:tab/>
      </w:r>
    </w:p>
    <w:p>
      <w:pPr>
        <w:spacing w:line="288" w:lineRule="auto"/>
        <w:jc w:val="center"/>
        <w:rPr>
          <w:b/>
          <w:sz w:val="28"/>
          <w:szCs w:val="30"/>
        </w:rPr>
      </w:pPr>
      <w:r>
        <w:rPr>
          <w:rFonts w:hint="eastAsia"/>
          <w:b/>
          <w:sz w:val="28"/>
          <w:szCs w:val="30"/>
        </w:rPr>
        <w:t>【教育政策与法规】</w:t>
      </w:r>
    </w:p>
    <w:p>
      <w:pPr>
        <w:shd w:val="clear" w:color="auto" w:fill="F5F5F5"/>
        <w:jc w:val="center"/>
        <w:textAlignment w:val="top"/>
        <w:rPr>
          <w:rFonts w:ascii="Arial" w:hAnsi="Arial" w:cs="Arial"/>
          <w:color w:val="888888"/>
          <w:kern w:val="0"/>
          <w:sz w:val="20"/>
          <w:szCs w:val="20"/>
        </w:rPr>
      </w:pPr>
      <w:r>
        <w:rPr>
          <w:rFonts w:hint="eastAsia"/>
          <w:b/>
          <w:sz w:val="28"/>
          <w:szCs w:val="30"/>
        </w:rPr>
        <w:t>【Edu</w:t>
      </w:r>
      <w:r>
        <w:rPr>
          <w:b/>
          <w:sz w:val="28"/>
          <w:szCs w:val="30"/>
        </w:rPr>
        <w:t>cational Policy and Regulation</w:t>
      </w:r>
      <w:r>
        <w:rPr>
          <w:rFonts w:hint="eastAsia"/>
          <w:b/>
          <w:sz w:val="28"/>
          <w:szCs w:val="30"/>
        </w:rPr>
        <w:t>】</w:t>
      </w:r>
      <w:bookmarkStart w:id="0" w:name="a2"/>
      <w:bookmarkEnd w:id="0"/>
    </w:p>
    <w:p>
      <w:pPr>
        <w:spacing w:before="156" w:beforeLines="50" w:after="156" w:afterLines="50" w:line="288" w:lineRule="auto"/>
        <w:ind w:firstLine="360" w:firstLineChars="150"/>
        <w:rPr>
          <w:b/>
          <w:color w:val="008080"/>
          <w:sz w:val="30"/>
          <w:szCs w:val="30"/>
        </w:rPr>
      </w:pPr>
      <w:r>
        <w:rPr>
          <w:rFonts w:ascii="黑体" w:hAnsi="宋体" w:eastAsia="黑体"/>
          <w:sz w:val="24"/>
        </w:rPr>
        <w:t>一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基本信息（必填项）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课程代码：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2130010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课程学分：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2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面向专业：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学前教育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课程性质：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系级选修课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b/>
          <w:bCs/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开课院系：</w:t>
      </w:r>
      <w:r>
        <w:rPr>
          <w:rFonts w:hint="eastAsia"/>
          <w:b/>
          <w:bCs/>
          <w:color w:val="000000"/>
          <w:sz w:val="20"/>
          <w:szCs w:val="20"/>
        </w:rPr>
        <w:t>学前教育系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使用教材：</w:t>
      </w:r>
    </w:p>
    <w:p>
      <w:pPr>
        <w:snapToGrid w:val="0"/>
        <w:spacing w:line="288" w:lineRule="auto"/>
        <w:ind w:firstLine="792" w:firstLineChars="396"/>
        <w:rPr>
          <w:color w:val="000000"/>
          <w:szCs w:val="21"/>
        </w:rPr>
      </w:pPr>
      <w:r>
        <w:rPr>
          <w:color w:val="000000"/>
          <w:sz w:val="20"/>
          <w:szCs w:val="20"/>
        </w:rPr>
        <w:t>教材【</w:t>
      </w:r>
      <w:r>
        <w:rPr>
          <w:rFonts w:hint="eastAsia"/>
          <w:color w:val="000000"/>
          <w:sz w:val="20"/>
          <w:szCs w:val="20"/>
        </w:rPr>
        <w:t>《教育政策法规》，编写组，西北大学出版社，2016年出版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left="718" w:leftChars="342" w:firstLine="100" w:firstLineChars="50"/>
        <w:rPr>
          <w:color w:val="000000"/>
          <w:szCs w:val="21"/>
        </w:rPr>
      </w:pPr>
      <w:r>
        <w:rPr>
          <w:color w:val="000000"/>
          <w:sz w:val="20"/>
          <w:szCs w:val="20"/>
        </w:rPr>
        <w:t>参考</w:t>
      </w:r>
      <w:r>
        <w:rPr>
          <w:rFonts w:hint="eastAsia"/>
          <w:color w:val="000000"/>
          <w:sz w:val="20"/>
          <w:szCs w:val="20"/>
        </w:rPr>
        <w:t>书目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《教育政策法规的理论与实践（第四版）》，张乐天，华东师范大学出版社，2020年；《教育政策与法规》，苏艳霞，北京师范大学出版社，2016年；《学前教育政策法规》，杨莉君、李洋，湖南大学出版社，2016年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rFonts w:hint="eastAsia"/>
          <w:b/>
          <w:bCs/>
          <w:color w:val="000000"/>
          <w:sz w:val="20"/>
          <w:szCs w:val="20"/>
        </w:rPr>
        <w:t>课程网站网址：</w:t>
      </w:r>
      <w:r>
        <w:rPr>
          <w:rFonts w:hint="eastAsia"/>
          <w:b/>
          <w:bCs/>
          <w:color w:val="000000"/>
          <w:sz w:val="20"/>
          <w:szCs w:val="20"/>
          <w:lang w:val="en-US" w:eastAsia="zh-CN"/>
        </w:rPr>
        <w:t>https://www</w:t>
      </w:r>
      <w:r>
        <w:rPr>
          <w:rFonts w:hint="eastAsia"/>
          <w:b/>
          <w:bCs/>
          <w:color w:val="000000"/>
          <w:sz w:val="20"/>
          <w:szCs w:val="20"/>
        </w:rPr>
        <w:t>.icourse163.org/course/NTU-1001753131?from=searchPage</w:t>
      </w:r>
    </w:p>
    <w:p>
      <w:pPr>
        <w:adjustRightInd w:val="0"/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先修课程：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  <w:lang w:eastAsia="zh-CN"/>
        </w:rPr>
        <w:t>《</w:t>
      </w:r>
      <w:r>
        <w:rPr>
          <w:rFonts w:hint="eastAsia"/>
          <w:color w:val="000000"/>
          <w:sz w:val="20"/>
          <w:szCs w:val="20"/>
        </w:rPr>
        <w:t>教育学</w:t>
      </w:r>
      <w:r>
        <w:rPr>
          <w:rFonts w:hint="eastAsia"/>
          <w:color w:val="000000"/>
          <w:sz w:val="20"/>
          <w:szCs w:val="20"/>
          <w:lang w:eastAsia="zh-CN"/>
        </w:rPr>
        <w:t>》</w:t>
      </w:r>
      <w:bookmarkStart w:id="3" w:name="_GoBack"/>
      <w:bookmarkEnd w:id="3"/>
      <w:r>
        <w:rPr>
          <w:color w:val="000000"/>
          <w:sz w:val="20"/>
          <w:szCs w:val="20"/>
        </w:rPr>
        <w:t>】</w:t>
      </w:r>
    </w:p>
    <w:p>
      <w:pPr>
        <w:adjustRightInd w:val="0"/>
        <w:snapToGrid w:val="0"/>
        <w:spacing w:before="156" w:beforeLines="50" w:after="156" w:afterLines="50" w:line="288" w:lineRule="auto"/>
        <w:ind w:firstLine="348" w:firstLineChars="145"/>
        <w:rPr>
          <w:b/>
          <w:color w:val="000000"/>
          <w:sz w:val="24"/>
          <w:szCs w:val="20"/>
        </w:rPr>
      </w:pPr>
      <w:r>
        <w:rPr>
          <w:rFonts w:ascii="黑体" w:hAnsi="宋体" w:eastAsia="黑体"/>
          <w:sz w:val="24"/>
        </w:rPr>
        <w:t>二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课程简介（必填项）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《教育政策与法规》是研究教育政策和法规的理论和应用的基础课程，是师范类教育专业的一门选修课程。开设课程为大二第一学期。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学生通过本课程的学习，能够比较系统地掌握、理解现行教育政策、法规及基本理论知识，学会初步运用法律武器解决教育活动中出现的法律问题，提高依法执教的能力，用法律的方式维护学生和自己的合法权益，为依法治教奠定基础。学前教育类学生的学习重在理论分析，它是研究和发展本专业的重要工具，同时注重培养学生解决实际问题的能力。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主要讲授教育政策概述、教育法规概述、教育法规与教育法规的相互关系，教育的重要政策解读，有关教育的重要法规等方面的基础知识。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三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选课建议（必填项）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该课程是学前教育专业大二第一学期的专业选修课程。学生应对于教育现象的基础知识有一定的了解，具有一定的阅读能力、辩证的思维方法，同时应具备一定的自主学习能力。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四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课程与</w:t>
      </w:r>
      <w:r>
        <w:rPr>
          <w:rFonts w:hint="eastAsia" w:ascii="黑体" w:hAnsi="宋体" w:eastAsia="黑体"/>
          <w:sz w:val="24"/>
        </w:rPr>
        <w:t>专业毕业要求</w:t>
      </w:r>
      <w:r>
        <w:rPr>
          <w:rFonts w:ascii="黑体" w:hAnsi="宋体" w:eastAsia="黑体"/>
          <w:sz w:val="24"/>
        </w:rPr>
        <w:t>的关联性（必填项）</w:t>
      </w:r>
    </w:p>
    <w:tbl>
      <w:tblPr>
        <w:tblStyle w:val="5"/>
        <w:tblpPr w:leftFromText="180" w:rightFromText="180" w:vertAnchor="text" w:horzAnchor="page" w:tblpX="2162" w:tblpY="242"/>
        <w:tblOverlap w:val="never"/>
        <w:tblW w:w="81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16"/>
        <w:gridCol w:w="11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0"/>
              </w:rPr>
              <w:t>专业毕业要求</w:t>
            </w:r>
          </w:p>
        </w:tc>
        <w:tc>
          <w:tcPr>
            <w:tcW w:w="1104" w:type="dxa"/>
          </w:tcPr>
          <w:p>
            <w:pPr>
              <w:jc w:val="center"/>
              <w:rPr>
                <w:rFonts w:ascii="黑体" w:hAnsi="黑体" w:eastAsia="黑体" w:cs="黑体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黑体"/>
                <w:kern w:val="0"/>
                <w:sz w:val="20"/>
                <w:szCs w:val="20"/>
              </w:rPr>
              <w:t>关联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XQ11专业伦理：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认同社会主义核心价值观；理解与践行学前教育核心价值；明确与践行幼儿园教师保教行为规范。</w:t>
            </w:r>
          </w:p>
        </w:tc>
        <w:tc>
          <w:tcPr>
            <w:tcW w:w="110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widowControl/>
              <w:rPr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XQ12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教育情怀: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增强专业认同感和使命感；具有人文底蕴、生命关怀和科学精神；践行幼儿为本和爱与自由理念。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XQ21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儿童研究：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掌握儿童发展、儿童研究的基本理论；具备现场观察、记录、分析幼儿的意识和能力；具备评价幼儿园教育活动的能力。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tabs>
                <w:tab w:val="center" w:pos="315"/>
                <w:tab w:val="left" w:pos="496"/>
              </w:tabs>
              <w:jc w:val="left"/>
              <w:rPr>
                <w:rFonts w:ascii="仿宋" w:hAnsi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hint="eastAsia"/>
                <w:color w:val="000000"/>
                <w:kern w:val="0"/>
                <w:sz w:val="20"/>
                <w:szCs w:val="20"/>
              </w:rPr>
              <w:tab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2保教能力：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把握幼儿生理、心理特点；掌握幼儿园保育和教育的基本知识和方法；熟悉五大领域知识并能合理运用于综合活动中。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widowControl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XQ23环境创设：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充分认识大自然、大社会对幼儿发展的价值；具备创设有准备的环境的知识和能力；具备幼儿与环境互动质量的评价能力。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3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班级管理:能引导幼儿建立班级的秩序与规则；能营造愉悦、尊重、平等、积极的班级氛围；有以班级为纽带调动家庭和社区资源的意识和能力。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XQ</w:t>
            </w: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32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综合活动:充分认识一日生活的课程价值；具备以游戏为幼儿园基本活动的意识和能力；具有整合幼儿园、家庭与社区资源的能力。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rFonts w:ascii="楷体_GB2312" w:hAnsi="楷体" w:eastAsia="楷体_GB2312"/>
                <w:bCs/>
                <w:sz w:val="24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XQ41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反思精神:养成主动学习、批判性思考的习惯和品格；具有自我反思和引导幼儿反思的意识和能力；具有创造性解决问题的意识与能力。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XQ42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国际视野:有参与国际教育交流的意识和能力；把握学前教育改革发展趋势和前沿动态；有分析和借鉴国际教育理念与实践的能力。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16" w:type="dxa"/>
            <w:vAlign w:val="center"/>
          </w:tcPr>
          <w:p>
            <w:pPr>
              <w:tabs>
                <w:tab w:val="left" w:pos="4200"/>
              </w:tabs>
              <w:adjustRightInd w:val="0"/>
              <w:snapToGrid w:val="0"/>
              <w:spacing w:line="264" w:lineRule="auto"/>
              <w:outlineLvl w:val="1"/>
              <w:rPr>
                <w:kern w:val="0"/>
                <w:sz w:val="20"/>
                <w:szCs w:val="20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  <w:t>XQ43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交流合作：</w:t>
            </w:r>
            <w:r>
              <w:rPr>
                <w:rFonts w:hint="eastAsia" w:ascii="楷体_GB2312" w:hAnsi="楷体" w:eastAsia="楷体_GB2312"/>
                <w:bCs/>
                <w:sz w:val="24"/>
              </w:rPr>
              <w:t>具有团队协作精神，认同学习共同体的价值；掌握沟通合作的技能；有参与、组织专业团队开展合作学习的意识和能力。</w:t>
            </w:r>
          </w:p>
        </w:tc>
        <w:tc>
          <w:tcPr>
            <w:tcW w:w="1104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0"/>
              </w:rPr>
            </w:pPr>
          </w:p>
        </w:tc>
      </w:tr>
    </w:tbl>
    <w:p>
      <w:pPr>
        <w:ind w:firstLine="420" w:firstLineChars="200"/>
      </w:pPr>
      <w:r>
        <w:rPr>
          <w:rFonts w:hint="eastAsia"/>
        </w:rPr>
        <w:t>备注：XQ</w:t>
      </w:r>
      <w:r>
        <w:t xml:space="preserve"> </w:t>
      </w:r>
      <w:r>
        <w:rPr>
          <w:rFonts w:hint="eastAsia"/>
        </w:rPr>
        <w:t>=</w:t>
      </w:r>
      <w:r>
        <w:t xml:space="preserve"> </w:t>
      </w:r>
      <w:r>
        <w:rPr>
          <w:rFonts w:hint="eastAsia"/>
        </w:rPr>
        <w:t>学前教育.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五、</w:t>
      </w:r>
      <w:r>
        <w:rPr>
          <w:rFonts w:ascii="黑体" w:hAnsi="宋体" w:eastAsia="黑体"/>
          <w:sz w:val="24"/>
        </w:rPr>
        <w:t>课程</w:t>
      </w:r>
      <w:r>
        <w:rPr>
          <w:rFonts w:hint="eastAsia" w:ascii="黑体" w:hAnsi="宋体" w:eastAsia="黑体"/>
          <w:sz w:val="24"/>
        </w:rPr>
        <w:t>目标/课程预期学习成果</w:t>
      </w:r>
      <w:r>
        <w:rPr>
          <w:rFonts w:ascii="黑体" w:hAnsi="宋体" w:eastAsia="黑体"/>
          <w:sz w:val="24"/>
        </w:rPr>
        <w:t>（必填项）（</w:t>
      </w:r>
      <w:r>
        <w:rPr>
          <w:rFonts w:hint="eastAsia" w:ascii="黑体" w:hAnsi="宋体" w:eastAsia="黑体"/>
          <w:sz w:val="24"/>
        </w:rPr>
        <w:t>预期学习成果</w:t>
      </w:r>
      <w:r>
        <w:rPr>
          <w:rFonts w:ascii="黑体" w:hAnsi="宋体" w:eastAsia="黑体"/>
          <w:sz w:val="24"/>
        </w:rPr>
        <w:t>要可测量/能够证明）</w:t>
      </w:r>
    </w:p>
    <w:tbl>
      <w:tblPr>
        <w:tblStyle w:val="4"/>
        <w:tblpPr w:leftFromText="180" w:rightFromText="180" w:vertAnchor="text" w:horzAnchor="page" w:tblpX="2097" w:tblpY="264"/>
        <w:tblOverlap w:val="never"/>
        <w:tblW w:w="82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6"/>
        <w:gridCol w:w="1175"/>
        <w:gridCol w:w="2470"/>
        <w:gridCol w:w="2069"/>
        <w:gridCol w:w="18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6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7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470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（细化的预期学习成果）</w:t>
            </w:r>
          </w:p>
        </w:tc>
        <w:tc>
          <w:tcPr>
            <w:tcW w:w="2069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教与学方式</w:t>
            </w:r>
          </w:p>
        </w:tc>
        <w:tc>
          <w:tcPr>
            <w:tcW w:w="1890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6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XQ111</w:t>
            </w:r>
          </w:p>
        </w:tc>
        <w:tc>
          <w:tcPr>
            <w:tcW w:w="2470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1.了解和内化社会主义核心价值观，凝聚价值共识</w:t>
            </w:r>
          </w:p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2.能够在教育过程中中践行社会主义核心价值观，自觉运用法治思维解决教育中的冲突。</w:t>
            </w:r>
          </w:p>
        </w:tc>
        <w:tc>
          <w:tcPr>
            <w:tcW w:w="2069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课堂讲授；</w:t>
            </w:r>
          </w:p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学生自主阅读；</w:t>
            </w:r>
          </w:p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学生自我反思与小结</w:t>
            </w:r>
          </w:p>
        </w:tc>
        <w:tc>
          <w:tcPr>
            <w:tcW w:w="1890" w:type="dxa"/>
            <w:shd w:val="clear" w:color="auto" w:fill="auto"/>
          </w:tcPr>
          <w:p>
            <w:pPr>
              <w:snapToGrid w:val="0"/>
              <w:spacing w:line="288" w:lineRule="auto"/>
              <w:rPr>
                <w:rFonts w:ascii="黑体" w:hAnsi="宋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读书报告；</w:t>
            </w:r>
          </w:p>
          <w:p>
            <w:pPr>
              <w:snapToGrid w:val="0"/>
              <w:spacing w:line="288" w:lineRule="auto"/>
              <w:rPr>
                <w:rFonts w:ascii="黑体" w:hAnsi="宋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反思小结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6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XQ113</w:t>
            </w:r>
          </w:p>
        </w:tc>
        <w:tc>
          <w:tcPr>
            <w:tcW w:w="2470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1.认识和理解学生的权利，能够理解学生为本的政策与法规内涵</w:t>
            </w:r>
          </w:p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2.在教育过程中能够理解儿童权利的来源自觉保护儿童权利，践行幼儿为本的理念</w:t>
            </w:r>
          </w:p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2069" w:type="dxa"/>
            <w:shd w:val="clear" w:color="auto" w:fill="auto"/>
          </w:tcPr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课堂讲授；</w:t>
            </w:r>
          </w:p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小组讨论；</w:t>
            </w:r>
          </w:p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  <w:t>翻转课堂</w:t>
            </w:r>
          </w:p>
          <w:p>
            <w:pPr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</w:p>
        </w:tc>
        <w:tc>
          <w:tcPr>
            <w:tcW w:w="1890" w:type="dxa"/>
            <w:shd w:val="clear" w:color="auto" w:fill="auto"/>
          </w:tcPr>
          <w:p>
            <w:pPr>
              <w:snapToGrid w:val="0"/>
              <w:spacing w:line="288" w:lineRule="auto"/>
              <w:rPr>
                <w:rFonts w:ascii="黑体" w:hAnsi="宋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期末闭卷考试；</w:t>
            </w:r>
          </w:p>
          <w:p>
            <w:pPr>
              <w:snapToGrid w:val="0"/>
              <w:spacing w:line="288" w:lineRule="auto"/>
              <w:rPr>
                <w:rFonts w:ascii="黑体" w:hAnsi="宋体" w:eastAsia="黑体"/>
                <w:sz w:val="24"/>
              </w:rPr>
            </w:pPr>
            <w:r>
              <w:rPr>
                <w:rFonts w:hint="eastAsia" w:ascii="黑体" w:hAnsi="宋体" w:eastAsia="黑体"/>
                <w:sz w:val="24"/>
              </w:rPr>
              <w:t>平时表现</w:t>
            </w:r>
          </w:p>
          <w:p>
            <w:pPr>
              <w:snapToGrid w:val="0"/>
              <w:spacing w:line="288" w:lineRule="auto"/>
              <w:rPr>
                <w:rFonts w:ascii="黑体" w:hAnsi="宋体" w:eastAsia="黑体"/>
                <w:sz w:val="24"/>
              </w:rPr>
            </w:pPr>
          </w:p>
        </w:tc>
      </w:tr>
    </w:tbl>
    <w:p>
      <w:pPr>
        <w:spacing w:line="360" w:lineRule="auto"/>
        <w:ind w:firstLine="500" w:firstLineChars="250"/>
        <w:rPr>
          <w:sz w:val="20"/>
          <w:szCs w:val="20"/>
          <w:highlight w:val="yellow"/>
        </w:rPr>
      </w:pPr>
    </w:p>
    <w:p>
      <w:pPr>
        <w:widowControl/>
        <w:spacing w:before="156" w:beforeLines="50" w:after="156" w:afterLines="50" w:line="288" w:lineRule="auto"/>
        <w:ind w:firstLine="480" w:firstLineChars="20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六、</w:t>
      </w:r>
      <w:r>
        <w:rPr>
          <w:rFonts w:ascii="黑体" w:hAnsi="宋体" w:eastAsia="黑体"/>
          <w:sz w:val="24"/>
        </w:rPr>
        <w:t>课程内容（必填项）</w:t>
      </w:r>
    </w:p>
    <w:p>
      <w:pPr>
        <w:snapToGrid w:val="0"/>
        <w:spacing w:line="288" w:lineRule="auto"/>
        <w:ind w:firstLine="400" w:firstLineChars="200"/>
        <w:rPr>
          <w:rFonts w:ascii="宋体" w:hAnsi="宋体"/>
          <w:sz w:val="20"/>
          <w:szCs w:val="20"/>
        </w:rPr>
      </w:pPr>
      <w:r>
        <w:rPr>
          <w:bCs/>
          <w:sz w:val="20"/>
          <w:szCs w:val="20"/>
        </w:rPr>
        <w:t>此处</w:t>
      </w:r>
      <w:r>
        <w:rPr>
          <w:rFonts w:hint="eastAsia" w:ascii="宋体" w:hAnsi="宋体"/>
          <w:sz w:val="20"/>
          <w:szCs w:val="20"/>
        </w:rPr>
        <w:t>分单元</w:t>
      </w:r>
      <w:r>
        <w:rPr>
          <w:rFonts w:hint="eastAsia"/>
          <w:bCs/>
          <w:sz w:val="20"/>
          <w:szCs w:val="20"/>
        </w:rPr>
        <w:t>列出教学的知识点和能力要求。知识点</w:t>
      </w:r>
      <w:r>
        <w:rPr>
          <w:rFonts w:ascii="宋体" w:hAnsi="宋体"/>
          <w:sz w:val="20"/>
          <w:szCs w:val="20"/>
        </w:rPr>
        <w:t>用</w:t>
      </w:r>
      <w:r>
        <w:rPr>
          <w:rFonts w:hint="eastAsia" w:ascii="宋体" w:hAnsi="宋体"/>
          <w:sz w:val="20"/>
          <w:szCs w:val="20"/>
        </w:rPr>
        <w:t>布鲁姆认知能力的</w:t>
      </w:r>
      <w:r>
        <w:rPr>
          <w:rFonts w:hint="eastAsia" w:ascii="宋体" w:hAnsi="宋体"/>
          <w:bCs/>
          <w:sz w:val="20"/>
          <w:szCs w:val="20"/>
        </w:rPr>
        <w:t>6</w:t>
      </w:r>
      <w:r>
        <w:rPr>
          <w:rFonts w:hint="eastAsia" w:ascii="宋体" w:hAnsi="宋体"/>
          <w:sz w:val="20"/>
          <w:szCs w:val="20"/>
        </w:rPr>
        <w:t>种层次： (“</w:t>
      </w:r>
      <w:r>
        <w:rPr>
          <w:rFonts w:hint="eastAsia" w:ascii="宋体" w:hAnsi="宋体"/>
          <w:b/>
          <w:bCs/>
          <w:sz w:val="20"/>
          <w:szCs w:val="20"/>
        </w:rPr>
        <w:t>知道”、“理解”、“运用”、“分析”、“综合”、“评价”)</w:t>
      </w:r>
      <w:r>
        <w:rPr>
          <w:rFonts w:hint="eastAsia" w:ascii="宋体" w:hAnsi="宋体"/>
          <w:bCs/>
          <w:sz w:val="20"/>
          <w:szCs w:val="20"/>
        </w:rPr>
        <w:t>来</w:t>
      </w:r>
      <w:r>
        <w:rPr>
          <w:rFonts w:ascii="宋体" w:hAnsi="宋体"/>
          <w:sz w:val="20"/>
          <w:szCs w:val="20"/>
        </w:rPr>
        <w:t>表</w:t>
      </w:r>
      <w:r>
        <w:rPr>
          <w:rFonts w:hint="eastAsia" w:ascii="宋体" w:hAnsi="宋体"/>
          <w:sz w:val="20"/>
          <w:szCs w:val="20"/>
        </w:rPr>
        <w:t>达对学生学习要求上的差异</w:t>
      </w:r>
      <w:r>
        <w:rPr>
          <w:rFonts w:ascii="宋体" w:hAnsi="宋体"/>
          <w:sz w:val="20"/>
          <w:szCs w:val="20"/>
        </w:rPr>
        <w:t>。</w:t>
      </w:r>
      <w:r>
        <w:rPr>
          <w:rFonts w:hint="eastAsia" w:ascii="宋体" w:hAnsi="宋体"/>
          <w:sz w:val="20"/>
          <w:szCs w:val="20"/>
        </w:rPr>
        <w:t>能力要求必须选用合适的行为动词来表达。用文字说明教学的难点所在，</w:t>
      </w:r>
      <w:r>
        <w:rPr>
          <w:rFonts w:hint="eastAsia" w:ascii="宋体" w:hAnsi="宋体"/>
          <w:b/>
          <w:bCs/>
          <w:sz w:val="20"/>
          <w:szCs w:val="20"/>
        </w:rPr>
        <w:t>并标明每个单元的理论课时数和实践课时数。</w:t>
      </w:r>
    </w:p>
    <w:tbl>
      <w:tblPr>
        <w:tblStyle w:val="5"/>
        <w:tblpPr w:leftFromText="180" w:rightFromText="180" w:vertAnchor="text" w:horzAnchor="page" w:tblpX="1783" w:tblpY="924"/>
        <w:tblOverlap w:val="never"/>
        <w:tblW w:w="86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1"/>
        <w:gridCol w:w="1286"/>
        <w:gridCol w:w="1286"/>
        <w:gridCol w:w="1617"/>
        <w:gridCol w:w="1850"/>
        <w:gridCol w:w="2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01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eastAsia" w:eastAsia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bCs/>
                <w:sz w:val="20"/>
                <w:szCs w:val="20"/>
                <w:lang w:val="en-US" w:eastAsia="zh-CN"/>
              </w:rPr>
              <w:t>序号</w:t>
            </w:r>
          </w:p>
        </w:tc>
        <w:tc>
          <w:tcPr>
            <w:tcW w:w="1286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单元</w:t>
            </w:r>
          </w:p>
        </w:tc>
        <w:tc>
          <w:tcPr>
            <w:tcW w:w="1286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知识</w:t>
            </w:r>
            <w:r>
              <w:rPr>
                <w:rFonts w:hint="eastAsia"/>
                <w:b/>
                <w:bCs/>
                <w:sz w:val="20"/>
                <w:szCs w:val="20"/>
                <w:lang w:val="en-US" w:eastAsia="zh-CN"/>
              </w:rPr>
              <w:t>目标</w:t>
            </w:r>
          </w:p>
        </w:tc>
        <w:tc>
          <w:tcPr>
            <w:tcW w:w="1617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能力</w:t>
            </w:r>
            <w:r>
              <w:rPr>
                <w:rFonts w:hint="eastAsia"/>
                <w:b/>
                <w:bCs/>
                <w:sz w:val="20"/>
                <w:szCs w:val="20"/>
                <w:lang w:val="en-US" w:eastAsia="zh-CN"/>
              </w:rPr>
              <w:t>目标</w:t>
            </w:r>
          </w:p>
        </w:tc>
        <w:tc>
          <w:tcPr>
            <w:tcW w:w="1850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default" w:eastAsia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b/>
                <w:bCs/>
                <w:sz w:val="20"/>
                <w:szCs w:val="20"/>
                <w:lang w:val="en-US" w:eastAsia="zh-CN"/>
              </w:rPr>
              <w:t>情感目标</w:t>
            </w:r>
          </w:p>
        </w:tc>
        <w:tc>
          <w:tcPr>
            <w:tcW w:w="2050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教学难点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1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1286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导论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理论2</w:t>
            </w:r>
            <w:r>
              <w:rPr>
                <w:rFonts w:hint="eastAsia"/>
                <w:sz w:val="20"/>
                <w:szCs w:val="20"/>
              </w:rPr>
              <w:t>课时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+实践2课时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1286" w:type="dxa"/>
            <w:vAlign w:val="top"/>
          </w:tcPr>
          <w:p>
            <w:pPr>
              <w:numPr>
                <w:ilvl w:val="0"/>
                <w:numId w:val="1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知道</w:t>
            </w:r>
            <w:r>
              <w:rPr>
                <w:rFonts w:hint="eastAsia"/>
                <w:sz w:val="20"/>
                <w:szCs w:val="20"/>
              </w:rPr>
              <w:t>学习教育政策法规的意义；</w:t>
            </w:r>
          </w:p>
          <w:p>
            <w:pPr>
              <w:numPr>
                <w:ilvl w:val="0"/>
                <w:numId w:val="1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知道</w:t>
            </w:r>
            <w:r>
              <w:rPr>
                <w:rFonts w:hint="eastAsia"/>
                <w:sz w:val="20"/>
                <w:szCs w:val="20"/>
              </w:rPr>
              <w:t>教师资格证考试对教育政策法规的要求；</w:t>
            </w:r>
          </w:p>
          <w:p>
            <w:pPr>
              <w:numPr>
                <w:ilvl w:val="0"/>
                <w:numId w:val="1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知道</w:t>
            </w:r>
            <w:r>
              <w:rPr>
                <w:rFonts w:hint="eastAsia"/>
                <w:sz w:val="20"/>
                <w:szCs w:val="20"/>
              </w:rPr>
              <w:t>教育政策与法规的地位与功能。</w:t>
            </w:r>
          </w:p>
        </w:tc>
        <w:tc>
          <w:tcPr>
            <w:tcW w:w="1617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1.能够简要阐述教育政策、教育法规的概念。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2.能够说明教育政策与教育法规的区别与联系；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3.能够简要说明教育政策的表现形式。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  <w:tc>
          <w:tcPr>
            <w:tcW w:w="1850" w:type="dxa"/>
            <w:vAlign w:val="top"/>
          </w:tcPr>
          <w:p>
            <w:pPr>
              <w:numPr>
                <w:ilvl w:val="0"/>
                <w:numId w:val="2"/>
              </w:numPr>
              <w:snapToGrid w:val="0"/>
              <w:spacing w:line="288" w:lineRule="auto"/>
              <w:ind w:right="26"/>
              <w:rPr>
                <w:rFonts w:hint="eastAsia"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认同社会主义核心价值观</w:t>
            </w:r>
          </w:p>
          <w:p>
            <w:pPr>
              <w:numPr>
                <w:ilvl w:val="0"/>
                <w:numId w:val="2"/>
              </w:numPr>
              <w:snapToGrid w:val="0"/>
              <w:spacing w:line="288" w:lineRule="auto"/>
              <w:ind w:right="26"/>
              <w:rPr>
                <w:rFonts w:hint="eastAsia" w:ascii="楷体_GB2312" w:hAnsi="楷体" w:eastAsia="楷体_GB2312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增强专业的使命感</w:t>
            </w:r>
          </w:p>
        </w:tc>
        <w:tc>
          <w:tcPr>
            <w:tcW w:w="2050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1.教育政策与法规的联系。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2.教育法规、教育法律的区别。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1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1286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依法治教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理论1</w:t>
            </w:r>
            <w:r>
              <w:rPr>
                <w:rFonts w:hint="eastAsia"/>
                <w:sz w:val="20"/>
                <w:szCs w:val="20"/>
              </w:rPr>
              <w:t>课时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+实践1课时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1286" w:type="dxa"/>
            <w:vAlign w:val="top"/>
          </w:tcPr>
          <w:p>
            <w:pPr>
              <w:numPr>
                <w:ilvl w:val="0"/>
                <w:numId w:val="3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知道</w:t>
            </w:r>
            <w:r>
              <w:rPr>
                <w:rFonts w:hint="eastAsia"/>
                <w:sz w:val="20"/>
                <w:szCs w:val="20"/>
              </w:rPr>
              <w:t>我国依法治教的标志性事件；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2.理解依法治教、依法执教的概念。理解依法治校的内涵。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3.理解依法治教的基本要求。</w:t>
            </w:r>
          </w:p>
        </w:tc>
        <w:tc>
          <w:tcPr>
            <w:tcW w:w="1617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1.能够分析现实生活中违反依法治教原则的教育现象。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能</w:t>
            </w:r>
            <w:r>
              <w:rPr>
                <w:rFonts w:hint="eastAsia"/>
                <w:sz w:val="20"/>
                <w:szCs w:val="20"/>
              </w:rPr>
              <w:t>理解依法治教的基本要求。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  <w:tc>
          <w:tcPr>
            <w:tcW w:w="1850" w:type="dxa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 w:ascii="宋体" w:hAnsi="宋体" w:eastAsia="宋体" w:cs="宋体"/>
                <w:bCs/>
                <w:sz w:val="20"/>
                <w:szCs w:val="20"/>
              </w:rPr>
            </w:pPr>
            <w:bookmarkStart w:id="1" w:name="_Hlk51438159"/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认同社会主义核心价值观</w:t>
            </w:r>
          </w:p>
          <w:p>
            <w:p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2.增强专业的认同感</w:t>
            </w:r>
          </w:p>
        </w:tc>
        <w:tc>
          <w:tcPr>
            <w:tcW w:w="2050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1.依法治教的基本要求。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2.依法治国与依法治教的关系。</w:t>
            </w:r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1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bookmarkStart w:id="2" w:name="_Hlk51438692"/>
            <w:r>
              <w:rPr>
                <w:rFonts w:hint="eastAsia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286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教育法基本原理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理论2</w:t>
            </w:r>
            <w:r>
              <w:rPr>
                <w:rFonts w:hint="eastAsia"/>
                <w:sz w:val="20"/>
                <w:szCs w:val="20"/>
              </w:rPr>
              <w:t>课时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+实践2课时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1286" w:type="dxa"/>
            <w:vAlign w:val="top"/>
          </w:tcPr>
          <w:p>
            <w:pPr>
              <w:numPr>
                <w:ilvl w:val="0"/>
                <w:numId w:val="4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理解</w:t>
            </w:r>
            <w:r>
              <w:rPr>
                <w:rFonts w:hint="eastAsia"/>
                <w:sz w:val="20"/>
                <w:szCs w:val="20"/>
              </w:rPr>
              <w:t>教育法的含义；</w:t>
            </w:r>
          </w:p>
          <w:p>
            <w:pPr>
              <w:numPr>
                <w:ilvl w:val="0"/>
                <w:numId w:val="4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理解教育法的特征。</w:t>
            </w:r>
          </w:p>
          <w:p>
            <w:pPr>
              <w:numPr>
                <w:ilvl w:val="0"/>
                <w:numId w:val="4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理解教育法律关系的内涵；</w:t>
            </w:r>
          </w:p>
        </w:tc>
        <w:tc>
          <w:tcPr>
            <w:tcW w:w="1617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1.能够分析教育法律关系的主体、客体和内容。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2.能够分析成为法律关系主体的条件，能够理解权利能力、行为能力和责任能力；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3能够区别教育法律权利和教育法律义务；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4、能够理解教育法的渊源和体系；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5.能够简述教育法律规范的内涵。</w:t>
            </w:r>
          </w:p>
        </w:tc>
        <w:tc>
          <w:tcPr>
            <w:tcW w:w="1850" w:type="dxa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认同社会主义核心价值观</w:t>
            </w:r>
          </w:p>
          <w:p>
            <w:pPr>
              <w:snapToGrid w:val="0"/>
              <w:spacing w:line="288" w:lineRule="auto"/>
              <w:ind w:right="26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2.增强专业的使命感</w:t>
            </w:r>
          </w:p>
        </w:tc>
        <w:tc>
          <w:tcPr>
            <w:tcW w:w="2050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 法律关系主体的条件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 教育法的渊源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3.教育法律规范的内涵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</w:tr>
      <w:bookmarkEnd w:id="2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1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286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学校、教师与学生的权利和义务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实践4</w:t>
            </w:r>
            <w:r>
              <w:rPr>
                <w:rFonts w:hint="eastAsia"/>
                <w:sz w:val="20"/>
                <w:szCs w:val="20"/>
              </w:rPr>
              <w:t>课时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+理论4课时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1286" w:type="dxa"/>
            <w:vAlign w:val="top"/>
          </w:tcPr>
          <w:p>
            <w:pPr>
              <w:numPr>
                <w:ilvl w:val="0"/>
                <w:numId w:val="5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知道</w:t>
            </w:r>
            <w:r>
              <w:rPr>
                <w:rFonts w:hint="eastAsia"/>
                <w:sz w:val="20"/>
                <w:szCs w:val="20"/>
              </w:rPr>
              <w:t>学校的权利与义务</w:t>
            </w:r>
          </w:p>
          <w:p>
            <w:pPr>
              <w:numPr>
                <w:ilvl w:val="0"/>
                <w:numId w:val="5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理解</w:t>
            </w:r>
            <w:r>
              <w:rPr>
                <w:rFonts w:hint="eastAsia"/>
                <w:sz w:val="20"/>
                <w:szCs w:val="20"/>
              </w:rPr>
              <w:t>教师的权利与义务</w:t>
            </w:r>
          </w:p>
          <w:p>
            <w:pPr>
              <w:numPr>
                <w:ilvl w:val="0"/>
                <w:numId w:val="5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理解</w:t>
            </w:r>
            <w:r>
              <w:rPr>
                <w:rFonts w:hint="eastAsia"/>
                <w:sz w:val="20"/>
                <w:szCs w:val="20"/>
              </w:rPr>
              <w:t>学生的权利与义务</w:t>
            </w:r>
          </w:p>
        </w:tc>
        <w:tc>
          <w:tcPr>
            <w:tcW w:w="1617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1.能够阐述学校有哪些权利和义务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 能够阐述教师有哪些权利和义务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3.能够阐述学生的权利和义务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  <w:tc>
          <w:tcPr>
            <w:tcW w:w="1850" w:type="dxa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认同社会主义核心价值观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2.增强专业的认同感</w:t>
            </w:r>
          </w:p>
        </w:tc>
        <w:tc>
          <w:tcPr>
            <w:tcW w:w="2050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1.对教师权利侵害的案例分析；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2.对学生权利侵害的分析；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1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1286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教育法律责任与救济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理论4</w:t>
            </w:r>
            <w:r>
              <w:rPr>
                <w:rFonts w:hint="eastAsia"/>
                <w:sz w:val="20"/>
                <w:szCs w:val="20"/>
              </w:rPr>
              <w:t>课时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+实践4课时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1286" w:type="dxa"/>
            <w:vAlign w:val="top"/>
          </w:tcPr>
          <w:p>
            <w:pPr>
              <w:numPr>
                <w:ilvl w:val="0"/>
                <w:numId w:val="6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知道</w:t>
            </w:r>
            <w:r>
              <w:rPr>
                <w:rFonts w:hint="eastAsia"/>
                <w:sz w:val="20"/>
                <w:szCs w:val="20"/>
              </w:rPr>
              <w:t>教育法律责任；</w:t>
            </w:r>
          </w:p>
          <w:p>
            <w:pPr>
              <w:numPr>
                <w:ilvl w:val="0"/>
                <w:numId w:val="6"/>
              </w:numPr>
              <w:tabs>
                <w:tab w:val="clear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理解</w:t>
            </w:r>
            <w:r>
              <w:rPr>
                <w:rFonts w:hint="eastAsia"/>
                <w:sz w:val="20"/>
                <w:szCs w:val="20"/>
              </w:rPr>
              <w:t>教育法律救济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</w:p>
        </w:tc>
        <w:tc>
          <w:tcPr>
            <w:tcW w:w="1617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1.能够理解教育法律责任的概念；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2.能够分清教育法律责任的类型；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3.能够判断教育法律责任的构成条件；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4.能够说出教育法律救济的途径；</w:t>
            </w:r>
          </w:p>
        </w:tc>
        <w:tc>
          <w:tcPr>
            <w:tcW w:w="1850" w:type="dxa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认同社会主义核心价值观</w:t>
            </w:r>
          </w:p>
          <w:p>
            <w:pPr>
              <w:snapToGrid w:val="0"/>
              <w:spacing w:line="288" w:lineRule="auto"/>
              <w:ind w:right="26"/>
              <w:rPr>
                <w:rFonts w:hint="eastAsia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2.增强专业的使命感</w:t>
            </w:r>
          </w:p>
        </w:tc>
        <w:tc>
          <w:tcPr>
            <w:tcW w:w="2050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1.教育法律责任的内涵；</w:t>
            </w:r>
            <w:r>
              <w:rPr>
                <w:sz w:val="20"/>
                <w:szCs w:val="20"/>
              </w:rPr>
              <w:t xml:space="preserve"> 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 能够判断教育法律责任的构成条件；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3.法律救济的途径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01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1286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教育政策法规热点问题研讨（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理论3课时+实践3课时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1286" w:type="dxa"/>
            <w:vAlign w:val="top"/>
          </w:tcPr>
          <w:p>
            <w:pPr>
              <w:tabs>
                <w:tab w:val="left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知道</w:t>
            </w:r>
            <w:r>
              <w:rPr>
                <w:rFonts w:hint="eastAsia"/>
                <w:sz w:val="20"/>
                <w:szCs w:val="20"/>
              </w:rPr>
              <w:t>教育政策热点问题</w:t>
            </w:r>
          </w:p>
          <w:p>
            <w:pPr>
              <w:tabs>
                <w:tab w:val="left" w:pos="312"/>
              </w:tabs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理解</w:t>
            </w:r>
            <w:r>
              <w:rPr>
                <w:rFonts w:hint="eastAsia"/>
                <w:sz w:val="20"/>
                <w:szCs w:val="20"/>
              </w:rPr>
              <w:t>教育法规热点问题</w:t>
            </w:r>
          </w:p>
        </w:tc>
        <w:tc>
          <w:tcPr>
            <w:tcW w:w="1617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1.能够搜集整理社会中存在的教育热点问题；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2.能够与其他同学合作进行教育问题的描述；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3.能够运用所学知识对教育问题的分析。</w:t>
            </w:r>
          </w:p>
        </w:tc>
        <w:tc>
          <w:tcPr>
            <w:tcW w:w="1850" w:type="dxa"/>
            <w:vAlign w:val="top"/>
          </w:tcPr>
          <w:p>
            <w:pPr>
              <w:numPr>
                <w:ilvl w:val="0"/>
                <w:numId w:val="0"/>
              </w:numPr>
              <w:snapToGrid w:val="0"/>
              <w:spacing w:line="288" w:lineRule="auto"/>
              <w:ind w:right="26" w:rightChars="0"/>
              <w:rPr>
                <w:rFonts w:hint="eastAsia" w:ascii="宋体" w:hAnsi="宋体" w:eastAsia="宋体" w:cs="宋体"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认同社会主义核心价值观</w:t>
            </w:r>
          </w:p>
          <w:p>
            <w:pPr>
              <w:snapToGrid w:val="0"/>
              <w:spacing w:line="288" w:lineRule="auto"/>
              <w:ind w:right="26"/>
              <w:rPr>
                <w:rFonts w:hint="default"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sz w:val="20"/>
                <w:szCs w:val="20"/>
                <w:lang w:val="en-US" w:eastAsia="zh-CN"/>
              </w:rPr>
              <w:t>2.增强专业的认同感</w:t>
            </w:r>
          </w:p>
        </w:tc>
        <w:tc>
          <w:tcPr>
            <w:tcW w:w="2050" w:type="dxa"/>
            <w:vAlign w:val="top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1.教育问题的辨识；</w:t>
            </w:r>
          </w:p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2.教育问题的分析；</w:t>
            </w:r>
          </w:p>
        </w:tc>
      </w:tr>
    </w:tbl>
    <w:p>
      <w:pPr>
        <w:snapToGrid w:val="0"/>
        <w:spacing w:line="288" w:lineRule="auto"/>
        <w:rPr>
          <w:rFonts w:ascii="宋体" w:hAnsi="宋体"/>
          <w:sz w:val="20"/>
          <w:szCs w:val="20"/>
        </w:rPr>
      </w:pPr>
    </w:p>
    <w:p>
      <w:pPr>
        <w:snapToGrid w:val="0"/>
        <w:spacing w:line="288" w:lineRule="auto"/>
        <w:ind w:right="26"/>
        <w:rPr>
          <w:sz w:val="20"/>
          <w:szCs w:val="20"/>
        </w:rPr>
      </w:pP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七、课内实验名称及基本要求（选填，适用于课内实验）</w:t>
      </w:r>
    </w:p>
    <w:p>
      <w:pPr>
        <w:snapToGrid w:val="0"/>
        <w:spacing w:line="288" w:lineRule="auto"/>
        <w:ind w:right="26" w:firstLine="400" w:firstLineChars="200"/>
        <w:rPr>
          <w:sz w:val="20"/>
          <w:szCs w:val="20"/>
        </w:rPr>
      </w:pPr>
      <w:r>
        <w:rPr>
          <w:rFonts w:hint="eastAsia"/>
          <w:sz w:val="20"/>
          <w:szCs w:val="20"/>
        </w:rPr>
        <w:t>列出课程实验的名称、学时数、实验类型（演示型、验证型、设计型、综合型）及每个实验的内容简述。</w:t>
      </w:r>
    </w:p>
    <w:tbl>
      <w:tblPr>
        <w:tblStyle w:val="4"/>
        <w:tblW w:w="8413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1620"/>
        <w:gridCol w:w="3240"/>
        <w:gridCol w:w="900"/>
        <w:gridCol w:w="1057"/>
        <w:gridCol w:w="10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实验名称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主要内容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</w:t>
            </w:r>
          </w:p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时数</w:t>
            </w: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/>
                <w:sz w:val="20"/>
                <w:szCs w:val="20"/>
              </w:rPr>
              <w:t>实验类型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导论</w:t>
            </w:r>
          </w:p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教育政策与教育法规的区别与联系</w:t>
            </w:r>
          </w:p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综合型</w:t>
            </w:r>
          </w:p>
        </w:tc>
        <w:tc>
          <w:tcPr>
            <w:tcW w:w="105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依法治教</w:t>
            </w:r>
          </w:p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分析现实生活中违反依法治教原则的教育现象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综合型</w:t>
            </w:r>
          </w:p>
        </w:tc>
        <w:tc>
          <w:tcPr>
            <w:tcW w:w="105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教育法基本原理</w:t>
            </w:r>
          </w:p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分析成为法律关系主体的条件，能够理解权利能力、行为能力和责任能力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综合型</w:t>
            </w:r>
          </w:p>
        </w:tc>
        <w:tc>
          <w:tcPr>
            <w:tcW w:w="105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4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学校、教师与学生的权利和义务</w:t>
            </w:r>
          </w:p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阐述学校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及教师</w:t>
            </w:r>
            <w:r>
              <w:rPr>
                <w:rFonts w:hint="eastAsia"/>
                <w:sz w:val="20"/>
                <w:szCs w:val="20"/>
              </w:rPr>
              <w:t>有哪些权利和义务</w:t>
            </w:r>
          </w:p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4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综合型</w:t>
            </w:r>
          </w:p>
        </w:tc>
        <w:tc>
          <w:tcPr>
            <w:tcW w:w="105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288" w:lineRule="auto"/>
              <w:ind w:right="26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教育法律责任与救济</w:t>
            </w:r>
          </w:p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分清教育法律责任的类型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4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综合型</w:t>
            </w:r>
          </w:p>
        </w:tc>
        <w:tc>
          <w:tcPr>
            <w:tcW w:w="105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6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教育政策法规热点问题研讨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运用所学知识对教育问题的分析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综合型</w:t>
            </w:r>
          </w:p>
        </w:tc>
        <w:tc>
          <w:tcPr>
            <w:tcW w:w="105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exact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/>
                <w:sz w:val="16"/>
                <w:szCs w:val="16"/>
                <w:lang w:val="en-US" w:eastAsia="zh-CN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合计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default" w:ascii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/>
                <w:sz w:val="16"/>
                <w:szCs w:val="16"/>
                <w:lang w:val="en-US" w:eastAsia="zh-CN"/>
              </w:rPr>
              <w:t>16</w:t>
            </w:r>
          </w:p>
        </w:tc>
        <w:tc>
          <w:tcPr>
            <w:tcW w:w="1057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hint="eastAsia" w:ascii="宋体"/>
                <w:sz w:val="16"/>
                <w:szCs w:val="16"/>
                <w:lang w:val="en-US" w:eastAsia="zh-CN"/>
              </w:rPr>
            </w:pPr>
          </w:p>
        </w:tc>
        <w:tc>
          <w:tcPr>
            <w:tcW w:w="1056" w:type="dxa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spacing w:line="288" w:lineRule="auto"/>
        <w:ind w:right="2520" w:firstLine="400" w:firstLineChars="200"/>
        <w:rPr>
          <w:sz w:val="20"/>
          <w:szCs w:val="20"/>
        </w:rPr>
      </w:pPr>
    </w:p>
    <w:p>
      <w:pPr>
        <w:snapToGrid w:val="0"/>
        <w:spacing w:line="288" w:lineRule="auto"/>
        <w:ind w:right="2520"/>
        <w:rPr>
          <w:rFonts w:ascii="黑体" w:hAnsi="宋体" w:eastAsia="黑体"/>
          <w:sz w:val="24"/>
        </w:rPr>
      </w:pPr>
    </w:p>
    <w:p>
      <w:pPr>
        <w:numPr>
          <w:ilvl w:val="0"/>
          <w:numId w:val="7"/>
        </w:numPr>
        <w:snapToGrid w:val="0"/>
        <w:spacing w:line="288" w:lineRule="auto"/>
        <w:ind w:right="2520" w:firstLine="480" w:firstLineChars="200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评价方式与成绩</w:t>
      </w:r>
      <w:r>
        <w:rPr>
          <w:rFonts w:ascii="黑体" w:hAnsi="宋体" w:eastAsia="黑体"/>
          <w:sz w:val="24"/>
        </w:rPr>
        <w:t>（必填项）</w:t>
      </w:r>
    </w:p>
    <w:tbl>
      <w:tblPr>
        <w:tblStyle w:val="4"/>
        <w:tblpPr w:leftFromText="180" w:rightFromText="180" w:vertAnchor="text" w:horzAnchor="page" w:tblpX="1853" w:tblpY="717"/>
        <w:tblOverlap w:val="never"/>
        <w:tblW w:w="85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5103"/>
        <w:gridCol w:w="16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总评构成（1+</w:t>
            </w:r>
            <w:r>
              <w:rPr>
                <w:rFonts w:ascii="宋体" w:hAnsi="宋体"/>
                <w:bCs/>
                <w:color w:val="000000"/>
                <w:szCs w:val="20"/>
              </w:rPr>
              <w:t>X</w:t>
            </w:r>
            <w:r>
              <w:rPr>
                <w:rFonts w:hint="eastAsia" w:ascii="宋体" w:hAnsi="宋体"/>
                <w:bCs/>
                <w:color w:val="000000"/>
                <w:szCs w:val="20"/>
              </w:rPr>
              <w:t>）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评价方式</w:t>
            </w:r>
          </w:p>
        </w:tc>
        <w:tc>
          <w:tcPr>
            <w:tcW w:w="164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期末考试</w:t>
            </w:r>
          </w:p>
        </w:tc>
        <w:tc>
          <w:tcPr>
            <w:tcW w:w="164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50%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X1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课堂讨论</w:t>
            </w:r>
          </w:p>
        </w:tc>
        <w:tc>
          <w:tcPr>
            <w:tcW w:w="164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X2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课堂表现</w:t>
            </w:r>
          </w:p>
        </w:tc>
        <w:tc>
          <w:tcPr>
            <w:tcW w:w="164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15%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X3</w:t>
            </w:r>
          </w:p>
        </w:tc>
        <w:tc>
          <w:tcPr>
            <w:tcW w:w="5103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课后作业</w:t>
            </w:r>
          </w:p>
        </w:tc>
        <w:tc>
          <w:tcPr>
            <w:tcW w:w="1647" w:type="dxa"/>
            <w:shd w:val="clear" w:color="auto" w:fill="auto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szCs w:val="20"/>
              </w:rPr>
              <w:t>20%</w:t>
            </w:r>
          </w:p>
        </w:tc>
      </w:tr>
    </w:tbl>
    <w:p>
      <w:pPr>
        <w:widowControl/>
        <w:spacing w:before="156" w:beforeLines="50" w:after="156" w:afterLines="50" w:line="288" w:lineRule="auto"/>
        <w:jc w:val="left"/>
        <w:rPr>
          <w:rFonts w:ascii="黑体" w:hAnsi="宋体" w:eastAsia="黑体"/>
          <w:sz w:val="24"/>
        </w:rPr>
      </w:pPr>
    </w:p>
    <w:p>
      <w:pPr>
        <w:snapToGrid w:val="0"/>
        <w:spacing w:before="156" w:beforeLines="50" w:line="288" w:lineRule="auto"/>
        <w:ind w:firstLine="400" w:firstLineChars="200"/>
        <w:rPr>
          <w:rFonts w:ascii="宋体" w:hAnsi="宋体"/>
          <w:sz w:val="20"/>
          <w:szCs w:val="20"/>
        </w:rPr>
      </w:pPr>
      <w:r>
        <w:rPr>
          <w:rFonts w:hint="eastAsia" w:ascii="宋体" w:hAnsi="宋体"/>
          <w:sz w:val="20"/>
          <w:szCs w:val="20"/>
        </w:rPr>
        <w:t>“</w:t>
      </w:r>
      <w:r>
        <w:rPr>
          <w:rFonts w:ascii="宋体" w:hAnsi="宋体"/>
          <w:sz w:val="20"/>
          <w:szCs w:val="20"/>
        </w:rPr>
        <w:t>1</w:t>
      </w:r>
      <w:r>
        <w:rPr>
          <w:rFonts w:hint="eastAsia" w:ascii="宋体" w:hAnsi="宋体"/>
          <w:sz w:val="20"/>
          <w:szCs w:val="20"/>
        </w:rPr>
        <w:t>”一般为总结性评价, “</w:t>
      </w:r>
      <w:r>
        <w:rPr>
          <w:rFonts w:ascii="宋体" w:hAnsi="宋体"/>
          <w:sz w:val="20"/>
          <w:szCs w:val="20"/>
        </w:rPr>
        <w:t>X</w:t>
      </w:r>
      <w:r>
        <w:rPr>
          <w:rFonts w:hint="eastAsia" w:ascii="宋体" w:hAnsi="宋体"/>
          <w:sz w:val="20"/>
          <w:szCs w:val="20"/>
        </w:rPr>
        <w:t>”为过程性评价，“</w:t>
      </w:r>
      <w:r>
        <w:rPr>
          <w:rFonts w:ascii="宋体" w:hAnsi="宋体"/>
          <w:sz w:val="20"/>
          <w:szCs w:val="20"/>
        </w:rPr>
        <w:t>X</w:t>
      </w:r>
      <w:r>
        <w:rPr>
          <w:rFonts w:hint="eastAsia" w:ascii="宋体" w:hAnsi="宋体"/>
          <w:sz w:val="20"/>
          <w:szCs w:val="20"/>
        </w:rPr>
        <w:t>”的</w:t>
      </w:r>
      <w:r>
        <w:rPr>
          <w:rFonts w:hint="eastAsia"/>
          <w:color w:val="000000"/>
          <w:sz w:val="20"/>
          <w:szCs w:val="20"/>
        </w:rPr>
        <w:t>次数一般不少于3次，无论是</w:t>
      </w:r>
      <w:r>
        <w:rPr>
          <w:rFonts w:hint="eastAsia" w:ascii="宋体" w:hAnsi="宋体"/>
          <w:sz w:val="20"/>
          <w:szCs w:val="20"/>
        </w:rPr>
        <w:t>“</w:t>
      </w:r>
      <w:r>
        <w:rPr>
          <w:rFonts w:ascii="宋体" w:hAnsi="宋体"/>
          <w:sz w:val="20"/>
          <w:szCs w:val="20"/>
        </w:rPr>
        <w:t>1</w:t>
      </w:r>
      <w:r>
        <w:rPr>
          <w:rFonts w:hint="eastAsia" w:ascii="宋体" w:hAnsi="宋体"/>
          <w:sz w:val="20"/>
          <w:szCs w:val="20"/>
        </w:rPr>
        <w:t>”、还是“</w:t>
      </w:r>
      <w:r>
        <w:rPr>
          <w:rFonts w:ascii="宋体" w:hAnsi="宋体"/>
          <w:sz w:val="20"/>
          <w:szCs w:val="20"/>
        </w:rPr>
        <w:t>X</w:t>
      </w:r>
      <w:r>
        <w:rPr>
          <w:rFonts w:hint="eastAsia" w:ascii="宋体" w:hAnsi="宋体"/>
          <w:sz w:val="20"/>
          <w:szCs w:val="20"/>
        </w:rPr>
        <w:t>”，都可以是纸笔测试，也可以是表现性评价。与能力本位相适应的课程评价方式，较少采用纸笔测试，较多采用表现性评价。</w:t>
      </w:r>
    </w:p>
    <w:p>
      <w:pPr>
        <w:snapToGrid w:val="0"/>
        <w:spacing w:before="120" w:after="120" w:line="288" w:lineRule="auto"/>
        <w:ind w:firstLine="400" w:firstLineChars="200"/>
        <w:rPr>
          <w:rFonts w:ascii="宋体" w:hAnsi="宋体"/>
          <w:sz w:val="20"/>
          <w:szCs w:val="20"/>
          <w:highlight w:val="yellow"/>
        </w:rPr>
      </w:pPr>
      <w:r>
        <w:rPr>
          <w:rFonts w:hint="eastAsia"/>
          <w:color w:val="000000"/>
          <w:sz w:val="20"/>
          <w:szCs w:val="20"/>
        </w:rPr>
        <w:t>常用</w:t>
      </w:r>
      <w:r>
        <w:rPr>
          <w:color w:val="000000"/>
          <w:sz w:val="20"/>
          <w:szCs w:val="20"/>
        </w:rPr>
        <w:t>的</w:t>
      </w:r>
      <w:r>
        <w:rPr>
          <w:rFonts w:hint="eastAsia"/>
          <w:color w:val="000000"/>
          <w:sz w:val="20"/>
          <w:szCs w:val="20"/>
        </w:rPr>
        <w:t>评价</w:t>
      </w:r>
      <w:r>
        <w:rPr>
          <w:color w:val="000000"/>
          <w:sz w:val="20"/>
          <w:szCs w:val="20"/>
        </w:rPr>
        <w:t>方式</w:t>
      </w:r>
      <w:r>
        <w:rPr>
          <w:rFonts w:hint="eastAsia"/>
          <w:color w:val="000000"/>
          <w:sz w:val="20"/>
          <w:szCs w:val="20"/>
        </w:rPr>
        <w:t>有</w:t>
      </w:r>
      <w:r>
        <w:rPr>
          <w:color w:val="000000"/>
          <w:sz w:val="20"/>
          <w:szCs w:val="20"/>
        </w:rPr>
        <w:t>：</w:t>
      </w:r>
      <w:r>
        <w:rPr>
          <w:rFonts w:hint="eastAsia" w:ascii="宋体" w:hAnsi="宋体"/>
          <w:sz w:val="20"/>
          <w:szCs w:val="20"/>
        </w:rPr>
        <w:t>课堂展示、口头</w:t>
      </w:r>
      <w:r>
        <w:rPr>
          <w:rFonts w:ascii="宋体" w:hAnsi="宋体"/>
          <w:sz w:val="20"/>
          <w:szCs w:val="20"/>
        </w:rPr>
        <w:t>报告、</w:t>
      </w:r>
      <w:r>
        <w:rPr>
          <w:rFonts w:hint="eastAsia" w:ascii="宋体" w:hAnsi="宋体"/>
          <w:sz w:val="20"/>
          <w:szCs w:val="20"/>
        </w:rPr>
        <w:t>论文、日志、反思</w:t>
      </w:r>
      <w:r>
        <w:rPr>
          <w:rFonts w:ascii="宋体" w:hAnsi="宋体"/>
          <w:sz w:val="20"/>
          <w:szCs w:val="20"/>
        </w:rPr>
        <w:t>、</w:t>
      </w:r>
      <w:r>
        <w:rPr>
          <w:rFonts w:hint="eastAsia" w:ascii="宋体" w:hAnsi="宋体"/>
          <w:sz w:val="20"/>
          <w:szCs w:val="20"/>
        </w:rPr>
        <w:t>调查报告、个人项目报告、小组</w:t>
      </w:r>
      <w:r>
        <w:rPr>
          <w:rFonts w:ascii="宋体" w:hAnsi="宋体"/>
          <w:sz w:val="20"/>
          <w:szCs w:val="20"/>
        </w:rPr>
        <w:t>项目报告、</w:t>
      </w:r>
      <w:r>
        <w:rPr>
          <w:rFonts w:hint="eastAsia" w:ascii="宋体" w:hAnsi="宋体"/>
          <w:sz w:val="20"/>
          <w:szCs w:val="20"/>
        </w:rPr>
        <w:t>实验报告、读书报告、作品（选集</w:t>
      </w:r>
      <w:r>
        <w:rPr>
          <w:rFonts w:ascii="宋体" w:hAnsi="宋体"/>
          <w:sz w:val="20"/>
          <w:szCs w:val="20"/>
        </w:rPr>
        <w:t>）</w:t>
      </w:r>
      <w:r>
        <w:rPr>
          <w:rFonts w:hint="eastAsia" w:ascii="宋体" w:hAnsi="宋体"/>
          <w:sz w:val="20"/>
          <w:szCs w:val="20"/>
        </w:rPr>
        <w:t>、口试、课堂小测验、</w:t>
      </w:r>
      <w:r>
        <w:rPr>
          <w:rFonts w:ascii="宋体" w:hAnsi="宋体"/>
          <w:sz w:val="20"/>
          <w:szCs w:val="20"/>
        </w:rPr>
        <w:t>期终闭卷考、期终开卷考、</w:t>
      </w:r>
      <w:r>
        <w:rPr>
          <w:rFonts w:hint="eastAsia" w:ascii="宋体" w:hAnsi="宋体"/>
          <w:sz w:val="20"/>
          <w:szCs w:val="20"/>
        </w:rPr>
        <w:t>工作</w:t>
      </w:r>
      <w:r>
        <w:rPr>
          <w:rFonts w:ascii="宋体" w:hAnsi="宋体"/>
          <w:sz w:val="20"/>
          <w:szCs w:val="20"/>
        </w:rPr>
        <w:t>现场评估、</w:t>
      </w:r>
      <w:r>
        <w:rPr>
          <w:rFonts w:hint="eastAsia" w:ascii="宋体" w:hAnsi="宋体"/>
          <w:sz w:val="20"/>
          <w:szCs w:val="20"/>
        </w:rPr>
        <w:t>自我</w:t>
      </w:r>
      <w:r>
        <w:rPr>
          <w:rFonts w:ascii="宋体" w:hAnsi="宋体"/>
          <w:sz w:val="20"/>
          <w:szCs w:val="20"/>
        </w:rPr>
        <w:t>评估、</w:t>
      </w:r>
      <w:r>
        <w:rPr>
          <w:rFonts w:hint="eastAsia" w:ascii="宋体" w:hAnsi="宋体"/>
          <w:sz w:val="20"/>
          <w:szCs w:val="20"/>
        </w:rPr>
        <w:t>同辈</w:t>
      </w:r>
      <w:r>
        <w:rPr>
          <w:rFonts w:ascii="宋体" w:hAnsi="宋体"/>
          <w:sz w:val="20"/>
          <w:szCs w:val="20"/>
        </w:rPr>
        <w:t>评估</w:t>
      </w:r>
      <w:r>
        <w:rPr>
          <w:rFonts w:hint="eastAsia" w:ascii="宋体" w:hAnsi="宋体"/>
          <w:sz w:val="20"/>
          <w:szCs w:val="20"/>
        </w:rPr>
        <w:t>等等</w:t>
      </w:r>
      <w:r>
        <w:rPr>
          <w:rFonts w:ascii="宋体" w:hAnsi="宋体"/>
          <w:sz w:val="20"/>
          <w:szCs w:val="20"/>
        </w:rPr>
        <w:t>。</w:t>
      </w:r>
    </w:p>
    <w:p>
      <w:pPr>
        <w:snapToGrid w:val="0"/>
        <w:spacing w:line="288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撰写人：周桂勋   系主任审核签名：</w:t>
      </w:r>
      <w:r>
        <w:rPr>
          <w:rFonts w:hint="eastAsia" w:eastAsia="宋体"/>
          <w:sz w:val="28"/>
          <w:szCs w:val="28"/>
          <w:lang w:eastAsia="zh-CN"/>
        </w:rPr>
        <w:drawing>
          <wp:inline distT="0" distB="0" distL="114300" distR="114300">
            <wp:extent cx="651510" cy="410845"/>
            <wp:effectExtent l="0" t="0" r="8890" b="8255"/>
            <wp:docPr id="2" name="图片 2" descr="步老师签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步老师签名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1510" cy="410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</w:rPr>
        <w:t>审核时间：</w:t>
      </w:r>
      <w:r>
        <w:rPr>
          <w:rFonts w:hint="eastAsia"/>
          <w:sz w:val="28"/>
          <w:szCs w:val="28"/>
          <w:lang w:val="en-US" w:eastAsia="zh-CN"/>
        </w:rPr>
        <w:t>2020-9-4</w:t>
      </w:r>
      <w:r>
        <w:rPr>
          <w:rFonts w:hint="eastAsia"/>
          <w:sz w:val="28"/>
          <w:szCs w:val="28"/>
        </w:rPr>
        <w:t xml:space="preserve">                    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383E4B"/>
    <w:multiLevelType w:val="singleLevel"/>
    <w:tmpl w:val="8C383E4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BB5B595B"/>
    <w:multiLevelType w:val="singleLevel"/>
    <w:tmpl w:val="BB5B595B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D11C95AF"/>
    <w:multiLevelType w:val="singleLevel"/>
    <w:tmpl w:val="D11C95A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EE099896"/>
    <w:multiLevelType w:val="singleLevel"/>
    <w:tmpl w:val="EE099896"/>
    <w:lvl w:ilvl="0" w:tentative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 w:asciiTheme="minorEastAsia" w:hAnsiTheme="minorEastAsia" w:eastAsiaTheme="minorEastAsia" w:cstheme="minorEastAsia"/>
      </w:rPr>
    </w:lvl>
  </w:abstractNum>
  <w:abstractNum w:abstractNumId="4">
    <w:nsid w:val="4E101CB5"/>
    <w:multiLevelType w:val="singleLevel"/>
    <w:tmpl w:val="4E101CB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5067B0F1"/>
    <w:multiLevelType w:val="singleLevel"/>
    <w:tmpl w:val="5067B0F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>
    <w:nsid w:val="54AF5FF3"/>
    <w:multiLevelType w:val="singleLevel"/>
    <w:tmpl w:val="54AF5FF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51F"/>
    <w:rsid w:val="001072BC"/>
    <w:rsid w:val="00151D1C"/>
    <w:rsid w:val="00256B39"/>
    <w:rsid w:val="0026033C"/>
    <w:rsid w:val="00264369"/>
    <w:rsid w:val="002E3721"/>
    <w:rsid w:val="00313BBA"/>
    <w:rsid w:val="0032602E"/>
    <w:rsid w:val="003367AE"/>
    <w:rsid w:val="003802B6"/>
    <w:rsid w:val="003A6BBE"/>
    <w:rsid w:val="003B1258"/>
    <w:rsid w:val="004100B0"/>
    <w:rsid w:val="0046084F"/>
    <w:rsid w:val="005467DC"/>
    <w:rsid w:val="00553D03"/>
    <w:rsid w:val="00570FB8"/>
    <w:rsid w:val="005B2B6D"/>
    <w:rsid w:val="005B4B4E"/>
    <w:rsid w:val="005C6316"/>
    <w:rsid w:val="005D4A8C"/>
    <w:rsid w:val="00624FE1"/>
    <w:rsid w:val="007208D6"/>
    <w:rsid w:val="007556B9"/>
    <w:rsid w:val="0081773A"/>
    <w:rsid w:val="00887370"/>
    <w:rsid w:val="008B397C"/>
    <w:rsid w:val="008B47F4"/>
    <w:rsid w:val="00900019"/>
    <w:rsid w:val="00940F65"/>
    <w:rsid w:val="0099063E"/>
    <w:rsid w:val="00997FEB"/>
    <w:rsid w:val="00A769B1"/>
    <w:rsid w:val="00A837D5"/>
    <w:rsid w:val="00AC4C45"/>
    <w:rsid w:val="00B46F21"/>
    <w:rsid w:val="00B511A5"/>
    <w:rsid w:val="00B736A7"/>
    <w:rsid w:val="00B7651F"/>
    <w:rsid w:val="00C56E09"/>
    <w:rsid w:val="00CF096B"/>
    <w:rsid w:val="00D440D1"/>
    <w:rsid w:val="00D66E74"/>
    <w:rsid w:val="00E16D30"/>
    <w:rsid w:val="00E33169"/>
    <w:rsid w:val="00E70904"/>
    <w:rsid w:val="00EF44B1"/>
    <w:rsid w:val="00F35AA0"/>
    <w:rsid w:val="00F46BCC"/>
    <w:rsid w:val="00F82C53"/>
    <w:rsid w:val="016E63C2"/>
    <w:rsid w:val="024B0C39"/>
    <w:rsid w:val="0A8128A6"/>
    <w:rsid w:val="0BF32A1B"/>
    <w:rsid w:val="10BD2C22"/>
    <w:rsid w:val="10C35C9F"/>
    <w:rsid w:val="16F52B09"/>
    <w:rsid w:val="22987C80"/>
    <w:rsid w:val="24192CCC"/>
    <w:rsid w:val="2D0502A4"/>
    <w:rsid w:val="321E0AB7"/>
    <w:rsid w:val="32E91D2D"/>
    <w:rsid w:val="39A66CD4"/>
    <w:rsid w:val="3BEB0E5A"/>
    <w:rsid w:val="3CD52CE1"/>
    <w:rsid w:val="410F2E6A"/>
    <w:rsid w:val="4430136C"/>
    <w:rsid w:val="4AB0382B"/>
    <w:rsid w:val="4FE30E17"/>
    <w:rsid w:val="569868B5"/>
    <w:rsid w:val="574D1000"/>
    <w:rsid w:val="611F6817"/>
    <w:rsid w:val="66CA1754"/>
    <w:rsid w:val="6F1E65D4"/>
    <w:rsid w:val="6F266C86"/>
    <w:rsid w:val="6F5042C2"/>
    <w:rsid w:val="74316312"/>
    <w:rsid w:val="780F13C8"/>
    <w:rsid w:val="7B827EA2"/>
    <w:rsid w:val="7C385448"/>
    <w:rsid w:val="7CA9225B"/>
    <w:rsid w:val="7CB3663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503</Words>
  <Characters>2872</Characters>
  <Lines>23</Lines>
  <Paragraphs>6</Paragraphs>
  <TotalTime>1</TotalTime>
  <ScaleCrop>false</ScaleCrop>
  <LinksUpToDate>false</LinksUpToDate>
  <CharactersWithSpaces>3369</CharactersWithSpaces>
  <Application>WPS Office_11.1.0.10359_F1E327BC-269C-435d-A152-05C5408002CA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2016-12-19T07:34:00Z</dcterms:created>
  <dc:creator>juvg</dc:creator>
  <cp:lastModifiedBy>陌桑</cp:lastModifiedBy>
  <dcterms:modified xsi:type="dcterms:W3CDTF">2021-04-30T03:42:58Z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2052-11.1.0.10359</vt:lpwstr>
  </property>
  <property fmtid="{D5CDD505-2E9C-101B-9397-08002B2CF9AE}" pid="3" name="ICV">
    <vt:lpwstr>C4D5B9FBA44C4A16A225F9D4FCBC5015</vt:lpwstr>
  </property>
</Properties>
</file>