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0BE30">
      <w:pPr>
        <w:jc w:val="left"/>
        <w:rPr>
          <w:rFonts w:ascii="宋体" w:hAnsi="宋体"/>
          <w:spacing w:val="20"/>
          <w:sz w:val="24"/>
          <w:szCs w:val="24"/>
        </w:rPr>
      </w:pPr>
      <w:bookmarkStart w:id="3" w:name="_GoBack"/>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14:paraId="40C42E5C">
      <w:pPr>
        <w:pStyle w:val="14"/>
        <w:rPr>
          <w:rFonts w:ascii="Times New Roman" w:hAnsi="Times New Roman"/>
        </w:rPr>
      </w:pPr>
      <w:r>
        <w:rPr>
          <w:rFonts w:hint="eastAsia"/>
          <w:lang w:val="en-US" w:eastAsia="zh-CN"/>
        </w:rPr>
        <w:t>学前比较教育</w:t>
      </w:r>
    </w:p>
    <w:p w14:paraId="76A0849B">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Comparative preschool education</w:t>
      </w:r>
      <w:r>
        <w:rPr>
          <w:rFonts w:hint="eastAsia"/>
          <w:b/>
          <w:sz w:val="28"/>
          <w:szCs w:val="30"/>
        </w:rPr>
        <w:t>】</w:t>
      </w:r>
    </w:p>
    <w:p w14:paraId="52974C48">
      <w:pPr>
        <w:pStyle w:val="5"/>
        <w:jc w:val="left"/>
        <w:rPr>
          <w:rFonts w:ascii="黑体" w:hAnsi="宋体" w:eastAsia="黑体"/>
          <w:sz w:val="24"/>
        </w:rPr>
      </w:pPr>
      <w:r>
        <w:rPr>
          <w:rFonts w:hint="eastAsia" w:ascii="黑体" w:hAnsi="宋体" w:eastAsia="黑体"/>
          <w:sz w:val="24"/>
        </w:rPr>
        <w:t>一、基本信息</w:t>
      </w:r>
    </w:p>
    <w:p w14:paraId="257A52B2">
      <w:pPr>
        <w:rPr>
          <w:lang w:val="zh-CN"/>
        </w:rPr>
      </w:pPr>
    </w:p>
    <w:p w14:paraId="7F331B5E">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130029】</w:t>
      </w:r>
    </w:p>
    <w:p w14:paraId="3682ED68">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sz w:val="20"/>
          <w:szCs w:val="20"/>
        </w:rPr>
        <w:t>2</w:t>
      </w:r>
      <w:r>
        <w:rPr>
          <w:color w:val="000000"/>
          <w:sz w:val="20"/>
          <w:szCs w:val="20"/>
        </w:rPr>
        <w:t>】</w:t>
      </w:r>
    </w:p>
    <w:p w14:paraId="5F2A5452">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14:paraId="0A7B112C">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sz w:val="20"/>
          <w:szCs w:val="20"/>
        </w:rPr>
        <w:t>方向选修课</w:t>
      </w:r>
      <w:r>
        <w:rPr>
          <w:color w:val="000000"/>
          <w:sz w:val="20"/>
          <w:szCs w:val="20"/>
        </w:rPr>
        <w:t>】</w:t>
      </w:r>
    </w:p>
    <w:p w14:paraId="61772646">
      <w:pPr>
        <w:snapToGrid w:val="0"/>
        <w:spacing w:line="288" w:lineRule="auto"/>
        <w:ind w:firstLine="392" w:firstLineChars="196"/>
        <w:rPr>
          <w:b/>
          <w:bCs/>
          <w:color w:val="000000"/>
          <w:szCs w:val="21"/>
        </w:rPr>
      </w:pPr>
      <w:r>
        <w:rPr>
          <w:b/>
          <w:bCs/>
          <w:color w:val="000000"/>
          <w:sz w:val="20"/>
          <w:szCs w:val="20"/>
        </w:rPr>
        <w:t>开课院系：</w:t>
      </w:r>
      <w:r>
        <w:rPr>
          <w:rFonts w:hint="eastAsia"/>
          <w:bCs/>
          <w:color w:val="000000"/>
          <w:sz w:val="20"/>
          <w:szCs w:val="20"/>
        </w:rPr>
        <w:t>学前教育系</w:t>
      </w:r>
    </w:p>
    <w:p w14:paraId="170FD9DC">
      <w:pPr>
        <w:snapToGrid w:val="0"/>
        <w:spacing w:line="288" w:lineRule="auto"/>
        <w:ind w:firstLine="392" w:firstLineChars="196"/>
        <w:rPr>
          <w:color w:val="000000"/>
          <w:sz w:val="20"/>
          <w:szCs w:val="20"/>
        </w:rPr>
      </w:pPr>
      <w:r>
        <w:rPr>
          <w:b/>
          <w:bCs/>
          <w:color w:val="000000"/>
          <w:sz w:val="20"/>
          <w:szCs w:val="20"/>
        </w:rPr>
        <w:t>使用教材：</w:t>
      </w:r>
      <w:r>
        <w:rPr>
          <w:rFonts w:hint="eastAsia"/>
          <w:bCs/>
          <w:color w:val="000000"/>
          <w:sz w:val="20"/>
          <w:szCs w:val="20"/>
        </w:rPr>
        <w:t>【</w:t>
      </w:r>
      <w:r>
        <w:rPr>
          <w:rFonts w:hint="eastAsia"/>
          <w:color w:val="000000"/>
          <w:sz w:val="20"/>
          <w:szCs w:val="20"/>
        </w:rPr>
        <w:t>比较学前教育，姚伟，高等教育出版社，2</w:t>
      </w:r>
      <w:r>
        <w:rPr>
          <w:color w:val="000000"/>
          <w:sz w:val="20"/>
          <w:szCs w:val="20"/>
        </w:rPr>
        <w:t>015</w:t>
      </w:r>
      <w:r>
        <w:rPr>
          <w:bCs/>
          <w:color w:val="000000"/>
          <w:sz w:val="20"/>
          <w:szCs w:val="20"/>
        </w:rPr>
        <w:t>】</w:t>
      </w:r>
    </w:p>
    <w:p w14:paraId="077C151F">
      <w:pPr>
        <w:snapToGrid w:val="0"/>
        <w:spacing w:line="288" w:lineRule="auto"/>
        <w:ind w:firstLine="400" w:firstLineChars="200"/>
        <w:rPr>
          <w:color w:val="000000"/>
          <w:sz w:val="20"/>
          <w:szCs w:val="20"/>
        </w:rPr>
      </w:pPr>
      <w:r>
        <w:rPr>
          <w:b/>
          <w:bCs/>
          <w:color w:val="000000"/>
          <w:sz w:val="20"/>
          <w:szCs w:val="20"/>
        </w:rPr>
        <w:t>参考</w:t>
      </w:r>
      <w:r>
        <w:rPr>
          <w:rFonts w:hint="eastAsia"/>
          <w:b/>
          <w:bCs/>
          <w:color w:val="000000"/>
          <w:sz w:val="20"/>
          <w:szCs w:val="20"/>
        </w:rPr>
        <w:t>书目：</w:t>
      </w:r>
      <w:r>
        <w:rPr>
          <w:color w:val="000000"/>
          <w:sz w:val="20"/>
          <w:szCs w:val="20"/>
        </w:rPr>
        <w:t>【</w:t>
      </w:r>
      <w:r>
        <w:rPr>
          <w:rFonts w:hint="eastAsia"/>
          <w:bCs/>
          <w:color w:val="000000"/>
          <w:sz w:val="20"/>
          <w:szCs w:val="20"/>
        </w:rPr>
        <w:t>比较学前教育，李生兰，华东师范</w:t>
      </w:r>
      <w:r>
        <w:rPr>
          <w:rFonts w:hint="eastAsia"/>
          <w:color w:val="000000"/>
          <w:sz w:val="20"/>
          <w:szCs w:val="20"/>
        </w:rPr>
        <w:t>大学出版社</w:t>
      </w:r>
      <w:r>
        <w:rPr>
          <w:rFonts w:hint="eastAsia"/>
          <w:bCs/>
          <w:color w:val="000000"/>
          <w:sz w:val="20"/>
          <w:szCs w:val="20"/>
        </w:rPr>
        <w:t>，20</w:t>
      </w:r>
      <w:r>
        <w:rPr>
          <w:bCs/>
          <w:color w:val="000000"/>
          <w:sz w:val="20"/>
          <w:szCs w:val="20"/>
        </w:rPr>
        <w:t>00</w:t>
      </w:r>
      <w:r>
        <w:rPr>
          <w:rFonts w:hint="eastAsia"/>
          <w:bCs/>
          <w:color w:val="000000"/>
          <w:sz w:val="20"/>
          <w:szCs w:val="20"/>
        </w:rPr>
        <w:t>年</w:t>
      </w:r>
    </w:p>
    <w:p w14:paraId="6592BAA8">
      <w:pPr>
        <w:snapToGrid w:val="0"/>
        <w:spacing w:line="288" w:lineRule="auto"/>
        <w:ind w:firstLine="1400" w:firstLineChars="700"/>
        <w:rPr>
          <w:color w:val="000000"/>
          <w:sz w:val="20"/>
          <w:szCs w:val="20"/>
        </w:rPr>
      </w:pPr>
      <w:r>
        <w:rPr>
          <w:rFonts w:hint="eastAsia"/>
          <w:color w:val="000000"/>
          <w:sz w:val="20"/>
          <w:szCs w:val="20"/>
        </w:rPr>
        <w:t>学前比较教育学（第3版），霍力岩，北京师范大学出版社，2</w:t>
      </w:r>
      <w:r>
        <w:rPr>
          <w:color w:val="000000"/>
          <w:sz w:val="20"/>
          <w:szCs w:val="20"/>
        </w:rPr>
        <w:t>0</w:t>
      </w:r>
      <w:r>
        <w:rPr>
          <w:rFonts w:hint="eastAsia"/>
          <w:color w:val="000000"/>
          <w:sz w:val="20"/>
          <w:szCs w:val="20"/>
        </w:rPr>
        <w:t>15年</w:t>
      </w:r>
    </w:p>
    <w:p w14:paraId="3368795D">
      <w:pPr>
        <w:snapToGrid w:val="0"/>
        <w:spacing w:line="288" w:lineRule="auto"/>
        <w:ind w:firstLine="1392" w:firstLineChars="696"/>
        <w:rPr>
          <w:color w:val="000000"/>
          <w:sz w:val="20"/>
          <w:szCs w:val="20"/>
        </w:rPr>
      </w:pPr>
      <w:r>
        <w:rPr>
          <w:rFonts w:hint="eastAsia"/>
          <w:color w:val="000000"/>
          <w:sz w:val="20"/>
          <w:szCs w:val="20"/>
        </w:rPr>
        <w:t>学前比较教育（第3版），曹能秀，华东师范大学出版社，</w:t>
      </w:r>
      <w:r>
        <w:rPr>
          <w:color w:val="000000"/>
          <w:sz w:val="20"/>
          <w:szCs w:val="20"/>
        </w:rPr>
        <w:t>20</w:t>
      </w:r>
      <w:r>
        <w:rPr>
          <w:rFonts w:hint="eastAsia"/>
          <w:color w:val="000000"/>
          <w:sz w:val="20"/>
          <w:szCs w:val="20"/>
        </w:rPr>
        <w:t>2</w:t>
      </w:r>
      <w:r>
        <w:rPr>
          <w:color w:val="000000"/>
          <w:sz w:val="20"/>
          <w:szCs w:val="20"/>
        </w:rPr>
        <w:t>0年</w:t>
      </w:r>
      <w:r>
        <w:rPr>
          <w:rFonts w:hint="eastAsia"/>
          <w:bCs/>
          <w:color w:val="000000"/>
          <w:sz w:val="20"/>
          <w:szCs w:val="20"/>
        </w:rPr>
        <w:t>】</w:t>
      </w:r>
    </w:p>
    <w:p w14:paraId="2DC64F05">
      <w:pPr>
        <w:snapToGrid w:val="0"/>
        <w:spacing w:line="288" w:lineRule="auto"/>
        <w:ind w:firstLine="392" w:firstLineChars="196"/>
        <w:rPr>
          <w:color w:val="FF0000"/>
          <w:sz w:val="20"/>
          <w:szCs w:val="20"/>
        </w:rPr>
      </w:pPr>
      <w:r>
        <w:rPr>
          <w:rFonts w:hint="eastAsia"/>
          <w:b/>
          <w:bCs/>
          <w:color w:val="000000"/>
          <w:sz w:val="20"/>
          <w:szCs w:val="20"/>
        </w:rPr>
        <w:t>课程网站网址：</w:t>
      </w:r>
      <w:r>
        <w:fldChar w:fldCharType="begin"/>
      </w:r>
      <w:r>
        <w:instrText xml:space="preserve"> HYPERLINK "https://www.icourse163.org/course/BNU-1206418809?from=searchPage&amp;outVendor=zw_mooc_pcssjg_" </w:instrText>
      </w:r>
      <w:r>
        <w:fldChar w:fldCharType="separate"/>
      </w:r>
      <w:r>
        <w:rPr>
          <w:rStyle w:val="9"/>
          <w:color w:val="000000" w:themeColor="text1"/>
          <w14:textFill>
            <w14:solidFill>
              <w14:schemeClr w14:val="tx1"/>
            </w14:solidFill>
          </w14:textFill>
        </w:rPr>
        <w:t>比较学前教育_北京师范大学_中国大学MOOC(慕课) (icourse163.org)</w:t>
      </w:r>
      <w:r>
        <w:rPr>
          <w:rStyle w:val="9"/>
          <w:color w:val="000000" w:themeColor="text1"/>
          <w14:textFill>
            <w14:solidFill>
              <w14:schemeClr w14:val="tx1"/>
            </w14:solidFill>
          </w14:textFill>
        </w:rPr>
        <w:fldChar w:fldCharType="end"/>
      </w:r>
    </w:p>
    <w:p w14:paraId="3D0AD31E">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中外学前教育史，</w:t>
      </w:r>
      <w:r>
        <w:rPr>
          <w:rFonts w:hint="eastAsia"/>
          <w:sz w:val="20"/>
          <w:szCs w:val="20"/>
        </w:rPr>
        <w:t>学前教育学</w:t>
      </w:r>
      <w:r>
        <w:rPr>
          <w:color w:val="000000"/>
          <w:sz w:val="20"/>
          <w:szCs w:val="20"/>
        </w:rPr>
        <w:t>】</w:t>
      </w:r>
    </w:p>
    <w:p w14:paraId="3E46197F">
      <w:pPr>
        <w:snapToGrid w:val="0"/>
        <w:spacing w:line="360" w:lineRule="auto"/>
        <w:ind w:firstLine="400" w:firstLineChars="200"/>
        <w:rPr>
          <w:color w:val="000000"/>
          <w:sz w:val="20"/>
          <w:szCs w:val="20"/>
        </w:rPr>
      </w:pPr>
    </w:p>
    <w:p w14:paraId="62A28813">
      <w:pPr>
        <w:pStyle w:val="5"/>
        <w:jc w:val="left"/>
        <w:rPr>
          <w:rFonts w:ascii="黑体" w:hAnsi="宋体" w:eastAsia="黑体"/>
          <w:sz w:val="24"/>
        </w:rPr>
      </w:pPr>
      <w:r>
        <w:rPr>
          <w:rFonts w:hint="eastAsia" w:ascii="黑体" w:hAnsi="宋体" w:eastAsia="黑体"/>
          <w:sz w:val="24"/>
        </w:rPr>
        <w:t>二、课程简介</w:t>
      </w:r>
    </w:p>
    <w:p w14:paraId="569BAA29">
      <w:pPr>
        <w:widowControl/>
        <w:spacing w:before="156" w:beforeLines="50" w:after="156" w:afterLines="50" w:line="288" w:lineRule="auto"/>
        <w:ind w:firstLine="400" w:firstLineChars="200"/>
        <w:jc w:val="left"/>
        <w:rPr>
          <w:rFonts w:ascii="宋体" w:hAnsi="宋体"/>
          <w:sz w:val="20"/>
          <w:szCs w:val="20"/>
        </w:rPr>
      </w:pPr>
      <w:r>
        <w:rPr>
          <w:rFonts w:hint="eastAsia" w:ascii="宋体" w:hAnsi="宋体"/>
          <w:sz w:val="20"/>
          <w:szCs w:val="20"/>
        </w:rPr>
        <w:t>学前比较教育是通过对世界主要国家学前教育发展沿革、现状、存在的问题和发展趋势进行比较研究，来揭示学前教育发展的普遍规律和特殊规律，预测学前教育发展趋势的一门学科。“教育要面向世界、面向现代化，面向未来”，比较学前教育课程的开设，是我国学前教育与国际接轨的必然要求。</w:t>
      </w:r>
    </w:p>
    <w:p w14:paraId="6D9AAAB1">
      <w:pPr>
        <w:widowControl/>
        <w:spacing w:before="156" w:beforeLines="50" w:after="156" w:afterLines="50" w:line="288" w:lineRule="auto"/>
        <w:ind w:firstLine="300" w:firstLineChars="150"/>
        <w:jc w:val="left"/>
        <w:rPr>
          <w:rFonts w:ascii="宋体" w:hAnsi="宋体"/>
          <w:sz w:val="20"/>
          <w:szCs w:val="20"/>
        </w:rPr>
      </w:pPr>
    </w:p>
    <w:p w14:paraId="289CA86A">
      <w:pPr>
        <w:pStyle w:val="5"/>
        <w:jc w:val="left"/>
        <w:rPr>
          <w:rFonts w:ascii="黑体" w:hAnsi="宋体" w:eastAsia="黑体"/>
          <w:sz w:val="24"/>
        </w:rPr>
      </w:pPr>
      <w:r>
        <w:rPr>
          <w:rFonts w:hint="eastAsia" w:ascii="黑体" w:hAnsi="宋体" w:eastAsia="黑体"/>
          <w:sz w:val="24"/>
        </w:rPr>
        <w:t>三、选课建议</w:t>
      </w:r>
    </w:p>
    <w:p w14:paraId="69D17B0E">
      <w:pPr>
        <w:widowControl/>
        <w:spacing w:before="156" w:beforeLines="50" w:after="156" w:afterLines="50" w:line="288" w:lineRule="auto"/>
        <w:ind w:firstLine="400" w:firstLineChars="200"/>
        <w:jc w:val="left"/>
        <w:rPr>
          <w:rFonts w:ascii="宋体" w:hAnsi="宋体"/>
          <w:sz w:val="20"/>
          <w:szCs w:val="20"/>
        </w:rPr>
      </w:pPr>
      <w:r>
        <w:rPr>
          <w:rFonts w:hint="eastAsia" w:ascii="宋体" w:hAnsi="宋体"/>
          <w:sz w:val="20"/>
          <w:szCs w:val="20"/>
        </w:rPr>
        <w:t>学前比较教育是学前教育专业本科大三年级教学计划中的一门方向选修课，旨在开阔学生的眼界，丰富学生的知识，使学生在广泛了解外国学前教育先进经验、失败教训的基础上，能去其糟粕，取其精华，洋为中用，以进一步深化我国学前教育的改革。</w:t>
      </w:r>
    </w:p>
    <w:p w14:paraId="1821ABD4"/>
    <w:p w14:paraId="045F6FC5">
      <w:pPr>
        <w:pStyle w:val="5"/>
        <w:jc w:val="left"/>
        <w:rPr>
          <w:rFonts w:ascii="黑体" w:hAnsi="宋体" w:eastAsia="黑体"/>
          <w:sz w:val="24"/>
        </w:rPr>
      </w:pPr>
      <w:bookmarkStart w:id="0" w:name="_Hlk82979678"/>
      <w:r>
        <w:rPr>
          <w:rFonts w:hint="eastAsia" w:ascii="黑体" w:hAnsi="宋体" w:eastAsia="黑体"/>
          <w:sz w:val="24"/>
        </w:rPr>
        <w:t>四、课程与专业毕业要求的关联性</w:t>
      </w:r>
    </w:p>
    <w:p w14:paraId="6DCAA8FB">
      <w:pPr>
        <w:rPr>
          <w:lang w:val="zh-CN"/>
        </w:rPr>
      </w:pPr>
    </w:p>
    <w:tbl>
      <w:tblPr>
        <w:tblStyle w:val="6"/>
        <w:tblpPr w:leftFromText="180" w:rightFromText="180" w:vertAnchor="text" w:horzAnchor="page" w:tblpX="2199" w:tblpY="242"/>
        <w:tblOverlap w:val="never"/>
        <w:tblW w:w="7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9"/>
        <w:gridCol w:w="727"/>
      </w:tblGrid>
      <w:tr w14:paraId="529408B8">
        <w:tc>
          <w:tcPr>
            <w:tcW w:w="6979" w:type="dxa"/>
          </w:tcPr>
          <w:p w14:paraId="2AECC416">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14:paraId="66489258">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6BA67FD0">
        <w:tc>
          <w:tcPr>
            <w:tcW w:w="6979" w:type="dxa"/>
            <w:vAlign w:val="center"/>
          </w:tcPr>
          <w:p w14:paraId="3BC0BA85">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XQ11：专业伦理。认同社会主义核心价值观；理解与践行学前教育核心价值；明确与践行幼儿园教师保教行为规范。</w:t>
            </w:r>
          </w:p>
        </w:tc>
        <w:tc>
          <w:tcPr>
            <w:tcW w:w="727" w:type="dxa"/>
            <w:vAlign w:val="center"/>
          </w:tcPr>
          <w:p w14:paraId="493AFC95">
            <w:pPr>
              <w:jc w:val="center"/>
              <w:rPr>
                <w:rFonts w:ascii="仿宋" w:hAnsi="仿宋" w:eastAsia="仿宋" w:cs="宋体"/>
                <w:color w:val="000000"/>
                <w:kern w:val="0"/>
                <w:sz w:val="24"/>
                <w:szCs w:val="20"/>
              </w:rPr>
            </w:pPr>
          </w:p>
        </w:tc>
      </w:tr>
      <w:tr w14:paraId="4ED75220">
        <w:tc>
          <w:tcPr>
            <w:tcW w:w="6979" w:type="dxa"/>
            <w:vAlign w:val="center"/>
          </w:tcPr>
          <w:p w14:paraId="37F46485">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XQ12：教育情怀。增强专业认同感和使命感；具有人文底蕴、生命关怀和科学精神；践行幼儿为本和爱与自由理念。</w:t>
            </w:r>
          </w:p>
        </w:tc>
        <w:tc>
          <w:tcPr>
            <w:tcW w:w="727" w:type="dxa"/>
            <w:vAlign w:val="center"/>
          </w:tcPr>
          <w:p w14:paraId="5824D013">
            <w:pPr>
              <w:jc w:val="center"/>
              <w:rPr>
                <w:rFonts w:ascii="仿宋" w:hAnsi="仿宋" w:eastAsia="仿宋" w:cs="宋体"/>
                <w:color w:val="000000"/>
                <w:kern w:val="0"/>
                <w:sz w:val="24"/>
                <w:szCs w:val="20"/>
              </w:rPr>
            </w:pPr>
          </w:p>
        </w:tc>
      </w:tr>
      <w:tr w14:paraId="2B0679AB">
        <w:tc>
          <w:tcPr>
            <w:tcW w:w="6979" w:type="dxa"/>
            <w:vAlign w:val="center"/>
          </w:tcPr>
          <w:p w14:paraId="2DE32FD9">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XQ21：儿童研究。掌握儿童发展、儿童研究的基本理论；具备现场观察、记录、分析幼儿的意识和能力；具备评价幼儿园教育活动的能力。</w:t>
            </w:r>
          </w:p>
        </w:tc>
        <w:tc>
          <w:tcPr>
            <w:tcW w:w="727" w:type="dxa"/>
            <w:vAlign w:val="center"/>
          </w:tcPr>
          <w:p w14:paraId="456D3EF1">
            <w:pPr>
              <w:widowControl/>
              <w:jc w:val="center"/>
              <w:rPr>
                <w:rFonts w:ascii="仿宋" w:hAnsi="仿宋" w:eastAsia="仿宋" w:cs="宋体"/>
                <w:color w:val="000000"/>
                <w:kern w:val="0"/>
                <w:sz w:val="24"/>
                <w:szCs w:val="20"/>
              </w:rPr>
            </w:pPr>
          </w:p>
        </w:tc>
      </w:tr>
      <w:tr w14:paraId="47B4B35F">
        <w:tc>
          <w:tcPr>
            <w:tcW w:w="6979" w:type="dxa"/>
            <w:vAlign w:val="center"/>
          </w:tcPr>
          <w:p w14:paraId="13B302E1">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XQ22：保教能力。把握幼儿生理、心理特点；掌握幼儿园保育和教育的基本知识和方法；熟悉五大领域知识并能合理运用于综合活动中。</w:t>
            </w:r>
          </w:p>
        </w:tc>
        <w:tc>
          <w:tcPr>
            <w:tcW w:w="727" w:type="dxa"/>
            <w:vAlign w:val="center"/>
          </w:tcPr>
          <w:p w14:paraId="1F3B1169">
            <w:pPr>
              <w:widowControl/>
              <w:jc w:val="center"/>
              <w:rPr>
                <w:color w:val="000000"/>
                <w:kern w:val="0"/>
                <w:sz w:val="20"/>
                <w:szCs w:val="20"/>
              </w:rPr>
            </w:pPr>
          </w:p>
        </w:tc>
      </w:tr>
      <w:tr w14:paraId="4F131EB4">
        <w:tc>
          <w:tcPr>
            <w:tcW w:w="6979" w:type="dxa"/>
            <w:vAlign w:val="center"/>
          </w:tcPr>
          <w:p w14:paraId="66EE3B43">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XQ23：环境创设。充分认识大自然、大社会对幼儿发展的价值；具备创设有准备的环境的知识和能力；具备幼儿与环境互动质量的评价能力。</w:t>
            </w:r>
          </w:p>
        </w:tc>
        <w:tc>
          <w:tcPr>
            <w:tcW w:w="727" w:type="dxa"/>
            <w:vAlign w:val="center"/>
          </w:tcPr>
          <w:p w14:paraId="02438943">
            <w:pPr>
              <w:widowControl/>
              <w:jc w:val="center"/>
              <w:rPr>
                <w:color w:val="000000"/>
                <w:kern w:val="0"/>
                <w:sz w:val="20"/>
                <w:szCs w:val="20"/>
              </w:rPr>
            </w:pPr>
          </w:p>
        </w:tc>
      </w:tr>
      <w:tr w14:paraId="4C70BDC5">
        <w:tc>
          <w:tcPr>
            <w:tcW w:w="6979" w:type="dxa"/>
            <w:vAlign w:val="center"/>
          </w:tcPr>
          <w:p w14:paraId="06859F5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XQ31：班级管理。能引导幼儿建立班级的秩序与规则；能营造愉悦、尊重、平等、积极的班级氛围；有以班级为纽带调动家庭和社区资源的意识和能力。</w:t>
            </w:r>
          </w:p>
        </w:tc>
        <w:tc>
          <w:tcPr>
            <w:tcW w:w="727" w:type="dxa"/>
            <w:vAlign w:val="center"/>
          </w:tcPr>
          <w:p w14:paraId="234E299F">
            <w:pPr>
              <w:widowControl/>
              <w:jc w:val="center"/>
              <w:rPr>
                <w:rFonts w:ascii="仿宋" w:hAnsi="仿宋" w:eastAsia="仿宋" w:cs="宋体"/>
                <w:color w:val="000000"/>
                <w:kern w:val="0"/>
                <w:sz w:val="24"/>
                <w:szCs w:val="20"/>
              </w:rPr>
            </w:pPr>
          </w:p>
        </w:tc>
      </w:tr>
      <w:tr w14:paraId="44136AD5">
        <w:tc>
          <w:tcPr>
            <w:tcW w:w="6979" w:type="dxa"/>
            <w:vAlign w:val="center"/>
          </w:tcPr>
          <w:p w14:paraId="715A5BA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XQ32：综合活动。充分认识一日生活的课程价值；具备以游戏为幼儿园基本活动的意识和能力；具有整合幼儿园、家庭与社区资源的能力。</w:t>
            </w:r>
          </w:p>
        </w:tc>
        <w:tc>
          <w:tcPr>
            <w:tcW w:w="727" w:type="dxa"/>
            <w:vAlign w:val="center"/>
          </w:tcPr>
          <w:p w14:paraId="0F838624">
            <w:pPr>
              <w:widowControl/>
              <w:jc w:val="center"/>
              <w:rPr>
                <w:rFonts w:ascii="仿宋" w:hAnsi="仿宋" w:eastAsia="仿宋" w:cs="宋体"/>
                <w:color w:val="000000"/>
                <w:kern w:val="0"/>
                <w:sz w:val="24"/>
                <w:szCs w:val="20"/>
              </w:rPr>
            </w:pPr>
          </w:p>
        </w:tc>
      </w:tr>
      <w:tr w14:paraId="455E0120">
        <w:tc>
          <w:tcPr>
            <w:tcW w:w="6979" w:type="dxa"/>
            <w:vAlign w:val="center"/>
          </w:tcPr>
          <w:p w14:paraId="319B3C08">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XQ41：反思精神。养成主动学习、批判性思考的习惯和品格；具有自我反思和引导幼儿反思的意识和能力；具有创造性解决问题的意识与能力。</w:t>
            </w:r>
          </w:p>
        </w:tc>
        <w:tc>
          <w:tcPr>
            <w:tcW w:w="727" w:type="dxa"/>
            <w:vAlign w:val="center"/>
          </w:tcPr>
          <w:p w14:paraId="243981F1">
            <w:pPr>
              <w:widowControl/>
              <w:jc w:val="center"/>
              <w:rPr>
                <w:rFonts w:ascii="仿宋" w:hAnsi="仿宋" w:eastAsia="仿宋" w:cs="宋体"/>
                <w:color w:val="000000"/>
                <w:kern w:val="0"/>
                <w:sz w:val="24"/>
                <w:szCs w:val="20"/>
              </w:rPr>
            </w:pPr>
          </w:p>
        </w:tc>
      </w:tr>
      <w:tr w14:paraId="745D97EB">
        <w:tc>
          <w:tcPr>
            <w:tcW w:w="6979" w:type="dxa"/>
            <w:vAlign w:val="center"/>
          </w:tcPr>
          <w:p w14:paraId="0F882E63">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XQ42：国际视野。有参与国际教育交流的意识和能力；把握学前教育改革发展趋势和前沿动态；有分析和借鉴国际教育理念与实践的能力。</w:t>
            </w:r>
          </w:p>
        </w:tc>
        <w:tc>
          <w:tcPr>
            <w:tcW w:w="727" w:type="dxa"/>
            <w:vAlign w:val="center"/>
          </w:tcPr>
          <w:p w14:paraId="3434BEF6">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29A3529F">
        <w:tc>
          <w:tcPr>
            <w:tcW w:w="6979" w:type="dxa"/>
            <w:vAlign w:val="center"/>
          </w:tcPr>
          <w:p w14:paraId="3420717B">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XQ43：交流合作。具有团队协作精神，认同学习共同体的价值；掌握沟通合作的技能；有参与、组织专业团队开展合作学习的意识和能力。</w:t>
            </w:r>
          </w:p>
        </w:tc>
        <w:tc>
          <w:tcPr>
            <w:tcW w:w="727" w:type="dxa"/>
            <w:vAlign w:val="center"/>
          </w:tcPr>
          <w:p w14:paraId="6D3E17F1">
            <w:pPr>
              <w:widowControl/>
              <w:jc w:val="center"/>
              <w:rPr>
                <w:rFonts w:ascii="仿宋" w:hAnsi="仿宋" w:eastAsia="仿宋" w:cs="宋体"/>
                <w:color w:val="000000"/>
                <w:kern w:val="0"/>
                <w:sz w:val="24"/>
                <w:szCs w:val="20"/>
              </w:rPr>
            </w:pPr>
            <w:r>
              <w:rPr>
                <w:color w:val="000000"/>
                <w:kern w:val="0"/>
                <w:sz w:val="20"/>
                <w:szCs w:val="20"/>
              </w:rPr>
              <w:sym w:font="Wingdings 2" w:char="F098"/>
            </w:r>
          </w:p>
        </w:tc>
      </w:tr>
      <w:bookmarkEnd w:id="0"/>
    </w:tbl>
    <w:p w14:paraId="671B2D69"/>
    <w:p w14:paraId="35E90498">
      <w:pPr>
        <w:pStyle w:val="5"/>
        <w:jc w:val="left"/>
        <w:rPr>
          <w:rFonts w:ascii="黑体" w:hAnsi="宋体" w:eastAsia="黑体"/>
          <w:sz w:val="24"/>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p w14:paraId="34B3F86F">
      <w:pPr>
        <w:rPr>
          <w:lang w:val="zh-CN"/>
        </w:rPr>
      </w:pP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87"/>
        <w:gridCol w:w="2976"/>
        <w:gridCol w:w="1281"/>
        <w:gridCol w:w="1276"/>
      </w:tblGrid>
      <w:tr w14:paraId="40C67083">
        <w:tc>
          <w:tcPr>
            <w:tcW w:w="535" w:type="dxa"/>
            <w:shd w:val="clear" w:color="auto" w:fill="auto"/>
          </w:tcPr>
          <w:p w14:paraId="731CC6D9">
            <w:pPr>
              <w:snapToGrid w:val="0"/>
              <w:spacing w:line="288" w:lineRule="auto"/>
              <w:jc w:val="center"/>
              <w:rPr>
                <w:b/>
                <w:color w:val="000000"/>
                <w:sz w:val="20"/>
                <w:szCs w:val="20"/>
              </w:rPr>
            </w:pPr>
            <w:r>
              <w:rPr>
                <w:rFonts w:hint="eastAsia"/>
                <w:b/>
                <w:color w:val="000000"/>
                <w:sz w:val="20"/>
                <w:szCs w:val="20"/>
              </w:rPr>
              <w:t>序号</w:t>
            </w:r>
          </w:p>
        </w:tc>
        <w:tc>
          <w:tcPr>
            <w:tcW w:w="1587" w:type="dxa"/>
            <w:shd w:val="clear" w:color="auto" w:fill="auto"/>
          </w:tcPr>
          <w:p w14:paraId="6FC5B0A0">
            <w:pPr>
              <w:snapToGrid w:val="0"/>
              <w:spacing w:line="288" w:lineRule="auto"/>
              <w:jc w:val="center"/>
              <w:rPr>
                <w:b/>
                <w:color w:val="000000"/>
                <w:sz w:val="20"/>
                <w:szCs w:val="20"/>
              </w:rPr>
            </w:pPr>
            <w:r>
              <w:rPr>
                <w:rFonts w:hint="eastAsia"/>
                <w:b/>
                <w:color w:val="000000"/>
                <w:sz w:val="20"/>
                <w:szCs w:val="20"/>
              </w:rPr>
              <w:t>课程预期</w:t>
            </w:r>
          </w:p>
          <w:p w14:paraId="496EB7D0">
            <w:pPr>
              <w:snapToGrid w:val="0"/>
              <w:spacing w:line="288" w:lineRule="auto"/>
              <w:jc w:val="center"/>
              <w:rPr>
                <w:b/>
                <w:color w:val="000000"/>
                <w:sz w:val="20"/>
                <w:szCs w:val="20"/>
              </w:rPr>
            </w:pPr>
            <w:r>
              <w:rPr>
                <w:rFonts w:hint="eastAsia"/>
                <w:b/>
                <w:color w:val="000000"/>
                <w:sz w:val="20"/>
                <w:szCs w:val="20"/>
              </w:rPr>
              <w:t>学习成果</w:t>
            </w:r>
          </w:p>
        </w:tc>
        <w:tc>
          <w:tcPr>
            <w:tcW w:w="2976" w:type="dxa"/>
            <w:shd w:val="clear" w:color="auto" w:fill="auto"/>
            <w:vAlign w:val="center"/>
          </w:tcPr>
          <w:p w14:paraId="0BD87B67">
            <w:pPr>
              <w:snapToGrid w:val="0"/>
              <w:spacing w:line="288" w:lineRule="auto"/>
              <w:jc w:val="center"/>
              <w:rPr>
                <w:b/>
                <w:color w:val="000000"/>
                <w:sz w:val="20"/>
                <w:szCs w:val="20"/>
                <w:highlight w:val="yellow"/>
              </w:rPr>
            </w:pPr>
            <w:r>
              <w:rPr>
                <w:rFonts w:hint="eastAsia"/>
                <w:b/>
                <w:color w:val="000000"/>
                <w:sz w:val="20"/>
                <w:szCs w:val="20"/>
              </w:rPr>
              <w:t>课程目标</w:t>
            </w:r>
          </w:p>
          <w:p w14:paraId="1AA7CCC3">
            <w:pPr>
              <w:snapToGrid w:val="0"/>
              <w:spacing w:line="288" w:lineRule="auto"/>
              <w:jc w:val="center"/>
              <w:rPr>
                <w:b/>
                <w:color w:val="000000"/>
                <w:sz w:val="20"/>
                <w:szCs w:val="20"/>
              </w:rPr>
            </w:pPr>
            <w:r>
              <w:rPr>
                <w:rFonts w:hint="eastAsia"/>
                <w:b/>
                <w:color w:val="000000"/>
                <w:sz w:val="20"/>
                <w:szCs w:val="20"/>
              </w:rPr>
              <w:t>（细化的预期学习成果）</w:t>
            </w:r>
          </w:p>
        </w:tc>
        <w:tc>
          <w:tcPr>
            <w:tcW w:w="1281" w:type="dxa"/>
            <w:shd w:val="clear" w:color="auto" w:fill="auto"/>
            <w:vAlign w:val="center"/>
          </w:tcPr>
          <w:p w14:paraId="43777BAD">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052D2BD6">
            <w:pPr>
              <w:snapToGrid w:val="0"/>
              <w:spacing w:line="288" w:lineRule="auto"/>
              <w:jc w:val="center"/>
              <w:rPr>
                <w:b/>
                <w:color w:val="000000"/>
                <w:sz w:val="20"/>
                <w:szCs w:val="20"/>
              </w:rPr>
            </w:pPr>
            <w:r>
              <w:rPr>
                <w:rFonts w:hint="eastAsia"/>
                <w:b/>
                <w:color w:val="000000"/>
                <w:sz w:val="20"/>
                <w:szCs w:val="20"/>
              </w:rPr>
              <w:t>评价方式</w:t>
            </w:r>
          </w:p>
        </w:tc>
      </w:tr>
      <w:tr w14:paraId="6327BE2C">
        <w:tc>
          <w:tcPr>
            <w:tcW w:w="535" w:type="dxa"/>
            <w:shd w:val="clear" w:color="auto" w:fill="auto"/>
            <w:vAlign w:val="center"/>
          </w:tcPr>
          <w:p w14:paraId="6DDB8CCD">
            <w:pPr>
              <w:snapToGrid w:val="0"/>
              <w:spacing w:line="288" w:lineRule="auto"/>
              <w:jc w:val="center"/>
              <w:rPr>
                <w:rFonts w:ascii="宋体" w:hAnsi="宋体"/>
                <w:sz w:val="20"/>
                <w:szCs w:val="20"/>
              </w:rPr>
            </w:pPr>
            <w:r>
              <w:rPr>
                <w:rFonts w:hint="eastAsia" w:ascii="宋体" w:hAnsi="宋体"/>
                <w:sz w:val="20"/>
                <w:szCs w:val="20"/>
              </w:rPr>
              <w:t>1</w:t>
            </w:r>
          </w:p>
        </w:tc>
        <w:tc>
          <w:tcPr>
            <w:tcW w:w="1587" w:type="dxa"/>
            <w:shd w:val="clear" w:color="auto" w:fill="auto"/>
          </w:tcPr>
          <w:p w14:paraId="6C9AD634">
            <w:pPr>
              <w:snapToGrid w:val="0"/>
              <w:spacing w:line="288" w:lineRule="auto"/>
              <w:rPr>
                <w:rFonts w:ascii="宋体" w:hAnsi="宋体"/>
                <w:sz w:val="20"/>
                <w:szCs w:val="20"/>
              </w:rPr>
            </w:pPr>
            <w:r>
              <w:rPr>
                <w:rFonts w:hint="eastAsia" w:ascii="宋体" w:hAnsi="宋体"/>
                <w:sz w:val="20"/>
                <w:szCs w:val="20"/>
              </w:rPr>
              <w:t>XQ422</w:t>
            </w:r>
            <w:r>
              <w:rPr>
                <w:rFonts w:ascii="宋体" w:hAnsi="宋体"/>
                <w:sz w:val="20"/>
                <w:szCs w:val="20"/>
              </w:rPr>
              <w:t xml:space="preserve"> </w:t>
            </w:r>
          </w:p>
          <w:p w14:paraId="0421DEC7">
            <w:pPr>
              <w:snapToGrid w:val="0"/>
              <w:spacing w:line="288" w:lineRule="auto"/>
              <w:rPr>
                <w:rFonts w:ascii="宋体" w:hAnsi="宋体"/>
                <w:sz w:val="20"/>
                <w:szCs w:val="20"/>
              </w:rPr>
            </w:pPr>
            <w:r>
              <w:rPr>
                <w:rFonts w:hint="eastAsia" w:ascii="宋体" w:hAnsi="宋体"/>
                <w:sz w:val="20"/>
                <w:szCs w:val="20"/>
              </w:rPr>
              <w:t>把握学前教育改革发展趋势和前沿动态。</w:t>
            </w:r>
          </w:p>
        </w:tc>
        <w:tc>
          <w:tcPr>
            <w:tcW w:w="2976" w:type="dxa"/>
            <w:shd w:val="clear" w:color="auto" w:fill="auto"/>
          </w:tcPr>
          <w:p w14:paraId="3661944C">
            <w:pPr>
              <w:snapToGrid w:val="0"/>
              <w:spacing w:line="288" w:lineRule="auto"/>
              <w:rPr>
                <w:rFonts w:ascii="宋体" w:hAnsi="宋体"/>
                <w:sz w:val="20"/>
                <w:szCs w:val="20"/>
              </w:rPr>
            </w:pPr>
            <w:r>
              <w:rPr>
                <w:rFonts w:hint="eastAsia" w:ascii="宋体" w:hAnsi="宋体"/>
                <w:sz w:val="20"/>
                <w:szCs w:val="20"/>
              </w:rPr>
              <w:t>了解世界学前教育发展的基本情况，分析世界学前教育发展的基本经验和发展趋势。</w:t>
            </w:r>
          </w:p>
        </w:tc>
        <w:tc>
          <w:tcPr>
            <w:tcW w:w="1281" w:type="dxa"/>
            <w:shd w:val="clear" w:color="auto" w:fill="auto"/>
            <w:vAlign w:val="center"/>
          </w:tcPr>
          <w:p w14:paraId="7BC4E753">
            <w:pPr>
              <w:snapToGrid w:val="0"/>
              <w:spacing w:line="288" w:lineRule="auto"/>
              <w:rPr>
                <w:rFonts w:ascii="宋体" w:hAnsi="宋体"/>
                <w:sz w:val="20"/>
                <w:szCs w:val="20"/>
              </w:rPr>
            </w:pPr>
            <w:r>
              <w:rPr>
                <w:rFonts w:ascii="宋体" w:hAnsi="宋体"/>
                <w:sz w:val="20"/>
                <w:szCs w:val="20"/>
              </w:rPr>
              <w:t>课堂</w:t>
            </w:r>
            <w:r>
              <w:rPr>
                <w:rFonts w:hint="eastAsia" w:ascii="宋体" w:hAnsi="宋体"/>
                <w:sz w:val="20"/>
                <w:szCs w:val="20"/>
              </w:rPr>
              <w:t>讲授，</w:t>
            </w:r>
          </w:p>
          <w:p w14:paraId="5A3AD32A">
            <w:pPr>
              <w:snapToGrid w:val="0"/>
              <w:spacing w:line="288" w:lineRule="auto"/>
              <w:rPr>
                <w:rFonts w:ascii="宋体" w:hAnsi="宋体"/>
                <w:sz w:val="20"/>
                <w:szCs w:val="20"/>
              </w:rPr>
            </w:pPr>
            <w:r>
              <w:rPr>
                <w:rFonts w:hint="eastAsia" w:ascii="宋体" w:hAnsi="宋体"/>
                <w:sz w:val="20"/>
                <w:szCs w:val="20"/>
              </w:rPr>
              <w:t>案例分析</w:t>
            </w:r>
          </w:p>
        </w:tc>
        <w:tc>
          <w:tcPr>
            <w:tcW w:w="1276" w:type="dxa"/>
            <w:shd w:val="clear" w:color="auto" w:fill="auto"/>
            <w:vAlign w:val="center"/>
          </w:tcPr>
          <w:p w14:paraId="1AA9DA6D">
            <w:pPr>
              <w:snapToGrid w:val="0"/>
              <w:spacing w:line="288" w:lineRule="auto"/>
              <w:rPr>
                <w:rFonts w:ascii="宋体" w:hAnsi="宋体"/>
                <w:sz w:val="20"/>
                <w:szCs w:val="20"/>
              </w:rPr>
            </w:pPr>
            <w:r>
              <w:rPr>
                <w:rFonts w:hint="eastAsia" w:ascii="宋体" w:hAnsi="宋体"/>
                <w:sz w:val="20"/>
                <w:szCs w:val="20"/>
              </w:rPr>
              <w:t>期末考试，课堂表现</w:t>
            </w:r>
          </w:p>
          <w:p w14:paraId="57C3CA8B">
            <w:pPr>
              <w:snapToGrid w:val="0"/>
              <w:spacing w:line="288" w:lineRule="auto"/>
              <w:rPr>
                <w:rFonts w:ascii="宋体" w:hAnsi="宋体"/>
                <w:sz w:val="20"/>
                <w:szCs w:val="20"/>
              </w:rPr>
            </w:pPr>
            <w:r>
              <w:rPr>
                <w:rFonts w:hint="eastAsia" w:ascii="宋体" w:hAnsi="宋体"/>
                <w:sz w:val="20"/>
                <w:szCs w:val="20"/>
              </w:rPr>
              <w:t>作业</w:t>
            </w:r>
          </w:p>
        </w:tc>
      </w:tr>
      <w:tr w14:paraId="2D684A46">
        <w:tc>
          <w:tcPr>
            <w:tcW w:w="535" w:type="dxa"/>
            <w:shd w:val="clear" w:color="auto" w:fill="auto"/>
            <w:vAlign w:val="center"/>
          </w:tcPr>
          <w:p w14:paraId="4E65783C">
            <w:pPr>
              <w:snapToGrid w:val="0"/>
              <w:spacing w:line="288" w:lineRule="auto"/>
              <w:jc w:val="center"/>
              <w:rPr>
                <w:rFonts w:ascii="宋体" w:hAnsi="宋体"/>
                <w:sz w:val="20"/>
                <w:szCs w:val="20"/>
              </w:rPr>
            </w:pPr>
            <w:r>
              <w:rPr>
                <w:rFonts w:hint="eastAsia" w:ascii="宋体" w:hAnsi="宋体"/>
                <w:sz w:val="20"/>
                <w:szCs w:val="20"/>
              </w:rPr>
              <w:t>2</w:t>
            </w:r>
          </w:p>
        </w:tc>
        <w:tc>
          <w:tcPr>
            <w:tcW w:w="1587" w:type="dxa"/>
            <w:shd w:val="clear" w:color="auto" w:fill="auto"/>
          </w:tcPr>
          <w:p w14:paraId="50823E9B">
            <w:pPr>
              <w:snapToGrid w:val="0"/>
              <w:spacing w:line="288" w:lineRule="auto"/>
              <w:rPr>
                <w:rFonts w:ascii="宋体" w:hAnsi="宋体"/>
                <w:sz w:val="20"/>
                <w:szCs w:val="20"/>
              </w:rPr>
            </w:pPr>
            <w:r>
              <w:rPr>
                <w:rFonts w:hint="eastAsia" w:ascii="宋体" w:hAnsi="宋体"/>
                <w:sz w:val="20"/>
                <w:szCs w:val="20"/>
              </w:rPr>
              <w:t>XQ423</w:t>
            </w:r>
            <w:r>
              <w:rPr>
                <w:rFonts w:ascii="宋体" w:hAnsi="宋体"/>
                <w:sz w:val="20"/>
                <w:szCs w:val="20"/>
              </w:rPr>
              <w:t xml:space="preserve"> </w:t>
            </w:r>
          </w:p>
          <w:p w14:paraId="3B87F156">
            <w:pPr>
              <w:snapToGrid w:val="0"/>
              <w:spacing w:line="288" w:lineRule="auto"/>
              <w:rPr>
                <w:rFonts w:ascii="宋体" w:hAnsi="宋体"/>
                <w:sz w:val="20"/>
                <w:szCs w:val="20"/>
              </w:rPr>
            </w:pPr>
            <w:r>
              <w:rPr>
                <w:rFonts w:hint="eastAsia" w:ascii="宋体" w:hAnsi="宋体"/>
                <w:sz w:val="20"/>
                <w:szCs w:val="20"/>
              </w:rPr>
              <w:t>有分析和借鉴国际教育理念与实践的能力。</w:t>
            </w:r>
          </w:p>
        </w:tc>
        <w:tc>
          <w:tcPr>
            <w:tcW w:w="2976" w:type="dxa"/>
            <w:shd w:val="clear" w:color="auto" w:fill="auto"/>
          </w:tcPr>
          <w:p w14:paraId="7ED678B3">
            <w:pPr>
              <w:snapToGrid w:val="0"/>
              <w:spacing w:line="288" w:lineRule="auto"/>
              <w:rPr>
                <w:rFonts w:ascii="宋体" w:hAnsi="宋体"/>
                <w:sz w:val="20"/>
                <w:szCs w:val="20"/>
              </w:rPr>
            </w:pPr>
            <w:r>
              <w:rPr>
                <w:rFonts w:hint="eastAsia" w:ascii="宋体" w:hAnsi="宋体"/>
                <w:sz w:val="20"/>
                <w:szCs w:val="20"/>
              </w:rPr>
              <w:t>能够运用世界学前教育发展的理论和实践知识，对我国学前教育发展提出改革与借鉴建议。</w:t>
            </w:r>
          </w:p>
        </w:tc>
        <w:tc>
          <w:tcPr>
            <w:tcW w:w="1281" w:type="dxa"/>
            <w:shd w:val="clear" w:color="auto" w:fill="auto"/>
            <w:vAlign w:val="center"/>
          </w:tcPr>
          <w:p w14:paraId="12B60942">
            <w:pPr>
              <w:snapToGrid w:val="0"/>
              <w:spacing w:line="288" w:lineRule="auto"/>
              <w:rPr>
                <w:rFonts w:ascii="宋体" w:hAnsi="宋体"/>
                <w:sz w:val="20"/>
                <w:szCs w:val="20"/>
              </w:rPr>
            </w:pPr>
            <w:r>
              <w:rPr>
                <w:rFonts w:hint="eastAsia" w:ascii="宋体" w:hAnsi="宋体"/>
                <w:sz w:val="20"/>
                <w:szCs w:val="20"/>
              </w:rPr>
              <w:t>课堂讲授，</w:t>
            </w:r>
          </w:p>
          <w:p w14:paraId="78EC1C86">
            <w:pPr>
              <w:snapToGrid w:val="0"/>
              <w:spacing w:line="288" w:lineRule="auto"/>
              <w:rPr>
                <w:rFonts w:ascii="宋体" w:hAnsi="宋体"/>
                <w:sz w:val="20"/>
                <w:szCs w:val="20"/>
              </w:rPr>
            </w:pPr>
            <w:r>
              <w:rPr>
                <w:rFonts w:hint="eastAsia" w:ascii="宋体" w:hAnsi="宋体"/>
                <w:sz w:val="20"/>
                <w:szCs w:val="20"/>
              </w:rPr>
              <w:t>自主讨论</w:t>
            </w:r>
          </w:p>
        </w:tc>
        <w:tc>
          <w:tcPr>
            <w:tcW w:w="1276" w:type="dxa"/>
            <w:shd w:val="clear" w:color="auto" w:fill="auto"/>
            <w:vAlign w:val="center"/>
          </w:tcPr>
          <w:p w14:paraId="06650EDC">
            <w:pPr>
              <w:snapToGrid w:val="0"/>
              <w:spacing w:line="288" w:lineRule="auto"/>
              <w:rPr>
                <w:rFonts w:ascii="宋体" w:hAnsi="宋体"/>
                <w:sz w:val="20"/>
                <w:szCs w:val="20"/>
              </w:rPr>
            </w:pPr>
            <w:r>
              <w:rPr>
                <w:rFonts w:hint="eastAsia" w:ascii="宋体" w:hAnsi="宋体"/>
                <w:sz w:val="20"/>
                <w:szCs w:val="20"/>
              </w:rPr>
              <w:t>期末考试，作业</w:t>
            </w:r>
          </w:p>
          <w:p w14:paraId="61F92193">
            <w:pPr>
              <w:snapToGrid w:val="0"/>
              <w:spacing w:line="288" w:lineRule="auto"/>
              <w:rPr>
                <w:rFonts w:ascii="宋体" w:hAnsi="宋体"/>
                <w:sz w:val="20"/>
                <w:szCs w:val="20"/>
              </w:rPr>
            </w:pPr>
            <w:r>
              <w:rPr>
                <w:rFonts w:hint="eastAsia" w:ascii="宋体" w:hAnsi="宋体"/>
                <w:sz w:val="20"/>
                <w:szCs w:val="20"/>
              </w:rPr>
              <w:t>课堂表现</w:t>
            </w:r>
          </w:p>
        </w:tc>
      </w:tr>
      <w:tr w14:paraId="6E6D87FE">
        <w:tc>
          <w:tcPr>
            <w:tcW w:w="535" w:type="dxa"/>
            <w:shd w:val="clear" w:color="auto" w:fill="auto"/>
            <w:vAlign w:val="center"/>
          </w:tcPr>
          <w:p w14:paraId="7938AEE7">
            <w:pPr>
              <w:snapToGrid w:val="0"/>
              <w:spacing w:line="288" w:lineRule="auto"/>
              <w:jc w:val="center"/>
              <w:rPr>
                <w:rFonts w:ascii="宋体" w:hAnsi="宋体"/>
                <w:sz w:val="20"/>
                <w:szCs w:val="20"/>
              </w:rPr>
            </w:pPr>
            <w:r>
              <w:rPr>
                <w:rFonts w:hint="eastAsia" w:ascii="宋体" w:hAnsi="宋体"/>
                <w:sz w:val="20"/>
                <w:szCs w:val="20"/>
              </w:rPr>
              <w:t>3</w:t>
            </w:r>
          </w:p>
        </w:tc>
        <w:tc>
          <w:tcPr>
            <w:tcW w:w="1587" w:type="dxa"/>
            <w:shd w:val="clear" w:color="auto" w:fill="auto"/>
            <w:vAlign w:val="center"/>
          </w:tcPr>
          <w:p w14:paraId="177BBD4E">
            <w:pPr>
              <w:snapToGrid w:val="0"/>
              <w:spacing w:line="288" w:lineRule="auto"/>
              <w:rPr>
                <w:rFonts w:ascii="宋体" w:hAnsi="宋体"/>
                <w:sz w:val="20"/>
                <w:szCs w:val="20"/>
              </w:rPr>
            </w:pPr>
            <w:r>
              <w:rPr>
                <w:rFonts w:ascii="宋体" w:hAnsi="宋体"/>
                <w:sz w:val="20"/>
                <w:szCs w:val="20"/>
              </w:rPr>
              <w:t>XQ43</w:t>
            </w:r>
            <w:r>
              <w:rPr>
                <w:rFonts w:hint="eastAsia" w:ascii="宋体" w:hAnsi="宋体"/>
                <w:sz w:val="20"/>
                <w:szCs w:val="20"/>
              </w:rPr>
              <w:t>1</w:t>
            </w:r>
            <w:r>
              <w:rPr>
                <w:rFonts w:ascii="宋体" w:hAnsi="宋体"/>
                <w:sz w:val="20"/>
                <w:szCs w:val="20"/>
              </w:rPr>
              <w:t xml:space="preserve"> </w:t>
            </w:r>
          </w:p>
          <w:p w14:paraId="74CDC3D5">
            <w:pPr>
              <w:snapToGrid w:val="0"/>
              <w:spacing w:line="288" w:lineRule="auto"/>
              <w:rPr>
                <w:rFonts w:ascii="宋体" w:hAnsi="宋体"/>
                <w:sz w:val="20"/>
                <w:szCs w:val="20"/>
              </w:rPr>
            </w:pPr>
            <w:r>
              <w:rPr>
                <w:rFonts w:hint="eastAsia" w:ascii="宋体" w:hAnsi="宋体"/>
                <w:sz w:val="20"/>
                <w:szCs w:val="20"/>
              </w:rPr>
              <w:t>具有团队协作精神，认同学习共同体的价值。</w:t>
            </w:r>
          </w:p>
        </w:tc>
        <w:tc>
          <w:tcPr>
            <w:tcW w:w="2976" w:type="dxa"/>
            <w:shd w:val="clear" w:color="auto" w:fill="auto"/>
            <w:vAlign w:val="center"/>
          </w:tcPr>
          <w:p w14:paraId="24BC9BEB">
            <w:pPr>
              <w:snapToGrid w:val="0"/>
              <w:spacing w:line="288" w:lineRule="auto"/>
              <w:rPr>
                <w:rFonts w:ascii="宋体" w:hAnsi="宋体"/>
                <w:sz w:val="20"/>
                <w:szCs w:val="20"/>
              </w:rPr>
            </w:pPr>
            <w:r>
              <w:rPr>
                <w:rFonts w:hint="eastAsia" w:ascii="宋体" w:hAnsi="宋体"/>
                <w:sz w:val="20"/>
                <w:szCs w:val="20"/>
              </w:rPr>
              <w:t>小组合作运用比较的方法对某国家学前教育的发展情况或某一学前教育专题就各个国家的发展状况进行研究汇报。</w:t>
            </w:r>
          </w:p>
        </w:tc>
        <w:tc>
          <w:tcPr>
            <w:tcW w:w="1281" w:type="dxa"/>
            <w:shd w:val="clear" w:color="auto" w:fill="auto"/>
            <w:vAlign w:val="center"/>
          </w:tcPr>
          <w:p w14:paraId="7C2BCE54">
            <w:pPr>
              <w:snapToGrid w:val="0"/>
              <w:spacing w:line="288" w:lineRule="auto"/>
              <w:rPr>
                <w:rFonts w:ascii="宋体" w:hAnsi="宋体"/>
                <w:sz w:val="20"/>
                <w:szCs w:val="20"/>
              </w:rPr>
            </w:pPr>
            <w:r>
              <w:rPr>
                <w:rFonts w:hint="eastAsia" w:ascii="宋体" w:hAnsi="宋体"/>
                <w:sz w:val="20"/>
                <w:szCs w:val="20"/>
              </w:rPr>
              <w:t>自主讨论，小组汇报</w:t>
            </w:r>
          </w:p>
        </w:tc>
        <w:tc>
          <w:tcPr>
            <w:tcW w:w="1276" w:type="dxa"/>
            <w:shd w:val="clear" w:color="auto" w:fill="auto"/>
            <w:vAlign w:val="center"/>
          </w:tcPr>
          <w:p w14:paraId="49070D06">
            <w:pPr>
              <w:snapToGrid w:val="0"/>
              <w:spacing w:line="288" w:lineRule="auto"/>
              <w:rPr>
                <w:rFonts w:ascii="宋体" w:hAnsi="宋体"/>
                <w:sz w:val="20"/>
                <w:szCs w:val="20"/>
              </w:rPr>
            </w:pPr>
            <w:r>
              <w:rPr>
                <w:rFonts w:hint="eastAsia" w:ascii="宋体" w:hAnsi="宋体"/>
                <w:sz w:val="20"/>
                <w:szCs w:val="20"/>
              </w:rPr>
              <w:t>课堂表现，小组汇报</w:t>
            </w:r>
          </w:p>
        </w:tc>
      </w:tr>
    </w:tbl>
    <w:p w14:paraId="708300A3">
      <w:pPr>
        <w:rPr>
          <w:lang w:val="zh-CN"/>
        </w:rPr>
      </w:pPr>
    </w:p>
    <w:p w14:paraId="75BF7D1B">
      <w:pPr>
        <w:pStyle w:val="5"/>
        <w:jc w:val="left"/>
        <w:rPr>
          <w:rFonts w:ascii="黑体" w:hAnsi="宋体" w:eastAsia="黑体"/>
          <w:sz w:val="24"/>
        </w:rPr>
      </w:pPr>
      <w:bookmarkStart w:id="1" w:name="_Hlk82849919"/>
      <w:r>
        <w:rPr>
          <w:rFonts w:hint="eastAsia" w:ascii="黑体" w:hAnsi="宋体" w:eastAsia="黑体"/>
          <w:sz w:val="24"/>
        </w:rPr>
        <w:t>六、课程内容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075"/>
        <w:gridCol w:w="2073"/>
        <w:gridCol w:w="2073"/>
      </w:tblGrid>
      <w:tr w14:paraId="211BA2B7">
        <w:tc>
          <w:tcPr>
            <w:tcW w:w="2075" w:type="dxa"/>
            <w:vAlign w:val="center"/>
          </w:tcPr>
          <w:p w14:paraId="7090D562">
            <w:pPr>
              <w:snapToGrid w:val="0"/>
              <w:spacing w:line="288" w:lineRule="auto"/>
              <w:ind w:right="26"/>
              <w:jc w:val="center"/>
              <w:rPr>
                <w:kern w:val="0"/>
                <w:sz w:val="20"/>
                <w:szCs w:val="20"/>
              </w:rPr>
            </w:pPr>
            <w:r>
              <w:rPr>
                <w:rFonts w:hint="eastAsia"/>
                <w:kern w:val="0"/>
                <w:sz w:val="20"/>
                <w:szCs w:val="20"/>
              </w:rPr>
              <w:t>单元</w:t>
            </w:r>
          </w:p>
        </w:tc>
        <w:tc>
          <w:tcPr>
            <w:tcW w:w="2075" w:type="dxa"/>
            <w:vAlign w:val="center"/>
          </w:tcPr>
          <w:p w14:paraId="22717761">
            <w:pPr>
              <w:snapToGrid w:val="0"/>
              <w:spacing w:line="288" w:lineRule="auto"/>
              <w:ind w:right="26"/>
              <w:jc w:val="center"/>
              <w:rPr>
                <w:kern w:val="0"/>
                <w:sz w:val="20"/>
                <w:szCs w:val="20"/>
              </w:rPr>
            </w:pPr>
            <w:r>
              <w:rPr>
                <w:rFonts w:hint="eastAsia"/>
                <w:kern w:val="0"/>
                <w:sz w:val="20"/>
                <w:szCs w:val="20"/>
              </w:rPr>
              <w:t>知识点</w:t>
            </w:r>
          </w:p>
        </w:tc>
        <w:tc>
          <w:tcPr>
            <w:tcW w:w="2073" w:type="dxa"/>
            <w:vAlign w:val="center"/>
          </w:tcPr>
          <w:p w14:paraId="7AFB8693">
            <w:pPr>
              <w:snapToGrid w:val="0"/>
              <w:spacing w:line="288" w:lineRule="auto"/>
              <w:ind w:right="26"/>
              <w:jc w:val="center"/>
              <w:rPr>
                <w:kern w:val="0"/>
                <w:sz w:val="20"/>
                <w:szCs w:val="20"/>
              </w:rPr>
            </w:pPr>
            <w:r>
              <w:rPr>
                <w:rFonts w:hint="eastAsia"/>
                <w:kern w:val="0"/>
                <w:sz w:val="20"/>
                <w:szCs w:val="20"/>
              </w:rPr>
              <w:t>能力要求</w:t>
            </w:r>
          </w:p>
        </w:tc>
        <w:tc>
          <w:tcPr>
            <w:tcW w:w="2073" w:type="dxa"/>
            <w:vAlign w:val="center"/>
          </w:tcPr>
          <w:p w14:paraId="03E0C637">
            <w:pPr>
              <w:snapToGrid w:val="0"/>
              <w:spacing w:line="288" w:lineRule="auto"/>
              <w:ind w:right="26"/>
              <w:jc w:val="center"/>
              <w:rPr>
                <w:kern w:val="0"/>
                <w:sz w:val="20"/>
                <w:szCs w:val="20"/>
              </w:rPr>
            </w:pPr>
            <w:r>
              <w:rPr>
                <w:rFonts w:hint="eastAsia"/>
                <w:kern w:val="0"/>
                <w:sz w:val="20"/>
                <w:szCs w:val="20"/>
              </w:rPr>
              <w:t>教学难点</w:t>
            </w:r>
          </w:p>
        </w:tc>
      </w:tr>
      <w:tr w14:paraId="7279A91C">
        <w:tc>
          <w:tcPr>
            <w:tcW w:w="2075" w:type="dxa"/>
            <w:vAlign w:val="center"/>
          </w:tcPr>
          <w:p w14:paraId="06FDA20E">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绪论</w:t>
            </w:r>
          </w:p>
          <w:p w14:paraId="43AF46F6">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75" w:type="dxa"/>
            <w:vAlign w:val="center"/>
          </w:tcPr>
          <w:p w14:paraId="4D47CCB3">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学前比较教育的概念和研究对象</w:t>
            </w:r>
            <w:r>
              <w:rPr>
                <w:rFonts w:hint="eastAsia" w:ascii="宋体" w:hAnsi="宋体"/>
                <w:kern w:val="0"/>
                <w:sz w:val="18"/>
                <w:szCs w:val="18"/>
              </w:rPr>
              <w:t>。</w:t>
            </w:r>
          </w:p>
          <w:p w14:paraId="603B25AC">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学前比较教育的目的</w:t>
            </w:r>
            <w:r>
              <w:rPr>
                <w:rFonts w:ascii="宋体" w:hAnsi="宋体" w:cs="Tahoma"/>
                <w:sz w:val="18"/>
                <w:szCs w:val="18"/>
                <w:shd w:val="clear" w:color="auto" w:fill="FFFFFF"/>
              </w:rPr>
              <w:t>和</w:t>
            </w:r>
            <w:r>
              <w:rPr>
                <w:rFonts w:hint="eastAsia" w:ascii="宋体" w:hAnsi="宋体" w:cs="Tahoma"/>
                <w:sz w:val="18"/>
                <w:szCs w:val="18"/>
                <w:shd w:val="clear" w:color="auto" w:fill="FFFFFF"/>
              </w:rPr>
              <w:t>意义</w:t>
            </w:r>
            <w:r>
              <w:rPr>
                <w:rFonts w:hint="eastAsia" w:ascii="宋体" w:hAnsi="宋体"/>
                <w:kern w:val="0"/>
                <w:sz w:val="18"/>
                <w:szCs w:val="18"/>
              </w:rPr>
              <w:t>。</w:t>
            </w:r>
          </w:p>
          <w:p w14:paraId="1FB76FC8">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cs="Tahoma"/>
                <w:sz w:val="18"/>
                <w:szCs w:val="18"/>
                <w:shd w:val="clear" w:color="auto" w:fill="FFFFFF"/>
              </w:rPr>
              <w:t>学前比较教育的研究类型与方法。</w:t>
            </w:r>
          </w:p>
        </w:tc>
        <w:tc>
          <w:tcPr>
            <w:tcW w:w="2073" w:type="dxa"/>
            <w:vAlign w:val="center"/>
          </w:tcPr>
          <w:p w14:paraId="3A90C7AF">
            <w:pPr>
              <w:snapToGrid w:val="0"/>
              <w:spacing w:line="288" w:lineRule="auto"/>
              <w:ind w:right="26"/>
              <w:rPr>
                <w:rFonts w:ascii="宋体" w:hAnsi="宋体" w:cs="Tahoma"/>
                <w:sz w:val="18"/>
                <w:szCs w:val="18"/>
                <w:shd w:val="clear" w:color="auto" w:fill="FFFFFF"/>
              </w:rPr>
            </w:pPr>
            <w:r>
              <w:rPr>
                <w:rFonts w:hint="eastAsia" w:ascii="宋体" w:hAnsi="宋体"/>
                <w:kern w:val="0"/>
                <w:sz w:val="18"/>
                <w:szCs w:val="18"/>
              </w:rPr>
              <w:t>1.识记</w:t>
            </w:r>
            <w:r>
              <w:rPr>
                <w:rFonts w:hint="eastAsia" w:ascii="宋体" w:hAnsi="宋体" w:cs="Tahoma"/>
                <w:sz w:val="18"/>
                <w:szCs w:val="18"/>
                <w:shd w:val="clear" w:color="auto" w:fill="FFFFFF"/>
              </w:rPr>
              <w:t>学前比较教育概念与意义。</w:t>
            </w:r>
          </w:p>
          <w:p w14:paraId="77D59C15">
            <w:pPr>
              <w:snapToGrid w:val="0"/>
              <w:spacing w:line="288" w:lineRule="auto"/>
              <w:ind w:right="26"/>
              <w:rPr>
                <w:rFonts w:ascii="宋体" w:hAnsi="宋体"/>
                <w:kern w:val="0"/>
                <w:sz w:val="18"/>
                <w:szCs w:val="18"/>
              </w:rPr>
            </w:pPr>
            <w:r>
              <w:rPr>
                <w:rFonts w:hint="eastAsia" w:ascii="宋体" w:hAnsi="宋体"/>
                <w:kern w:val="0"/>
                <w:sz w:val="18"/>
                <w:szCs w:val="18"/>
              </w:rPr>
              <w:t>2.掌握</w:t>
            </w:r>
            <w:r>
              <w:rPr>
                <w:rFonts w:hint="eastAsia" w:ascii="宋体" w:hAnsi="宋体" w:cs="Tahoma"/>
                <w:sz w:val="18"/>
                <w:szCs w:val="18"/>
                <w:shd w:val="clear" w:color="auto" w:fill="FFFFFF"/>
              </w:rPr>
              <w:t>学前比较教育的研究类型与方法。</w:t>
            </w:r>
          </w:p>
        </w:tc>
        <w:tc>
          <w:tcPr>
            <w:tcW w:w="2073" w:type="dxa"/>
            <w:vAlign w:val="center"/>
          </w:tcPr>
          <w:p w14:paraId="6DBDDB4D">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学前比较教育的概念、研究类型与方法。</w:t>
            </w:r>
          </w:p>
        </w:tc>
      </w:tr>
      <w:tr w14:paraId="2431047F">
        <w:tc>
          <w:tcPr>
            <w:tcW w:w="2075" w:type="dxa"/>
            <w:vAlign w:val="center"/>
          </w:tcPr>
          <w:p w14:paraId="36752E7C">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日本的学前教育</w:t>
            </w:r>
          </w:p>
          <w:p w14:paraId="225907C6">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课时）</w:t>
            </w:r>
          </w:p>
        </w:tc>
        <w:tc>
          <w:tcPr>
            <w:tcW w:w="2075" w:type="dxa"/>
            <w:vAlign w:val="center"/>
          </w:tcPr>
          <w:p w14:paraId="3EE30803">
            <w:pPr>
              <w:snapToGrid w:val="0"/>
              <w:spacing w:line="288" w:lineRule="auto"/>
              <w:ind w:right="26"/>
              <w:rPr>
                <w:rFonts w:ascii="宋体" w:hAnsi="宋体"/>
                <w:kern w:val="0"/>
                <w:sz w:val="18"/>
                <w:szCs w:val="18"/>
              </w:rPr>
            </w:pPr>
            <w:r>
              <w:rPr>
                <w:rFonts w:hint="eastAsia" w:ascii="宋体" w:hAnsi="宋体"/>
                <w:kern w:val="0"/>
                <w:sz w:val="18"/>
                <w:szCs w:val="18"/>
              </w:rPr>
              <w:t>1.日本学前教育沿革。</w:t>
            </w:r>
          </w:p>
          <w:p w14:paraId="17AD90A3">
            <w:pPr>
              <w:snapToGrid w:val="0"/>
              <w:spacing w:line="288" w:lineRule="auto"/>
              <w:ind w:right="26"/>
              <w:rPr>
                <w:rFonts w:ascii="宋体" w:hAnsi="宋体"/>
                <w:kern w:val="0"/>
                <w:sz w:val="18"/>
                <w:szCs w:val="18"/>
              </w:rPr>
            </w:pPr>
            <w:r>
              <w:rPr>
                <w:rFonts w:hint="eastAsia" w:ascii="宋体" w:hAnsi="宋体"/>
                <w:kern w:val="0"/>
                <w:sz w:val="18"/>
                <w:szCs w:val="18"/>
              </w:rPr>
              <w:t>2.日本学前教育现状。</w:t>
            </w:r>
          </w:p>
          <w:p w14:paraId="2521B83D">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日本学前教育存在的问题与发展趋势。</w:t>
            </w:r>
          </w:p>
        </w:tc>
        <w:tc>
          <w:tcPr>
            <w:tcW w:w="2073" w:type="dxa"/>
            <w:vAlign w:val="center"/>
          </w:tcPr>
          <w:p w14:paraId="319FBA71">
            <w:pPr>
              <w:snapToGrid w:val="0"/>
              <w:spacing w:line="288" w:lineRule="auto"/>
              <w:ind w:right="26"/>
              <w:rPr>
                <w:rFonts w:ascii="宋体" w:hAnsi="宋体"/>
                <w:kern w:val="0"/>
                <w:sz w:val="18"/>
                <w:szCs w:val="18"/>
              </w:rPr>
            </w:pPr>
            <w:r>
              <w:rPr>
                <w:rFonts w:hint="eastAsia" w:ascii="宋体" w:hAnsi="宋体"/>
                <w:kern w:val="0"/>
                <w:sz w:val="18"/>
                <w:szCs w:val="18"/>
              </w:rPr>
              <w:t>1.了解日本学前教育的发展沿革。</w:t>
            </w:r>
          </w:p>
          <w:p w14:paraId="1022628F">
            <w:pPr>
              <w:snapToGrid w:val="0"/>
              <w:spacing w:line="288" w:lineRule="auto"/>
              <w:ind w:right="26"/>
              <w:rPr>
                <w:rFonts w:ascii="宋体" w:hAnsi="宋体"/>
                <w:kern w:val="0"/>
                <w:sz w:val="18"/>
                <w:szCs w:val="18"/>
              </w:rPr>
            </w:pPr>
            <w:r>
              <w:rPr>
                <w:rFonts w:hint="eastAsia" w:ascii="宋体" w:hAnsi="宋体"/>
                <w:kern w:val="0"/>
                <w:sz w:val="18"/>
                <w:szCs w:val="18"/>
              </w:rPr>
              <w:t>2.掌握日本学前教育发展现状。</w:t>
            </w:r>
          </w:p>
          <w:p w14:paraId="69E1DDB3">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知道日本学前教育存在的问题与发展趋势。</w:t>
            </w:r>
          </w:p>
        </w:tc>
        <w:tc>
          <w:tcPr>
            <w:tcW w:w="2073" w:type="dxa"/>
            <w:vAlign w:val="center"/>
          </w:tcPr>
          <w:p w14:paraId="75FC1288">
            <w:pPr>
              <w:snapToGrid w:val="0"/>
              <w:spacing w:line="288" w:lineRule="auto"/>
              <w:ind w:right="26"/>
              <w:rPr>
                <w:rFonts w:ascii="宋体" w:hAnsi="宋体"/>
                <w:kern w:val="0"/>
                <w:sz w:val="18"/>
                <w:szCs w:val="18"/>
              </w:rPr>
            </w:pPr>
            <w:r>
              <w:rPr>
                <w:rFonts w:hint="eastAsia" w:ascii="宋体" w:hAnsi="宋体"/>
                <w:kern w:val="0"/>
                <w:sz w:val="18"/>
                <w:szCs w:val="18"/>
              </w:rPr>
              <w:t>掌握日本学前教育发展现状。</w:t>
            </w:r>
          </w:p>
        </w:tc>
      </w:tr>
      <w:tr w14:paraId="491AC3EA">
        <w:tc>
          <w:tcPr>
            <w:tcW w:w="2075" w:type="dxa"/>
            <w:vAlign w:val="center"/>
          </w:tcPr>
          <w:p w14:paraId="2F84502A">
            <w:pPr>
              <w:snapToGrid w:val="0"/>
              <w:spacing w:line="288" w:lineRule="auto"/>
              <w:ind w:right="26"/>
              <w:rPr>
                <w:rFonts w:ascii="宋体" w:hAnsi="宋体"/>
                <w:kern w:val="0"/>
                <w:sz w:val="18"/>
                <w:szCs w:val="18"/>
              </w:rPr>
            </w:pPr>
            <w:r>
              <w:rPr>
                <w:rFonts w:hint="eastAsia" w:ascii="宋体" w:hAnsi="宋体"/>
                <w:kern w:val="0"/>
                <w:sz w:val="18"/>
                <w:szCs w:val="18"/>
              </w:rPr>
              <w:t>3.</w:t>
            </w:r>
            <w:r>
              <w:rPr>
                <w:rFonts w:hint="eastAsia" w:ascii="宋体" w:hAnsi="宋体" w:cs="Tahoma"/>
                <w:sz w:val="18"/>
                <w:szCs w:val="18"/>
                <w:shd w:val="clear" w:color="auto" w:fill="FFFFFF"/>
              </w:rPr>
              <w:t>美国的学前教育</w:t>
            </w:r>
          </w:p>
          <w:p w14:paraId="7E8E435D">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课时）</w:t>
            </w:r>
          </w:p>
        </w:tc>
        <w:tc>
          <w:tcPr>
            <w:tcW w:w="2075" w:type="dxa"/>
            <w:vAlign w:val="center"/>
          </w:tcPr>
          <w:p w14:paraId="795D0E98">
            <w:pPr>
              <w:snapToGrid w:val="0"/>
              <w:spacing w:line="288" w:lineRule="auto"/>
              <w:ind w:right="26"/>
              <w:rPr>
                <w:rFonts w:ascii="宋体" w:hAnsi="宋体"/>
                <w:kern w:val="0"/>
                <w:sz w:val="18"/>
                <w:szCs w:val="18"/>
              </w:rPr>
            </w:pPr>
            <w:r>
              <w:rPr>
                <w:rFonts w:hint="eastAsia" w:ascii="宋体" w:hAnsi="宋体"/>
                <w:kern w:val="0"/>
                <w:sz w:val="18"/>
                <w:szCs w:val="18"/>
              </w:rPr>
              <w:t>1.美国学前教育沿革。</w:t>
            </w:r>
          </w:p>
          <w:p w14:paraId="7DA4BF12">
            <w:pPr>
              <w:snapToGrid w:val="0"/>
              <w:spacing w:line="288" w:lineRule="auto"/>
              <w:ind w:right="26"/>
              <w:rPr>
                <w:rFonts w:ascii="宋体" w:hAnsi="宋体"/>
                <w:kern w:val="0"/>
                <w:sz w:val="18"/>
                <w:szCs w:val="18"/>
              </w:rPr>
            </w:pPr>
            <w:r>
              <w:rPr>
                <w:rFonts w:hint="eastAsia" w:ascii="宋体" w:hAnsi="宋体"/>
                <w:kern w:val="0"/>
                <w:sz w:val="18"/>
                <w:szCs w:val="18"/>
              </w:rPr>
              <w:t>2.美国学前教育现状。</w:t>
            </w:r>
          </w:p>
          <w:p w14:paraId="420347C2">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美国学前教育存在的问题与发展趋势。</w:t>
            </w:r>
          </w:p>
        </w:tc>
        <w:tc>
          <w:tcPr>
            <w:tcW w:w="2073" w:type="dxa"/>
            <w:vAlign w:val="center"/>
          </w:tcPr>
          <w:p w14:paraId="6337AE15">
            <w:pPr>
              <w:snapToGrid w:val="0"/>
              <w:spacing w:line="288" w:lineRule="auto"/>
              <w:ind w:right="26"/>
              <w:rPr>
                <w:rFonts w:ascii="宋体" w:hAnsi="宋体"/>
                <w:kern w:val="0"/>
                <w:sz w:val="18"/>
                <w:szCs w:val="18"/>
              </w:rPr>
            </w:pPr>
            <w:r>
              <w:rPr>
                <w:rFonts w:hint="eastAsia" w:ascii="宋体" w:hAnsi="宋体"/>
                <w:kern w:val="0"/>
                <w:sz w:val="18"/>
                <w:szCs w:val="18"/>
              </w:rPr>
              <w:t>1.了解美国学前教育的发展沿革。</w:t>
            </w:r>
          </w:p>
          <w:p w14:paraId="55E9CD56">
            <w:pPr>
              <w:snapToGrid w:val="0"/>
              <w:spacing w:line="288" w:lineRule="auto"/>
              <w:ind w:right="26"/>
              <w:rPr>
                <w:rFonts w:ascii="宋体" w:hAnsi="宋体"/>
                <w:kern w:val="0"/>
                <w:sz w:val="18"/>
                <w:szCs w:val="18"/>
              </w:rPr>
            </w:pPr>
            <w:r>
              <w:rPr>
                <w:rFonts w:hint="eastAsia" w:ascii="宋体" w:hAnsi="宋体"/>
                <w:kern w:val="0"/>
                <w:sz w:val="18"/>
                <w:szCs w:val="18"/>
              </w:rPr>
              <w:t>2.掌握美国学前教育发展现状。</w:t>
            </w:r>
          </w:p>
          <w:p w14:paraId="0CAEBD4F">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知道美国学前教育存在的问题与发展趋势。</w:t>
            </w:r>
          </w:p>
        </w:tc>
        <w:tc>
          <w:tcPr>
            <w:tcW w:w="2073" w:type="dxa"/>
            <w:vAlign w:val="center"/>
          </w:tcPr>
          <w:p w14:paraId="5FDE8495">
            <w:pPr>
              <w:snapToGrid w:val="0"/>
              <w:spacing w:line="288" w:lineRule="auto"/>
              <w:ind w:right="26"/>
              <w:rPr>
                <w:rFonts w:ascii="宋体" w:hAnsi="宋体"/>
                <w:kern w:val="0"/>
                <w:sz w:val="18"/>
                <w:szCs w:val="18"/>
              </w:rPr>
            </w:pPr>
            <w:r>
              <w:rPr>
                <w:rFonts w:hint="eastAsia" w:ascii="宋体" w:hAnsi="宋体"/>
                <w:kern w:val="0"/>
                <w:sz w:val="18"/>
                <w:szCs w:val="18"/>
              </w:rPr>
              <w:t>知道美国学前教育存在的问题与发展趋势。</w:t>
            </w:r>
          </w:p>
        </w:tc>
      </w:tr>
      <w:tr w14:paraId="3EF7979D">
        <w:tc>
          <w:tcPr>
            <w:tcW w:w="2075" w:type="dxa"/>
            <w:vAlign w:val="center"/>
          </w:tcPr>
          <w:p w14:paraId="6238992E">
            <w:pPr>
              <w:snapToGrid w:val="0"/>
              <w:spacing w:line="288" w:lineRule="auto"/>
              <w:ind w:right="26"/>
              <w:rPr>
                <w:rFonts w:ascii="宋体" w:hAnsi="宋体"/>
                <w:kern w:val="0"/>
                <w:sz w:val="18"/>
                <w:szCs w:val="18"/>
              </w:rPr>
            </w:pPr>
            <w:r>
              <w:rPr>
                <w:rFonts w:hint="eastAsia" w:ascii="宋体" w:hAnsi="宋体"/>
                <w:kern w:val="0"/>
                <w:sz w:val="18"/>
                <w:szCs w:val="18"/>
              </w:rPr>
              <w:t>4.</w:t>
            </w:r>
            <w:r>
              <w:rPr>
                <w:rFonts w:hint="eastAsia" w:ascii="宋体" w:hAnsi="宋体" w:cs="Tahoma"/>
                <w:sz w:val="18"/>
                <w:szCs w:val="18"/>
                <w:shd w:val="clear" w:color="auto" w:fill="FFFFFF"/>
              </w:rPr>
              <w:t>俄罗斯的学前教育</w:t>
            </w:r>
          </w:p>
          <w:p w14:paraId="7FBB21B1">
            <w:pPr>
              <w:snapToGrid w:val="0"/>
              <w:spacing w:line="288" w:lineRule="auto"/>
              <w:ind w:right="26"/>
              <w:rPr>
                <w:rFonts w:ascii="宋体" w:hAnsi="宋体"/>
                <w:kern w:val="0"/>
                <w:sz w:val="18"/>
                <w:szCs w:val="18"/>
              </w:rPr>
            </w:pPr>
            <w:r>
              <w:rPr>
                <w:rFonts w:hint="eastAsia" w:ascii="宋体" w:hAnsi="宋体"/>
                <w:kern w:val="0"/>
                <w:sz w:val="18"/>
                <w:szCs w:val="18"/>
              </w:rPr>
              <w:t>（2课时）</w:t>
            </w:r>
          </w:p>
        </w:tc>
        <w:tc>
          <w:tcPr>
            <w:tcW w:w="2075" w:type="dxa"/>
            <w:vAlign w:val="center"/>
          </w:tcPr>
          <w:p w14:paraId="23D00934">
            <w:pPr>
              <w:snapToGrid w:val="0"/>
              <w:spacing w:line="288" w:lineRule="auto"/>
              <w:ind w:right="26"/>
              <w:rPr>
                <w:rFonts w:ascii="宋体" w:hAnsi="宋体"/>
                <w:kern w:val="0"/>
                <w:sz w:val="18"/>
                <w:szCs w:val="18"/>
              </w:rPr>
            </w:pPr>
            <w:r>
              <w:rPr>
                <w:rFonts w:hint="eastAsia" w:ascii="宋体" w:hAnsi="宋体"/>
                <w:kern w:val="0"/>
                <w:sz w:val="18"/>
                <w:szCs w:val="18"/>
              </w:rPr>
              <w:t>1.俄罗斯学前教育发展沿革。</w:t>
            </w:r>
          </w:p>
          <w:p w14:paraId="62CF8178">
            <w:pPr>
              <w:snapToGrid w:val="0"/>
              <w:spacing w:line="288" w:lineRule="auto"/>
              <w:ind w:right="26"/>
              <w:rPr>
                <w:rFonts w:ascii="宋体" w:hAnsi="宋体"/>
                <w:kern w:val="0"/>
                <w:sz w:val="18"/>
                <w:szCs w:val="18"/>
              </w:rPr>
            </w:pPr>
            <w:r>
              <w:rPr>
                <w:rFonts w:hint="eastAsia" w:ascii="宋体" w:hAnsi="宋体"/>
                <w:kern w:val="0"/>
                <w:sz w:val="18"/>
                <w:szCs w:val="18"/>
              </w:rPr>
              <w:t>2.俄罗斯学前教育现状。</w:t>
            </w:r>
          </w:p>
          <w:p w14:paraId="1423CD7D">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俄罗斯学前教育存在的问题与发展趋势。</w:t>
            </w:r>
          </w:p>
        </w:tc>
        <w:tc>
          <w:tcPr>
            <w:tcW w:w="2073" w:type="dxa"/>
            <w:vAlign w:val="center"/>
          </w:tcPr>
          <w:p w14:paraId="6AEC8421">
            <w:pPr>
              <w:snapToGrid w:val="0"/>
              <w:spacing w:line="288" w:lineRule="auto"/>
              <w:ind w:right="26"/>
              <w:rPr>
                <w:rFonts w:ascii="宋体" w:hAnsi="宋体"/>
                <w:kern w:val="0"/>
                <w:sz w:val="18"/>
                <w:szCs w:val="18"/>
              </w:rPr>
            </w:pPr>
            <w:r>
              <w:rPr>
                <w:rFonts w:hint="eastAsia" w:ascii="宋体" w:hAnsi="宋体"/>
                <w:kern w:val="0"/>
                <w:sz w:val="18"/>
                <w:szCs w:val="18"/>
              </w:rPr>
              <w:t>1.了解俄罗斯学前教育的发展沿革。</w:t>
            </w:r>
          </w:p>
          <w:p w14:paraId="1D1DD6DF">
            <w:pPr>
              <w:snapToGrid w:val="0"/>
              <w:spacing w:line="288" w:lineRule="auto"/>
              <w:ind w:right="26"/>
              <w:rPr>
                <w:rFonts w:ascii="宋体" w:hAnsi="宋体"/>
                <w:kern w:val="0"/>
                <w:sz w:val="18"/>
                <w:szCs w:val="18"/>
              </w:rPr>
            </w:pPr>
            <w:r>
              <w:rPr>
                <w:rFonts w:hint="eastAsia" w:ascii="宋体" w:hAnsi="宋体"/>
                <w:kern w:val="0"/>
                <w:sz w:val="18"/>
                <w:szCs w:val="18"/>
              </w:rPr>
              <w:t>2.掌握俄罗斯学前教育发展现状。</w:t>
            </w:r>
          </w:p>
          <w:p w14:paraId="7548B0AC">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知道俄罗斯学前教育存在的问题与发展趋势。</w:t>
            </w:r>
          </w:p>
        </w:tc>
        <w:tc>
          <w:tcPr>
            <w:tcW w:w="2073" w:type="dxa"/>
            <w:vAlign w:val="center"/>
          </w:tcPr>
          <w:p w14:paraId="0BD5B324">
            <w:pPr>
              <w:snapToGrid w:val="0"/>
              <w:spacing w:line="288" w:lineRule="auto"/>
              <w:ind w:right="26"/>
              <w:rPr>
                <w:rFonts w:ascii="宋体" w:hAnsi="宋体"/>
                <w:kern w:val="0"/>
                <w:sz w:val="18"/>
                <w:szCs w:val="18"/>
              </w:rPr>
            </w:pPr>
            <w:r>
              <w:rPr>
                <w:rFonts w:hint="eastAsia" w:ascii="宋体" w:hAnsi="宋体"/>
                <w:kern w:val="0"/>
                <w:sz w:val="18"/>
                <w:szCs w:val="18"/>
              </w:rPr>
              <w:t>知道俄罗斯学前教育存在的问题与发展趋势。</w:t>
            </w:r>
          </w:p>
        </w:tc>
      </w:tr>
      <w:tr w14:paraId="4EBBE1DD">
        <w:tc>
          <w:tcPr>
            <w:tcW w:w="2075" w:type="dxa"/>
            <w:vAlign w:val="center"/>
          </w:tcPr>
          <w:p w14:paraId="2DAEA73C">
            <w:pPr>
              <w:snapToGrid w:val="0"/>
              <w:spacing w:line="288" w:lineRule="auto"/>
              <w:ind w:right="26"/>
              <w:rPr>
                <w:rFonts w:ascii="宋体" w:hAnsi="宋体"/>
                <w:kern w:val="0"/>
                <w:sz w:val="18"/>
                <w:szCs w:val="18"/>
              </w:rPr>
            </w:pPr>
            <w:r>
              <w:rPr>
                <w:rFonts w:hint="eastAsia" w:ascii="宋体" w:hAnsi="宋体"/>
                <w:kern w:val="0"/>
                <w:sz w:val="18"/>
                <w:szCs w:val="18"/>
              </w:rPr>
              <w:t>5.</w:t>
            </w:r>
            <w:r>
              <w:rPr>
                <w:rFonts w:hint="eastAsia" w:ascii="宋体" w:hAnsi="宋体" w:cs="Tahoma"/>
                <w:sz w:val="18"/>
                <w:szCs w:val="18"/>
                <w:shd w:val="clear" w:color="auto" w:fill="FFFFFF"/>
              </w:rPr>
              <w:t>英国的学前教育</w:t>
            </w:r>
          </w:p>
          <w:p w14:paraId="33EB2DC5">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课时）</w:t>
            </w:r>
          </w:p>
        </w:tc>
        <w:tc>
          <w:tcPr>
            <w:tcW w:w="2075" w:type="dxa"/>
            <w:vAlign w:val="center"/>
          </w:tcPr>
          <w:p w14:paraId="1091232D">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英国</w:t>
            </w:r>
            <w:r>
              <w:rPr>
                <w:rFonts w:hint="eastAsia" w:ascii="宋体" w:hAnsi="宋体"/>
                <w:kern w:val="0"/>
                <w:sz w:val="18"/>
                <w:szCs w:val="18"/>
              </w:rPr>
              <w:t>学前教育沿革。</w:t>
            </w:r>
          </w:p>
          <w:p w14:paraId="506C4E9F">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英国</w:t>
            </w:r>
            <w:r>
              <w:rPr>
                <w:rFonts w:hint="eastAsia" w:ascii="宋体" w:hAnsi="宋体"/>
                <w:kern w:val="0"/>
                <w:sz w:val="18"/>
                <w:szCs w:val="18"/>
              </w:rPr>
              <w:t>学前教育现状。</w:t>
            </w:r>
          </w:p>
          <w:p w14:paraId="27BA2EE5">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cs="Tahoma"/>
                <w:sz w:val="18"/>
                <w:szCs w:val="18"/>
                <w:shd w:val="clear" w:color="auto" w:fill="FFFFFF"/>
              </w:rPr>
              <w:t>英国</w:t>
            </w:r>
            <w:r>
              <w:rPr>
                <w:rFonts w:hint="eastAsia" w:ascii="宋体" w:hAnsi="宋体"/>
                <w:kern w:val="0"/>
                <w:sz w:val="18"/>
                <w:szCs w:val="18"/>
              </w:rPr>
              <w:t>学前教育存在的问题与发展趋势。</w:t>
            </w:r>
          </w:p>
        </w:tc>
        <w:tc>
          <w:tcPr>
            <w:tcW w:w="2073" w:type="dxa"/>
            <w:vAlign w:val="center"/>
          </w:tcPr>
          <w:p w14:paraId="33342A25">
            <w:pPr>
              <w:snapToGrid w:val="0"/>
              <w:spacing w:line="288" w:lineRule="auto"/>
              <w:ind w:right="26"/>
              <w:rPr>
                <w:rFonts w:ascii="宋体" w:hAnsi="宋体"/>
                <w:kern w:val="0"/>
                <w:sz w:val="18"/>
                <w:szCs w:val="18"/>
              </w:rPr>
            </w:pPr>
            <w:r>
              <w:rPr>
                <w:rFonts w:hint="eastAsia" w:ascii="宋体" w:hAnsi="宋体"/>
                <w:kern w:val="0"/>
                <w:sz w:val="18"/>
                <w:szCs w:val="18"/>
              </w:rPr>
              <w:t>1.了解</w:t>
            </w:r>
            <w:r>
              <w:rPr>
                <w:rFonts w:hint="eastAsia" w:ascii="宋体" w:hAnsi="宋体" w:cs="Tahoma"/>
                <w:sz w:val="18"/>
                <w:szCs w:val="18"/>
                <w:shd w:val="clear" w:color="auto" w:fill="FFFFFF"/>
              </w:rPr>
              <w:t>英国</w:t>
            </w:r>
            <w:r>
              <w:rPr>
                <w:rFonts w:hint="eastAsia" w:ascii="宋体" w:hAnsi="宋体"/>
                <w:kern w:val="0"/>
                <w:sz w:val="18"/>
                <w:szCs w:val="18"/>
              </w:rPr>
              <w:t>学前教育的发展沿革。</w:t>
            </w:r>
          </w:p>
          <w:p w14:paraId="0B350B87">
            <w:pPr>
              <w:snapToGrid w:val="0"/>
              <w:spacing w:line="288" w:lineRule="auto"/>
              <w:ind w:right="26"/>
              <w:rPr>
                <w:rFonts w:ascii="宋体" w:hAnsi="宋体"/>
                <w:kern w:val="0"/>
                <w:sz w:val="18"/>
                <w:szCs w:val="18"/>
              </w:rPr>
            </w:pPr>
            <w:r>
              <w:rPr>
                <w:rFonts w:hint="eastAsia" w:ascii="宋体" w:hAnsi="宋体"/>
                <w:kern w:val="0"/>
                <w:sz w:val="18"/>
                <w:szCs w:val="18"/>
              </w:rPr>
              <w:t>2.掌握</w:t>
            </w:r>
            <w:r>
              <w:rPr>
                <w:rFonts w:hint="eastAsia" w:ascii="宋体" w:hAnsi="宋体" w:cs="Tahoma"/>
                <w:sz w:val="18"/>
                <w:szCs w:val="18"/>
                <w:shd w:val="clear" w:color="auto" w:fill="FFFFFF"/>
              </w:rPr>
              <w:t>英国</w:t>
            </w:r>
            <w:r>
              <w:rPr>
                <w:rFonts w:hint="eastAsia" w:ascii="宋体" w:hAnsi="宋体"/>
                <w:kern w:val="0"/>
                <w:sz w:val="18"/>
                <w:szCs w:val="18"/>
              </w:rPr>
              <w:t>学前教育发展现状。</w:t>
            </w:r>
          </w:p>
          <w:p w14:paraId="77CAE1E6">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w:t>
            </w:r>
            <w:r>
              <w:rPr>
                <w:rFonts w:hint="eastAsia" w:ascii="宋体" w:hAnsi="宋体" w:cs="Tahoma"/>
                <w:sz w:val="18"/>
                <w:szCs w:val="18"/>
                <w:shd w:val="clear" w:color="auto" w:fill="FFFFFF"/>
              </w:rPr>
              <w:t>英国</w:t>
            </w:r>
            <w:r>
              <w:rPr>
                <w:rFonts w:hint="eastAsia" w:ascii="宋体" w:hAnsi="宋体"/>
                <w:kern w:val="0"/>
                <w:sz w:val="18"/>
                <w:szCs w:val="18"/>
              </w:rPr>
              <w:t>学前教育存在的问题与发展趋势。</w:t>
            </w:r>
          </w:p>
        </w:tc>
        <w:tc>
          <w:tcPr>
            <w:tcW w:w="2073" w:type="dxa"/>
            <w:vAlign w:val="center"/>
          </w:tcPr>
          <w:p w14:paraId="6FCDCA00">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英国</w:t>
            </w:r>
            <w:r>
              <w:rPr>
                <w:rFonts w:hint="eastAsia" w:ascii="宋体" w:hAnsi="宋体"/>
                <w:kern w:val="0"/>
                <w:sz w:val="18"/>
                <w:szCs w:val="18"/>
              </w:rPr>
              <w:t>学前教育发展现状。知道英国学前教育存在的问题与发展趋势。</w:t>
            </w:r>
          </w:p>
        </w:tc>
      </w:tr>
      <w:tr w14:paraId="679EDBB1">
        <w:tc>
          <w:tcPr>
            <w:tcW w:w="2075" w:type="dxa"/>
            <w:vAlign w:val="center"/>
          </w:tcPr>
          <w:p w14:paraId="58A7EA48">
            <w:pPr>
              <w:snapToGrid w:val="0"/>
              <w:spacing w:line="288" w:lineRule="auto"/>
              <w:ind w:right="26"/>
              <w:rPr>
                <w:rFonts w:ascii="宋体" w:hAnsi="宋体"/>
                <w:kern w:val="0"/>
                <w:sz w:val="18"/>
                <w:szCs w:val="18"/>
              </w:rPr>
            </w:pPr>
            <w:r>
              <w:rPr>
                <w:rFonts w:hint="eastAsia" w:ascii="宋体" w:hAnsi="宋体"/>
                <w:kern w:val="0"/>
                <w:sz w:val="18"/>
                <w:szCs w:val="18"/>
              </w:rPr>
              <w:t>6.</w:t>
            </w:r>
            <w:r>
              <w:rPr>
                <w:rFonts w:hint="eastAsia" w:ascii="宋体" w:hAnsi="宋体" w:cs="Tahoma"/>
                <w:sz w:val="18"/>
                <w:szCs w:val="18"/>
                <w:shd w:val="clear" w:color="auto" w:fill="FFFFFF"/>
              </w:rPr>
              <w:t>德国的学前教育</w:t>
            </w:r>
          </w:p>
          <w:p w14:paraId="2FBDD732">
            <w:pPr>
              <w:snapToGrid w:val="0"/>
              <w:spacing w:line="288" w:lineRule="auto"/>
              <w:ind w:right="26"/>
              <w:rPr>
                <w:rFonts w:ascii="宋体" w:hAnsi="宋体"/>
                <w:kern w:val="0"/>
                <w:sz w:val="18"/>
                <w:szCs w:val="18"/>
              </w:rPr>
            </w:pPr>
            <w:r>
              <w:rPr>
                <w:rFonts w:hint="eastAsia" w:ascii="宋体" w:hAnsi="宋体"/>
                <w:kern w:val="0"/>
                <w:sz w:val="18"/>
                <w:szCs w:val="18"/>
              </w:rPr>
              <w:t>（2课时）</w:t>
            </w:r>
          </w:p>
        </w:tc>
        <w:tc>
          <w:tcPr>
            <w:tcW w:w="2075" w:type="dxa"/>
            <w:vAlign w:val="center"/>
          </w:tcPr>
          <w:p w14:paraId="52FD92A4">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德国</w:t>
            </w:r>
            <w:r>
              <w:rPr>
                <w:rFonts w:hint="eastAsia" w:ascii="宋体" w:hAnsi="宋体"/>
                <w:kern w:val="0"/>
                <w:sz w:val="18"/>
                <w:szCs w:val="18"/>
              </w:rPr>
              <w:t>学前教育沿革。</w:t>
            </w:r>
          </w:p>
          <w:p w14:paraId="6A0B5201">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德国</w:t>
            </w:r>
            <w:r>
              <w:rPr>
                <w:rFonts w:hint="eastAsia" w:ascii="宋体" w:hAnsi="宋体"/>
                <w:kern w:val="0"/>
                <w:sz w:val="18"/>
                <w:szCs w:val="18"/>
              </w:rPr>
              <w:t>学前教育现状。</w:t>
            </w:r>
          </w:p>
          <w:p w14:paraId="1F1BF31E">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cs="Tahoma"/>
                <w:sz w:val="18"/>
                <w:szCs w:val="18"/>
                <w:shd w:val="clear" w:color="auto" w:fill="FFFFFF"/>
              </w:rPr>
              <w:t>德国</w:t>
            </w:r>
            <w:r>
              <w:rPr>
                <w:rFonts w:hint="eastAsia" w:ascii="宋体" w:hAnsi="宋体"/>
                <w:kern w:val="0"/>
                <w:sz w:val="18"/>
                <w:szCs w:val="18"/>
              </w:rPr>
              <w:t>学前教育存在的问题与发展趋势。</w:t>
            </w:r>
          </w:p>
        </w:tc>
        <w:tc>
          <w:tcPr>
            <w:tcW w:w="2073" w:type="dxa"/>
            <w:vAlign w:val="center"/>
          </w:tcPr>
          <w:p w14:paraId="7F6BF0D5">
            <w:pPr>
              <w:snapToGrid w:val="0"/>
              <w:spacing w:line="288" w:lineRule="auto"/>
              <w:ind w:right="26"/>
              <w:rPr>
                <w:rFonts w:ascii="宋体" w:hAnsi="宋体"/>
                <w:kern w:val="0"/>
                <w:sz w:val="18"/>
                <w:szCs w:val="18"/>
              </w:rPr>
            </w:pPr>
            <w:r>
              <w:rPr>
                <w:rFonts w:hint="eastAsia" w:ascii="宋体" w:hAnsi="宋体"/>
                <w:kern w:val="0"/>
                <w:sz w:val="18"/>
                <w:szCs w:val="18"/>
              </w:rPr>
              <w:t>1.了解</w:t>
            </w:r>
            <w:r>
              <w:rPr>
                <w:rFonts w:hint="eastAsia" w:ascii="宋体" w:hAnsi="宋体" w:cs="Tahoma"/>
                <w:sz w:val="18"/>
                <w:szCs w:val="18"/>
                <w:shd w:val="clear" w:color="auto" w:fill="FFFFFF"/>
              </w:rPr>
              <w:t>德国</w:t>
            </w:r>
            <w:r>
              <w:rPr>
                <w:rFonts w:hint="eastAsia" w:ascii="宋体" w:hAnsi="宋体"/>
                <w:kern w:val="0"/>
                <w:sz w:val="18"/>
                <w:szCs w:val="18"/>
              </w:rPr>
              <w:t>学前教育的发展沿革。</w:t>
            </w:r>
          </w:p>
          <w:p w14:paraId="4142DE90">
            <w:pPr>
              <w:snapToGrid w:val="0"/>
              <w:spacing w:line="288" w:lineRule="auto"/>
              <w:ind w:right="26"/>
              <w:rPr>
                <w:rFonts w:ascii="宋体" w:hAnsi="宋体"/>
                <w:kern w:val="0"/>
                <w:sz w:val="18"/>
                <w:szCs w:val="18"/>
              </w:rPr>
            </w:pPr>
            <w:r>
              <w:rPr>
                <w:rFonts w:hint="eastAsia" w:ascii="宋体" w:hAnsi="宋体"/>
                <w:kern w:val="0"/>
                <w:sz w:val="18"/>
                <w:szCs w:val="18"/>
              </w:rPr>
              <w:t>2.掌握</w:t>
            </w:r>
            <w:r>
              <w:rPr>
                <w:rFonts w:hint="eastAsia" w:ascii="宋体" w:hAnsi="宋体" w:cs="Tahoma"/>
                <w:sz w:val="18"/>
                <w:szCs w:val="18"/>
                <w:shd w:val="clear" w:color="auto" w:fill="FFFFFF"/>
              </w:rPr>
              <w:t>德国</w:t>
            </w:r>
            <w:r>
              <w:rPr>
                <w:rFonts w:hint="eastAsia" w:ascii="宋体" w:hAnsi="宋体"/>
                <w:kern w:val="0"/>
                <w:sz w:val="18"/>
                <w:szCs w:val="18"/>
              </w:rPr>
              <w:t>学前教育发展现状。</w:t>
            </w:r>
          </w:p>
          <w:p w14:paraId="124B1E38">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w:t>
            </w:r>
            <w:r>
              <w:rPr>
                <w:rFonts w:hint="eastAsia" w:ascii="宋体" w:hAnsi="宋体" w:cs="Tahoma"/>
                <w:sz w:val="18"/>
                <w:szCs w:val="18"/>
                <w:shd w:val="clear" w:color="auto" w:fill="FFFFFF"/>
              </w:rPr>
              <w:t>德国</w:t>
            </w:r>
            <w:r>
              <w:rPr>
                <w:rFonts w:hint="eastAsia" w:ascii="宋体" w:hAnsi="宋体"/>
                <w:kern w:val="0"/>
                <w:sz w:val="18"/>
                <w:szCs w:val="18"/>
              </w:rPr>
              <w:t>学前教育存在的问题与发展趋势。</w:t>
            </w:r>
          </w:p>
        </w:tc>
        <w:tc>
          <w:tcPr>
            <w:tcW w:w="2073" w:type="dxa"/>
            <w:vAlign w:val="center"/>
          </w:tcPr>
          <w:p w14:paraId="10C5EB05">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德国</w:t>
            </w:r>
            <w:r>
              <w:rPr>
                <w:rFonts w:hint="eastAsia" w:ascii="宋体" w:hAnsi="宋体"/>
                <w:kern w:val="0"/>
                <w:sz w:val="18"/>
                <w:szCs w:val="18"/>
              </w:rPr>
              <w:t>学前教育发展现状。</w:t>
            </w:r>
          </w:p>
        </w:tc>
      </w:tr>
      <w:tr w14:paraId="7712DE2E">
        <w:tc>
          <w:tcPr>
            <w:tcW w:w="2075" w:type="dxa"/>
            <w:vAlign w:val="center"/>
          </w:tcPr>
          <w:p w14:paraId="7A402A1B">
            <w:pPr>
              <w:snapToGrid w:val="0"/>
              <w:spacing w:line="288" w:lineRule="auto"/>
              <w:ind w:right="26"/>
              <w:rPr>
                <w:rFonts w:ascii="宋体" w:hAnsi="宋体"/>
                <w:kern w:val="0"/>
                <w:sz w:val="18"/>
                <w:szCs w:val="18"/>
              </w:rPr>
            </w:pPr>
            <w:r>
              <w:rPr>
                <w:rFonts w:hint="eastAsia" w:ascii="宋体" w:hAnsi="宋体"/>
                <w:kern w:val="0"/>
                <w:sz w:val="18"/>
                <w:szCs w:val="18"/>
              </w:rPr>
              <w:t>7.</w:t>
            </w:r>
            <w:r>
              <w:rPr>
                <w:rFonts w:hint="eastAsia" w:ascii="宋体" w:hAnsi="宋体" w:cs="Tahoma"/>
                <w:sz w:val="18"/>
                <w:szCs w:val="18"/>
                <w:shd w:val="clear" w:color="auto" w:fill="FFFFFF"/>
              </w:rPr>
              <w:t>其他国家的学前教育</w:t>
            </w:r>
          </w:p>
          <w:p w14:paraId="66752C8C">
            <w:pPr>
              <w:snapToGrid w:val="0"/>
              <w:spacing w:line="288" w:lineRule="auto"/>
              <w:ind w:right="26"/>
              <w:rPr>
                <w:rFonts w:ascii="宋体" w:hAnsi="宋体"/>
                <w:kern w:val="0"/>
                <w:sz w:val="18"/>
                <w:szCs w:val="18"/>
              </w:rPr>
            </w:pPr>
            <w:r>
              <w:rPr>
                <w:rFonts w:hint="eastAsia" w:ascii="宋体" w:hAnsi="宋体"/>
                <w:kern w:val="0"/>
                <w:sz w:val="18"/>
                <w:szCs w:val="18"/>
              </w:rPr>
              <w:t>（6课时）</w:t>
            </w:r>
          </w:p>
        </w:tc>
        <w:tc>
          <w:tcPr>
            <w:tcW w:w="2075" w:type="dxa"/>
            <w:vAlign w:val="center"/>
          </w:tcPr>
          <w:p w14:paraId="23DBB1B3">
            <w:pPr>
              <w:snapToGrid w:val="0"/>
              <w:spacing w:line="288" w:lineRule="auto"/>
              <w:ind w:right="26"/>
              <w:rPr>
                <w:rFonts w:ascii="宋体" w:hAnsi="宋体"/>
                <w:kern w:val="0"/>
                <w:sz w:val="18"/>
                <w:szCs w:val="18"/>
              </w:rPr>
            </w:pPr>
            <w:r>
              <w:rPr>
                <w:rFonts w:hint="eastAsia" w:ascii="宋体" w:hAnsi="宋体"/>
                <w:kern w:val="0"/>
                <w:sz w:val="18"/>
                <w:szCs w:val="18"/>
              </w:rPr>
              <w:t>1.芬兰的学前教育。</w:t>
            </w:r>
          </w:p>
          <w:p w14:paraId="113D7DA2">
            <w:pPr>
              <w:snapToGrid w:val="0"/>
              <w:spacing w:line="288" w:lineRule="auto"/>
              <w:ind w:right="26"/>
              <w:rPr>
                <w:rFonts w:ascii="宋体" w:hAnsi="宋体"/>
                <w:kern w:val="0"/>
                <w:sz w:val="18"/>
                <w:szCs w:val="18"/>
              </w:rPr>
            </w:pPr>
            <w:r>
              <w:rPr>
                <w:rFonts w:hint="eastAsia" w:ascii="宋体" w:hAnsi="宋体"/>
                <w:kern w:val="0"/>
                <w:sz w:val="18"/>
                <w:szCs w:val="18"/>
              </w:rPr>
              <w:t>2.印度的学前教育。</w:t>
            </w:r>
          </w:p>
          <w:p w14:paraId="567293B1">
            <w:pPr>
              <w:snapToGrid w:val="0"/>
              <w:spacing w:line="288" w:lineRule="auto"/>
              <w:ind w:right="26"/>
              <w:rPr>
                <w:rFonts w:ascii="宋体" w:hAnsi="宋体"/>
                <w:kern w:val="0"/>
                <w:sz w:val="18"/>
                <w:szCs w:val="18"/>
              </w:rPr>
            </w:pPr>
            <w:r>
              <w:rPr>
                <w:rFonts w:hint="eastAsia" w:ascii="宋体" w:hAnsi="宋体"/>
                <w:kern w:val="0"/>
                <w:sz w:val="18"/>
                <w:szCs w:val="18"/>
              </w:rPr>
              <w:t>3.以色列的学前教育。</w:t>
            </w:r>
          </w:p>
          <w:p w14:paraId="45C83E3C">
            <w:pPr>
              <w:snapToGrid w:val="0"/>
              <w:spacing w:line="288" w:lineRule="auto"/>
              <w:ind w:right="26"/>
              <w:rPr>
                <w:rFonts w:ascii="宋体" w:hAnsi="宋体"/>
                <w:kern w:val="0"/>
                <w:sz w:val="18"/>
                <w:szCs w:val="18"/>
              </w:rPr>
            </w:pPr>
            <w:r>
              <w:rPr>
                <w:rFonts w:hint="eastAsia" w:ascii="宋体" w:hAnsi="宋体"/>
                <w:kern w:val="0"/>
                <w:sz w:val="18"/>
                <w:szCs w:val="18"/>
              </w:rPr>
              <w:t>（或新西兰、意大利）</w:t>
            </w:r>
          </w:p>
        </w:tc>
        <w:tc>
          <w:tcPr>
            <w:tcW w:w="2073" w:type="dxa"/>
            <w:vAlign w:val="center"/>
          </w:tcPr>
          <w:p w14:paraId="2004F20E">
            <w:pPr>
              <w:snapToGrid w:val="0"/>
              <w:spacing w:line="288" w:lineRule="auto"/>
              <w:ind w:right="26"/>
              <w:rPr>
                <w:rFonts w:ascii="宋体" w:hAnsi="宋体"/>
                <w:kern w:val="0"/>
                <w:sz w:val="18"/>
                <w:szCs w:val="18"/>
              </w:rPr>
            </w:pPr>
            <w:r>
              <w:rPr>
                <w:rFonts w:hint="eastAsia" w:ascii="宋体" w:hAnsi="宋体"/>
                <w:kern w:val="0"/>
                <w:sz w:val="18"/>
                <w:szCs w:val="18"/>
              </w:rPr>
              <w:t>1.掌握</w:t>
            </w:r>
            <w:r>
              <w:rPr>
                <w:rFonts w:hint="eastAsia" w:ascii="宋体" w:hAnsi="宋体" w:cs="Tahoma"/>
                <w:sz w:val="18"/>
                <w:szCs w:val="18"/>
                <w:shd w:val="clear" w:color="auto" w:fill="FFFFFF"/>
              </w:rPr>
              <w:t>芬兰</w:t>
            </w:r>
            <w:r>
              <w:rPr>
                <w:rFonts w:hint="eastAsia" w:ascii="宋体" w:hAnsi="宋体"/>
                <w:kern w:val="0"/>
                <w:sz w:val="18"/>
                <w:szCs w:val="18"/>
              </w:rPr>
              <w:t>学前教育发展现状。</w:t>
            </w:r>
          </w:p>
          <w:p w14:paraId="1F625814">
            <w:pPr>
              <w:snapToGrid w:val="0"/>
              <w:spacing w:line="288" w:lineRule="auto"/>
              <w:ind w:right="26"/>
              <w:rPr>
                <w:rFonts w:ascii="宋体" w:hAnsi="宋体"/>
                <w:kern w:val="0"/>
                <w:sz w:val="18"/>
                <w:szCs w:val="18"/>
              </w:rPr>
            </w:pPr>
            <w:r>
              <w:rPr>
                <w:rFonts w:hint="eastAsia" w:ascii="宋体" w:hAnsi="宋体"/>
                <w:kern w:val="0"/>
                <w:sz w:val="18"/>
                <w:szCs w:val="18"/>
              </w:rPr>
              <w:t>2.了解印度学前教育的发展现状。</w:t>
            </w:r>
          </w:p>
          <w:p w14:paraId="038515DA">
            <w:pPr>
              <w:snapToGrid w:val="0"/>
              <w:spacing w:line="288" w:lineRule="auto"/>
              <w:ind w:right="26"/>
              <w:rPr>
                <w:rFonts w:ascii="宋体" w:hAnsi="宋体"/>
                <w:kern w:val="0"/>
                <w:sz w:val="18"/>
                <w:szCs w:val="18"/>
              </w:rPr>
            </w:pPr>
            <w:r>
              <w:rPr>
                <w:rFonts w:hint="eastAsia" w:ascii="宋体" w:hAnsi="宋体"/>
                <w:kern w:val="0"/>
                <w:sz w:val="18"/>
                <w:szCs w:val="18"/>
              </w:rPr>
              <w:t>3.知道以色列学前教育发展特色。</w:t>
            </w:r>
          </w:p>
        </w:tc>
        <w:tc>
          <w:tcPr>
            <w:tcW w:w="2073" w:type="dxa"/>
            <w:vAlign w:val="center"/>
          </w:tcPr>
          <w:p w14:paraId="75076C4F">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芬兰</w:t>
            </w:r>
            <w:r>
              <w:rPr>
                <w:rFonts w:hint="eastAsia" w:ascii="宋体" w:hAnsi="宋体"/>
                <w:kern w:val="0"/>
                <w:sz w:val="18"/>
                <w:szCs w:val="18"/>
              </w:rPr>
              <w:t>学前教育发展现状。</w:t>
            </w:r>
          </w:p>
        </w:tc>
      </w:tr>
      <w:tr w14:paraId="58733EAF">
        <w:tc>
          <w:tcPr>
            <w:tcW w:w="2075" w:type="dxa"/>
            <w:vAlign w:val="center"/>
          </w:tcPr>
          <w:p w14:paraId="25C4CBCE">
            <w:pPr>
              <w:snapToGrid w:val="0"/>
              <w:spacing w:line="288" w:lineRule="auto"/>
              <w:ind w:right="26"/>
              <w:rPr>
                <w:rFonts w:ascii="宋体" w:hAnsi="宋体"/>
                <w:kern w:val="0"/>
                <w:sz w:val="18"/>
                <w:szCs w:val="18"/>
              </w:rPr>
            </w:pPr>
            <w:r>
              <w:rPr>
                <w:rFonts w:hint="eastAsia" w:ascii="宋体" w:hAnsi="宋体"/>
                <w:kern w:val="0"/>
                <w:sz w:val="18"/>
                <w:szCs w:val="18"/>
              </w:rPr>
              <w:t>8.</w:t>
            </w:r>
            <w:r>
              <w:rPr>
                <w:rFonts w:hint="eastAsia" w:ascii="宋体" w:hAnsi="宋体" w:cs="Tahoma"/>
                <w:sz w:val="18"/>
                <w:szCs w:val="18"/>
                <w:shd w:val="clear" w:color="auto" w:fill="FFFFFF"/>
              </w:rPr>
              <w:t>国际学前教育的比较</w:t>
            </w:r>
          </w:p>
          <w:p w14:paraId="7EFB14E3">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课时）</w:t>
            </w:r>
          </w:p>
        </w:tc>
        <w:tc>
          <w:tcPr>
            <w:tcW w:w="2075" w:type="dxa"/>
            <w:vAlign w:val="center"/>
          </w:tcPr>
          <w:p w14:paraId="08D2F882">
            <w:pPr>
              <w:snapToGrid w:val="0"/>
              <w:spacing w:line="288" w:lineRule="auto"/>
              <w:ind w:right="26"/>
              <w:rPr>
                <w:rFonts w:ascii="宋体" w:hAnsi="宋体"/>
                <w:kern w:val="0"/>
                <w:sz w:val="18"/>
                <w:szCs w:val="18"/>
              </w:rPr>
            </w:pPr>
            <w:r>
              <w:rPr>
                <w:rFonts w:hint="eastAsia" w:ascii="宋体" w:hAnsi="宋体"/>
                <w:kern w:val="0"/>
                <w:sz w:val="18"/>
                <w:szCs w:val="18"/>
              </w:rPr>
              <w:t>1.学前教育机构及其管理比较。</w:t>
            </w:r>
          </w:p>
          <w:p w14:paraId="09DFD7D4">
            <w:pPr>
              <w:snapToGrid w:val="0"/>
              <w:spacing w:line="288" w:lineRule="auto"/>
              <w:ind w:right="26"/>
              <w:rPr>
                <w:rFonts w:ascii="宋体" w:hAnsi="宋体"/>
                <w:kern w:val="0"/>
                <w:sz w:val="18"/>
                <w:szCs w:val="18"/>
              </w:rPr>
            </w:pPr>
            <w:r>
              <w:rPr>
                <w:rFonts w:hint="eastAsia" w:ascii="宋体" w:hAnsi="宋体"/>
                <w:kern w:val="0"/>
                <w:sz w:val="18"/>
                <w:szCs w:val="18"/>
              </w:rPr>
              <w:t>2.学前教育课程比较。</w:t>
            </w:r>
          </w:p>
          <w:p w14:paraId="0DFA338B">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kern w:val="0"/>
                <w:sz w:val="18"/>
                <w:szCs w:val="18"/>
              </w:rPr>
              <w:t>．学前教师教育比较。</w:t>
            </w:r>
          </w:p>
          <w:p w14:paraId="13D4658A">
            <w:pPr>
              <w:snapToGrid w:val="0"/>
              <w:spacing w:line="288" w:lineRule="auto"/>
              <w:ind w:right="26"/>
              <w:rPr>
                <w:rFonts w:ascii="宋体" w:hAnsi="宋体"/>
                <w:kern w:val="0"/>
                <w:sz w:val="18"/>
                <w:szCs w:val="18"/>
              </w:rPr>
            </w:pPr>
          </w:p>
        </w:tc>
        <w:tc>
          <w:tcPr>
            <w:tcW w:w="2073" w:type="dxa"/>
            <w:vAlign w:val="center"/>
          </w:tcPr>
          <w:p w14:paraId="23F385DC">
            <w:pPr>
              <w:snapToGrid w:val="0"/>
              <w:spacing w:line="288" w:lineRule="auto"/>
              <w:ind w:right="26"/>
              <w:rPr>
                <w:rFonts w:ascii="宋体" w:hAnsi="宋体"/>
                <w:kern w:val="0"/>
                <w:sz w:val="18"/>
                <w:szCs w:val="18"/>
              </w:rPr>
            </w:pPr>
            <w:r>
              <w:rPr>
                <w:rFonts w:hint="eastAsia" w:ascii="宋体" w:hAnsi="宋体"/>
                <w:kern w:val="0"/>
                <w:sz w:val="18"/>
                <w:szCs w:val="18"/>
              </w:rPr>
              <w:t>1.了解并比较各国学前教育机构及其管理。</w:t>
            </w:r>
          </w:p>
          <w:p w14:paraId="4318D206">
            <w:pPr>
              <w:snapToGrid w:val="0"/>
              <w:spacing w:line="288" w:lineRule="auto"/>
              <w:ind w:right="26"/>
              <w:rPr>
                <w:rFonts w:ascii="宋体" w:hAnsi="宋体"/>
                <w:kern w:val="0"/>
                <w:sz w:val="18"/>
                <w:szCs w:val="18"/>
              </w:rPr>
            </w:pPr>
            <w:r>
              <w:rPr>
                <w:rFonts w:hint="eastAsia" w:ascii="宋体" w:hAnsi="宋体"/>
                <w:kern w:val="0"/>
                <w:sz w:val="18"/>
                <w:szCs w:val="18"/>
              </w:rPr>
              <w:t>2.掌握并比较各国学前教育课程。</w:t>
            </w:r>
          </w:p>
          <w:p w14:paraId="75965AF2">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kern w:val="0"/>
                <w:sz w:val="18"/>
                <w:szCs w:val="18"/>
              </w:rPr>
              <w:t>．能够比较和理解各国的学前教师教育。</w:t>
            </w:r>
          </w:p>
        </w:tc>
        <w:tc>
          <w:tcPr>
            <w:tcW w:w="2073" w:type="dxa"/>
            <w:vAlign w:val="center"/>
          </w:tcPr>
          <w:p w14:paraId="7A23B6E9">
            <w:pPr>
              <w:snapToGrid w:val="0"/>
              <w:spacing w:line="288" w:lineRule="auto"/>
              <w:ind w:right="26"/>
              <w:rPr>
                <w:rFonts w:ascii="宋体" w:hAnsi="宋体"/>
                <w:kern w:val="0"/>
                <w:sz w:val="18"/>
                <w:szCs w:val="18"/>
              </w:rPr>
            </w:pPr>
            <w:r>
              <w:rPr>
                <w:rFonts w:hint="eastAsia" w:ascii="宋体" w:hAnsi="宋体"/>
                <w:kern w:val="0"/>
                <w:sz w:val="18"/>
                <w:szCs w:val="18"/>
              </w:rPr>
              <w:t>掌握并比较各国学前教育课程。</w:t>
            </w:r>
          </w:p>
        </w:tc>
      </w:tr>
      <w:tr w14:paraId="17D94436">
        <w:tc>
          <w:tcPr>
            <w:tcW w:w="2075" w:type="dxa"/>
            <w:vAlign w:val="center"/>
          </w:tcPr>
          <w:p w14:paraId="123234ED">
            <w:pPr>
              <w:snapToGrid w:val="0"/>
              <w:spacing w:line="288" w:lineRule="auto"/>
              <w:ind w:right="26"/>
              <w:rPr>
                <w:rFonts w:ascii="宋体" w:hAnsi="宋体"/>
                <w:kern w:val="0"/>
                <w:sz w:val="18"/>
                <w:szCs w:val="18"/>
              </w:rPr>
            </w:pPr>
            <w:r>
              <w:rPr>
                <w:rFonts w:hint="eastAsia" w:ascii="宋体" w:hAnsi="宋体"/>
                <w:kern w:val="0"/>
                <w:sz w:val="18"/>
                <w:szCs w:val="18"/>
              </w:rPr>
              <w:t>9</w:t>
            </w:r>
            <w:r>
              <w:rPr>
                <w:rFonts w:ascii="宋体" w:hAnsi="宋体"/>
                <w:kern w:val="0"/>
                <w:sz w:val="18"/>
                <w:szCs w:val="18"/>
              </w:rPr>
              <w:t>.</w:t>
            </w:r>
            <w:r>
              <w:rPr>
                <w:rFonts w:hint="eastAsia" w:ascii="宋体" w:hAnsi="宋体"/>
                <w:kern w:val="0"/>
                <w:sz w:val="18"/>
                <w:szCs w:val="18"/>
              </w:rPr>
              <w:t>世界学前教育发展的基本经验和趋势</w:t>
            </w:r>
          </w:p>
          <w:p w14:paraId="6CB2A6B3">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75" w:type="dxa"/>
            <w:vAlign w:val="center"/>
          </w:tcPr>
          <w:p w14:paraId="3399CD7E">
            <w:pPr>
              <w:snapToGrid w:val="0"/>
              <w:spacing w:line="288" w:lineRule="auto"/>
              <w:ind w:right="26"/>
              <w:rPr>
                <w:rFonts w:ascii="宋体" w:hAnsi="宋体"/>
                <w:kern w:val="0"/>
                <w:sz w:val="18"/>
                <w:szCs w:val="18"/>
              </w:rPr>
            </w:pPr>
            <w:r>
              <w:rPr>
                <w:rFonts w:ascii="宋体" w:hAnsi="宋体"/>
                <w:kern w:val="0"/>
                <w:sz w:val="18"/>
                <w:szCs w:val="18"/>
              </w:rPr>
              <w:t>1.</w:t>
            </w:r>
            <w:r>
              <w:rPr>
                <w:rFonts w:hint="eastAsia" w:ascii="宋体" w:hAnsi="宋体"/>
                <w:kern w:val="0"/>
                <w:sz w:val="18"/>
                <w:szCs w:val="18"/>
              </w:rPr>
              <w:t>世界学前教育发展的基本经验。</w:t>
            </w:r>
          </w:p>
          <w:p w14:paraId="4CE19A43">
            <w:pPr>
              <w:snapToGrid w:val="0"/>
              <w:spacing w:line="288" w:lineRule="auto"/>
              <w:ind w:right="26"/>
              <w:rPr>
                <w:rFonts w:ascii="宋体" w:hAnsi="宋体"/>
                <w:kern w:val="0"/>
                <w:sz w:val="18"/>
                <w:szCs w:val="18"/>
              </w:rPr>
            </w:pPr>
            <w:r>
              <w:rPr>
                <w:rFonts w:hint="eastAsia" w:ascii="宋体" w:hAnsi="宋体"/>
                <w:kern w:val="0"/>
                <w:sz w:val="18"/>
                <w:szCs w:val="18"/>
              </w:rPr>
              <w:t>2</w:t>
            </w:r>
            <w:r>
              <w:rPr>
                <w:rFonts w:ascii="宋体" w:hAnsi="宋体"/>
                <w:kern w:val="0"/>
                <w:sz w:val="18"/>
                <w:szCs w:val="18"/>
              </w:rPr>
              <w:t>.</w:t>
            </w:r>
            <w:r>
              <w:rPr>
                <w:rFonts w:hint="eastAsia" w:ascii="宋体" w:hAnsi="宋体"/>
                <w:kern w:val="0"/>
                <w:sz w:val="18"/>
                <w:szCs w:val="18"/>
              </w:rPr>
              <w:t>世界学前教育面临的主要问题。</w:t>
            </w:r>
          </w:p>
          <w:p w14:paraId="50386733">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kern w:val="0"/>
                <w:sz w:val="18"/>
                <w:szCs w:val="18"/>
              </w:rPr>
              <w:t>世界学前教育发展的趋势。</w:t>
            </w:r>
          </w:p>
        </w:tc>
        <w:tc>
          <w:tcPr>
            <w:tcW w:w="2073" w:type="dxa"/>
            <w:vAlign w:val="center"/>
          </w:tcPr>
          <w:p w14:paraId="66E27DC1">
            <w:pPr>
              <w:snapToGrid w:val="0"/>
              <w:spacing w:line="288" w:lineRule="auto"/>
              <w:ind w:right="26"/>
              <w:rPr>
                <w:rFonts w:ascii="宋体" w:hAnsi="宋体"/>
                <w:kern w:val="0"/>
                <w:sz w:val="18"/>
                <w:szCs w:val="18"/>
              </w:rPr>
            </w:pPr>
            <w:r>
              <w:rPr>
                <w:rFonts w:hint="eastAsia" w:ascii="宋体" w:hAnsi="宋体"/>
                <w:kern w:val="0"/>
                <w:sz w:val="18"/>
                <w:szCs w:val="18"/>
              </w:rPr>
              <w:t>1</w:t>
            </w:r>
            <w:r>
              <w:rPr>
                <w:rFonts w:ascii="宋体" w:hAnsi="宋体"/>
                <w:kern w:val="0"/>
                <w:sz w:val="18"/>
                <w:szCs w:val="18"/>
              </w:rPr>
              <w:t>.</w:t>
            </w:r>
            <w:r>
              <w:rPr>
                <w:rFonts w:hint="eastAsia" w:ascii="宋体" w:hAnsi="宋体"/>
                <w:kern w:val="0"/>
                <w:sz w:val="18"/>
                <w:szCs w:val="18"/>
              </w:rPr>
              <w:t>总结世界学前教育发展的基本经验</w:t>
            </w:r>
          </w:p>
          <w:p w14:paraId="1B8E5AB2">
            <w:pPr>
              <w:snapToGrid w:val="0"/>
              <w:spacing w:line="288" w:lineRule="auto"/>
              <w:ind w:right="26"/>
              <w:rPr>
                <w:rFonts w:ascii="宋体" w:hAnsi="宋体"/>
                <w:kern w:val="0"/>
                <w:sz w:val="18"/>
                <w:szCs w:val="18"/>
              </w:rPr>
            </w:pPr>
            <w:r>
              <w:rPr>
                <w:rFonts w:hint="eastAsia" w:ascii="宋体" w:hAnsi="宋体"/>
                <w:kern w:val="0"/>
                <w:sz w:val="18"/>
                <w:szCs w:val="18"/>
              </w:rPr>
              <w:t>2</w:t>
            </w:r>
            <w:r>
              <w:rPr>
                <w:rFonts w:ascii="宋体" w:hAnsi="宋体"/>
                <w:kern w:val="0"/>
                <w:sz w:val="18"/>
                <w:szCs w:val="18"/>
              </w:rPr>
              <w:t>.</w:t>
            </w:r>
            <w:r>
              <w:rPr>
                <w:rFonts w:hint="eastAsia" w:ascii="宋体" w:hAnsi="宋体"/>
                <w:kern w:val="0"/>
                <w:sz w:val="18"/>
                <w:szCs w:val="18"/>
              </w:rPr>
              <w:t>理解世界学前教育面临的主要问题和未来发展的趋势。</w:t>
            </w:r>
          </w:p>
        </w:tc>
        <w:tc>
          <w:tcPr>
            <w:tcW w:w="2073" w:type="dxa"/>
            <w:vAlign w:val="center"/>
          </w:tcPr>
          <w:p w14:paraId="6C75C253">
            <w:pPr>
              <w:snapToGrid w:val="0"/>
              <w:spacing w:line="288" w:lineRule="auto"/>
              <w:ind w:right="26"/>
              <w:rPr>
                <w:rFonts w:ascii="宋体" w:hAnsi="宋体"/>
                <w:kern w:val="0"/>
                <w:sz w:val="18"/>
                <w:szCs w:val="18"/>
              </w:rPr>
            </w:pPr>
            <w:r>
              <w:rPr>
                <w:rFonts w:hint="eastAsia" w:ascii="宋体" w:hAnsi="宋体"/>
                <w:kern w:val="0"/>
                <w:sz w:val="18"/>
                <w:szCs w:val="18"/>
              </w:rPr>
              <w:t>认识世界学前教育发展的基本经验和趋势。</w:t>
            </w:r>
          </w:p>
        </w:tc>
      </w:tr>
    </w:tbl>
    <w:p w14:paraId="12FCAEE5">
      <w:pPr>
        <w:widowControl/>
        <w:spacing w:before="156" w:beforeLines="50" w:after="156" w:afterLines="50" w:line="288" w:lineRule="auto"/>
        <w:ind w:firstLine="300" w:firstLineChars="150"/>
        <w:jc w:val="left"/>
        <w:rPr>
          <w:rFonts w:ascii="宋体" w:hAnsi="宋体"/>
          <w:sz w:val="20"/>
          <w:szCs w:val="20"/>
        </w:rPr>
      </w:pPr>
    </w:p>
    <w:p w14:paraId="3FE47968">
      <w:pPr>
        <w:snapToGrid w:val="0"/>
        <w:spacing w:line="288" w:lineRule="auto"/>
        <w:ind w:right="2520"/>
        <w:rPr>
          <w:rFonts w:ascii="黑体" w:hAnsi="宋体" w:eastAsia="黑体"/>
          <w:sz w:val="24"/>
        </w:rPr>
      </w:pPr>
    </w:p>
    <w:p w14:paraId="3F29CA96">
      <w:pPr>
        <w:pStyle w:val="5"/>
        <w:jc w:val="left"/>
        <w:rPr>
          <w:rFonts w:ascii="黑体" w:hAnsi="宋体" w:eastAsia="黑体"/>
          <w:sz w:val="24"/>
        </w:rPr>
      </w:pPr>
      <w:r>
        <w:rPr>
          <w:rFonts w:hint="eastAsia" w:ascii="黑体" w:hAnsi="宋体" w:eastAsia="黑体"/>
          <w:sz w:val="24"/>
        </w:rPr>
        <w:t>八、评价方式与成绩</w:t>
      </w:r>
    </w:p>
    <w:p w14:paraId="5699FFEC">
      <w:pPr>
        <w:rPr>
          <w:lang w:val="zh-CN"/>
        </w:rPr>
      </w:pPr>
    </w:p>
    <w:tbl>
      <w:tblPr>
        <w:tblStyle w:val="6"/>
        <w:tblpPr w:leftFromText="180" w:rightFromText="180" w:vertAnchor="text" w:horzAnchor="margin" w:tblpY="19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3B70DCAB">
        <w:tc>
          <w:tcPr>
            <w:tcW w:w="1809" w:type="dxa"/>
            <w:shd w:val="clear" w:color="auto" w:fill="auto"/>
          </w:tcPr>
          <w:p w14:paraId="0CF10FB7">
            <w:pPr>
              <w:snapToGrid w:val="0"/>
              <w:spacing w:before="156" w:beforeLines="50" w:after="156" w:afterLines="50"/>
              <w:rPr>
                <w:rFonts w:ascii="宋体" w:hAnsi="宋体"/>
                <w:bCs/>
                <w:color w:val="000000"/>
                <w:szCs w:val="20"/>
              </w:rPr>
            </w:pPr>
            <w:bookmarkStart w:id="2" w:name="_Hlk114559564"/>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623BF4C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1DE7A78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14:paraId="48F4994F">
        <w:tc>
          <w:tcPr>
            <w:tcW w:w="1809" w:type="dxa"/>
            <w:shd w:val="clear" w:color="auto" w:fill="auto"/>
          </w:tcPr>
          <w:p w14:paraId="64CC94C1">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14:paraId="60838873">
            <w:pPr>
              <w:snapToGrid w:val="0"/>
              <w:spacing w:before="156" w:beforeLines="50" w:after="156" w:afterLines="50"/>
              <w:jc w:val="center"/>
              <w:rPr>
                <w:rFonts w:ascii="宋体" w:hAnsi="宋体"/>
                <w:bCs/>
                <w:color w:val="000000"/>
                <w:szCs w:val="20"/>
              </w:rPr>
            </w:pPr>
            <w:r>
              <w:rPr>
                <w:rFonts w:ascii="宋体" w:hAnsi="宋体"/>
                <w:bCs/>
                <w:color w:val="000000"/>
                <w:szCs w:val="20"/>
              </w:rPr>
              <w:t>期</w:t>
            </w:r>
            <w:r>
              <w:rPr>
                <w:rFonts w:hint="eastAsia" w:ascii="宋体" w:hAnsi="宋体"/>
                <w:bCs/>
                <w:color w:val="000000"/>
                <w:szCs w:val="20"/>
              </w:rPr>
              <w:t>末</w:t>
            </w:r>
            <w:r>
              <w:rPr>
                <w:rFonts w:ascii="宋体" w:hAnsi="宋体"/>
                <w:bCs/>
                <w:color w:val="000000"/>
                <w:szCs w:val="20"/>
              </w:rPr>
              <w:t>考</w:t>
            </w:r>
            <w:r>
              <w:rPr>
                <w:rFonts w:hint="eastAsia" w:ascii="宋体" w:hAnsi="宋体"/>
                <w:bCs/>
                <w:color w:val="000000"/>
                <w:szCs w:val="20"/>
              </w:rPr>
              <w:t>试</w:t>
            </w:r>
          </w:p>
        </w:tc>
        <w:tc>
          <w:tcPr>
            <w:tcW w:w="1843" w:type="dxa"/>
            <w:shd w:val="clear" w:color="auto" w:fill="auto"/>
          </w:tcPr>
          <w:p w14:paraId="54832BDE">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45</w:t>
            </w:r>
          </w:p>
        </w:tc>
      </w:tr>
      <w:tr w14:paraId="3CCCDCB4">
        <w:tc>
          <w:tcPr>
            <w:tcW w:w="1809" w:type="dxa"/>
            <w:shd w:val="clear" w:color="auto" w:fill="auto"/>
          </w:tcPr>
          <w:p w14:paraId="0A6B58CE">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20C34D8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作业</w:t>
            </w:r>
          </w:p>
        </w:tc>
        <w:tc>
          <w:tcPr>
            <w:tcW w:w="1843" w:type="dxa"/>
            <w:shd w:val="clear" w:color="auto" w:fill="auto"/>
          </w:tcPr>
          <w:p w14:paraId="5519791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46A4D03C">
        <w:tc>
          <w:tcPr>
            <w:tcW w:w="1809" w:type="dxa"/>
            <w:shd w:val="clear" w:color="auto" w:fill="auto"/>
          </w:tcPr>
          <w:p w14:paraId="60C8CCAF">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4DA2F2B1">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小组汇报</w:t>
            </w:r>
          </w:p>
        </w:tc>
        <w:tc>
          <w:tcPr>
            <w:tcW w:w="1843" w:type="dxa"/>
            <w:shd w:val="clear" w:color="auto" w:fill="auto"/>
          </w:tcPr>
          <w:p w14:paraId="6B331E9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0096BD15">
        <w:tc>
          <w:tcPr>
            <w:tcW w:w="1809" w:type="dxa"/>
            <w:shd w:val="clear" w:color="auto" w:fill="auto"/>
          </w:tcPr>
          <w:p w14:paraId="3E274AC5">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697DB1F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14:paraId="74008192">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bookmarkEnd w:id="1"/>
      <w:bookmarkEnd w:id="2"/>
    </w:tbl>
    <w:p w14:paraId="679022B3">
      <w:pPr>
        <w:snapToGrid w:val="0"/>
        <w:spacing w:line="288" w:lineRule="auto"/>
        <w:rPr>
          <w:rFonts w:hint="eastAsia"/>
          <w:sz w:val="28"/>
          <w:szCs w:val="28"/>
          <w:lang w:val="en-US" w:eastAsia="zh-CN"/>
        </w:rPr>
      </w:pPr>
      <w:r>
        <w:rPr>
          <w:rFonts w:hint="eastAsia"/>
          <w:sz w:val="28"/>
          <w:szCs w:val="28"/>
        </w:rPr>
        <w:t>撰写人：</w:t>
      </w:r>
      <w:r>
        <w:rPr>
          <w:rFonts w:hint="eastAsia"/>
          <w:sz w:val="28"/>
          <w:szCs w:val="28"/>
          <w:lang w:val="en-US" w:eastAsia="zh-CN"/>
        </w:rPr>
        <w:t>郎妍</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lang w:val="en-US" w:eastAsia="zh-CN"/>
        </w:rPr>
        <w:t>系主任审核： 步社民   日期：2023-9-3</w:t>
      </w:r>
    </w:p>
    <w:p w14:paraId="6B6218E3">
      <w:pPr>
        <w:snapToGrid w:val="0"/>
        <w:spacing w:line="288" w:lineRule="auto"/>
        <w:jc w:val="left"/>
        <w:rPr>
          <w:sz w:val="28"/>
          <w:szCs w:val="28"/>
        </w:rPr>
      </w:pPr>
    </w:p>
    <w:p w14:paraId="20C1C00B">
      <w:pPr>
        <w:snapToGrid w:val="0"/>
        <w:spacing w:line="288" w:lineRule="auto"/>
        <w:rPr>
          <w:rFonts w:ascii="宋体" w:hAnsi="宋体"/>
          <w:szCs w:val="21"/>
        </w:rPr>
      </w:pPr>
      <w:r>
        <w:rPr>
          <w:rFonts w:ascii="宋体" w:hAnsi="宋体"/>
          <w:szCs w:val="21"/>
        </w:rPr>
        <w:t xml:space="preserve">         </w:t>
      </w: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0000000" w:usb3="00000000" w:csb0="2000019F" w:csb1="00000000"/>
  </w:font>
  <w:font w:name="等线 Light">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546D3"/>
    <w:rsid w:val="000B21F6"/>
    <w:rsid w:val="000C7344"/>
    <w:rsid w:val="000D0C36"/>
    <w:rsid w:val="000F67CF"/>
    <w:rsid w:val="0013640A"/>
    <w:rsid w:val="00162190"/>
    <w:rsid w:val="0017562B"/>
    <w:rsid w:val="001D6971"/>
    <w:rsid w:val="002039E1"/>
    <w:rsid w:val="00240831"/>
    <w:rsid w:val="00286AC2"/>
    <w:rsid w:val="002E022D"/>
    <w:rsid w:val="002F25F4"/>
    <w:rsid w:val="00344574"/>
    <w:rsid w:val="00365D85"/>
    <w:rsid w:val="003A1816"/>
    <w:rsid w:val="003A4C33"/>
    <w:rsid w:val="003B76EC"/>
    <w:rsid w:val="003C606A"/>
    <w:rsid w:val="003D5542"/>
    <w:rsid w:val="0040519B"/>
    <w:rsid w:val="00457909"/>
    <w:rsid w:val="00474887"/>
    <w:rsid w:val="004917B2"/>
    <w:rsid w:val="004F25F9"/>
    <w:rsid w:val="0050711C"/>
    <w:rsid w:val="00534E60"/>
    <w:rsid w:val="0055090D"/>
    <w:rsid w:val="00555483"/>
    <w:rsid w:val="00617383"/>
    <w:rsid w:val="00691C56"/>
    <w:rsid w:val="006D45EA"/>
    <w:rsid w:val="006E3931"/>
    <w:rsid w:val="006F03D5"/>
    <w:rsid w:val="00711926"/>
    <w:rsid w:val="00730A62"/>
    <w:rsid w:val="00740F3A"/>
    <w:rsid w:val="00761562"/>
    <w:rsid w:val="007B6A86"/>
    <w:rsid w:val="007D0E65"/>
    <w:rsid w:val="007D6557"/>
    <w:rsid w:val="00861BB0"/>
    <w:rsid w:val="008667FA"/>
    <w:rsid w:val="008A3AC6"/>
    <w:rsid w:val="008B5CBF"/>
    <w:rsid w:val="008D7284"/>
    <w:rsid w:val="008F37D1"/>
    <w:rsid w:val="009753D3"/>
    <w:rsid w:val="009D25F5"/>
    <w:rsid w:val="00AA34BF"/>
    <w:rsid w:val="00AC1365"/>
    <w:rsid w:val="00AE6A38"/>
    <w:rsid w:val="00AF30FA"/>
    <w:rsid w:val="00B154DC"/>
    <w:rsid w:val="00B2435A"/>
    <w:rsid w:val="00B479F0"/>
    <w:rsid w:val="00B546D3"/>
    <w:rsid w:val="00B70647"/>
    <w:rsid w:val="00BD64BE"/>
    <w:rsid w:val="00C705B4"/>
    <w:rsid w:val="00C756A3"/>
    <w:rsid w:val="00C832CF"/>
    <w:rsid w:val="00CD0769"/>
    <w:rsid w:val="00CD1617"/>
    <w:rsid w:val="00D0610C"/>
    <w:rsid w:val="00D544CE"/>
    <w:rsid w:val="00D62002"/>
    <w:rsid w:val="00D717B0"/>
    <w:rsid w:val="00D87DF9"/>
    <w:rsid w:val="00DC2693"/>
    <w:rsid w:val="00E0531F"/>
    <w:rsid w:val="00E34775"/>
    <w:rsid w:val="00E34991"/>
    <w:rsid w:val="00E657A7"/>
    <w:rsid w:val="00EA21A9"/>
    <w:rsid w:val="00EB1E27"/>
    <w:rsid w:val="00EB782F"/>
    <w:rsid w:val="00EC5307"/>
    <w:rsid w:val="00EC5DF2"/>
    <w:rsid w:val="00ED7166"/>
    <w:rsid w:val="00EE6DA8"/>
    <w:rsid w:val="00F22B04"/>
    <w:rsid w:val="00F33E26"/>
    <w:rsid w:val="00F70828"/>
    <w:rsid w:val="00FB1A2C"/>
    <w:rsid w:val="00FB68BA"/>
    <w:rsid w:val="00FD5EC0"/>
    <w:rsid w:val="00FE49D3"/>
    <w:rsid w:val="6DEF15FB"/>
    <w:rsid w:val="7C4D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rPr>
      <w:rFonts w:ascii="Times New Roman" w:hAnsi="Times New Roman"/>
      <w:sz w:val="24"/>
      <w:szCs w:val="24"/>
    </w:rPr>
  </w:style>
  <w:style w:type="paragraph" w:styleId="5">
    <w:name w:val="Title"/>
    <w:basedOn w:val="1"/>
    <w:next w:val="1"/>
    <w:link w:val="12"/>
    <w:qFormat/>
    <w:uiPriority w:val="0"/>
    <w:pPr>
      <w:spacing w:line="440" w:lineRule="exact"/>
      <w:jc w:val="center"/>
      <w:outlineLvl w:val="0"/>
    </w:pPr>
    <w:rPr>
      <w:rFonts w:ascii="Cambria" w:hAnsi="Cambria" w:eastAsiaTheme="minorEastAsia" w:cstheme="minorBidi"/>
      <w:b/>
      <w:bCs/>
      <w:sz w:val="28"/>
      <w:szCs w:val="32"/>
    </w:r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semiHidden/>
    <w:unhideWhenUsed/>
    <w:uiPriority w:val="99"/>
    <w:rPr>
      <w:color w:val="0000FF"/>
      <w:u w:val="single"/>
    </w:r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 w:type="character" w:customStyle="1" w:styleId="12">
    <w:name w:val="标题 字符"/>
    <w:link w:val="5"/>
    <w:uiPriority w:val="0"/>
    <w:rPr>
      <w:rFonts w:ascii="Cambria" w:hAnsi="Cambria"/>
      <w:b/>
      <w:bCs/>
      <w:sz w:val="28"/>
      <w:szCs w:val="32"/>
    </w:rPr>
  </w:style>
  <w:style w:type="character" w:customStyle="1" w:styleId="13">
    <w:name w:val="标题 字符1"/>
    <w:basedOn w:val="7"/>
    <w:uiPriority w:val="10"/>
    <w:rPr>
      <w:rFonts w:asciiTheme="majorHAnsi" w:hAnsiTheme="majorHAnsi" w:eastAsiaTheme="majorEastAsia" w:cstheme="majorBidi"/>
      <w:b/>
      <w:bCs/>
      <w:sz w:val="32"/>
      <w:szCs w:val="32"/>
    </w:rPr>
  </w:style>
  <w:style w:type="paragraph" w:customStyle="1" w:styleId="14">
    <w:name w:val="大纲课程名"/>
    <w:basedOn w:val="1"/>
    <w:link w:val="15"/>
    <w:qFormat/>
    <w:uiPriority w:val="0"/>
    <w:pPr>
      <w:spacing w:before="156" w:beforeLines="50" w:line="440" w:lineRule="exact"/>
      <w:jc w:val="center"/>
      <w:outlineLvl w:val="0"/>
    </w:pPr>
    <w:rPr>
      <w:b/>
      <w:kern w:val="0"/>
      <w:sz w:val="28"/>
      <w:szCs w:val="20"/>
      <w:lang w:val="zh-CN" w:eastAsia="zh-CN"/>
    </w:rPr>
  </w:style>
  <w:style w:type="character" w:customStyle="1" w:styleId="15">
    <w:name w:val="大纲课程名 Char"/>
    <w:basedOn w:val="7"/>
    <w:link w:val="14"/>
    <w:uiPriority w:val="0"/>
    <w:rPr>
      <w:rFonts w:ascii="Calibri" w:hAnsi="Calibri" w:eastAsia="宋体" w:cs="Times New Roman"/>
      <w:b/>
      <w:kern w:val="0"/>
      <w:sz w:val="28"/>
      <w:szCs w:val="20"/>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2547</Words>
  <Characters>2733</Characters>
  <Lines>21</Lines>
  <Paragraphs>6</Paragraphs>
  <TotalTime>0</TotalTime>
  <ScaleCrop>false</ScaleCrop>
  <LinksUpToDate>false</LinksUpToDate>
  <CharactersWithSpaces>2763</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2021-09-17T19:57:00Z</dcterms:created>
  <dc:creator>郭 文杰</dc:creator>
  <cp:lastModifiedBy>leee</cp:lastModifiedBy>
  <dcterms:modified xsi:type="dcterms:W3CDTF">2024-10-12T00:59:17Z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139C801F821C4B8E84CBB6D8BA7C92BF_12</vt:lpwstr>
  </property>
</Properties>
</file>