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 新媒体</w:t>
      </w:r>
      <w:r>
        <w:rPr>
          <w:rFonts w:hint="eastAsia" w:ascii="黑体" w:hAnsi="黑体" w:eastAsia="黑体"/>
          <w:bCs/>
          <w:sz w:val="32"/>
          <w:szCs w:val="32"/>
          <w:lang w:val="en-US" w:eastAsia="zh-Hans"/>
        </w:rPr>
        <w:t>制作与</w:t>
      </w:r>
      <w:r>
        <w:rPr>
          <w:rFonts w:hint="eastAsia" w:ascii="黑体" w:hAnsi="黑体" w:eastAsia="黑体"/>
          <w:bCs/>
          <w:sz w:val="32"/>
          <w:szCs w:val="32"/>
        </w:rPr>
        <w:t>运营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《新媒体制作与运营》</w:t>
            </w:r>
          </w:p>
        </w:tc>
      </w:tr>
      <w:tr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黑体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《New Media </w:t>
            </w:r>
            <w:r>
              <w:rPr>
                <w:rFonts w:ascii="Times New Roman Regular" w:hAnsi="Times New Roman Regular" w:eastAsia="黑体" w:cs="Times New Roman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Production and</w:t>
            </w:r>
            <w:r>
              <w:rPr>
                <w:rFonts w:hint="default" w:ascii="Times New Roman Regular" w:hAnsi="Times New Roman Regular" w:eastAsia="黑体" w:cs="Times New Roman Regular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 Regular" w:hAnsi="Times New Roman Regular" w:eastAsia="黑体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Operations》</w:t>
            </w:r>
          </w:p>
        </w:tc>
      </w:tr>
      <w:tr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ascii="Times New Roman Regular" w:hAnsi="Times New Roman Regular" w:eastAsia="黑体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黑体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2130053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三年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专业选修</w:t>
            </w:r>
            <w:bookmarkStart w:id="6" w:name="_GoBack"/>
            <w:bookmarkEnd w:id="6"/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《新媒体运营》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李东临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/>
                <w:sz w:val="21"/>
                <w:szCs w:val="21"/>
              </w:rPr>
              <w:t>9787555644611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天津科学技术出版社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，20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Hans"/>
              </w:rPr>
              <w:t>数字媒体基础</w:t>
            </w:r>
            <w:r>
              <w:rPr>
                <w:rFonts w:hint="eastAsia"/>
              </w:rPr>
              <w:t>》</w:t>
            </w:r>
          </w:p>
        </w:tc>
      </w:tr>
      <w:tr>
        <w:trPr>
          <w:trHeight w:val="309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</w:t>
            </w:r>
            <w:r>
              <w:rPr>
                <w:rFonts w:hint="eastAsia"/>
                <w:lang w:val="en-US" w:eastAsia="zh-Hans"/>
              </w:rPr>
              <w:t>学前教育</w:t>
            </w:r>
            <w:r>
              <w:rPr>
                <w:rFonts w:hint="eastAsia"/>
              </w:rPr>
              <w:t>专业网络媒体方向的一门的系级专业必修课程，起到了传授知识、激发兴趣、启迪思维、拓展视野的作用。本课程从新媒体概念入手，全面介绍了新媒体运营及新媒体运营各模块的具体内容。</w:t>
            </w:r>
          </w:p>
          <w:p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旨在培养学生根据主题搜集资料、编写文献综述、进行作品评价以及使用多媒体手段进行综合展示与口头表达的能力，通过学习本课程，能够激发学生的学习热情，增强专业学习信心，为后续专业课程的学习打下扎实基础。</w:t>
            </w:r>
          </w:p>
        </w:tc>
      </w:tr>
      <w:tr>
        <w:trPr>
          <w:trHeight w:val="142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本课程适合于</w:t>
            </w:r>
            <w:r>
              <w:rPr>
                <w:rFonts w:hint="eastAsia"/>
                <w:lang w:val="en-US" w:eastAsia="zh-Hans"/>
              </w:rPr>
              <w:t>学前教育</w:t>
            </w:r>
            <w:r>
              <w:rPr>
                <w:rFonts w:hint="eastAsia"/>
              </w:rPr>
              <w:t>专业三年级的学生学习，要求学生对数字媒体、计算机、互联网等领域的基本知识有一定认识。</w:t>
            </w:r>
          </w:p>
        </w:tc>
      </w:tr>
      <w:tr>
        <w:trPr>
          <w:trHeight w:val="409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50240" cy="412115"/>
                  <wp:effectExtent l="0" t="0" r="10160" b="19685"/>
                  <wp:docPr id="2" name="图片 2" descr="WechatIMG1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echatIMG11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.1</w:t>
            </w:r>
          </w:p>
        </w:tc>
      </w:tr>
      <w:tr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.1</w:t>
            </w:r>
          </w:p>
        </w:tc>
      </w:tr>
      <w:tr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.1</w:t>
            </w:r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384"/>
        <w:gridCol w:w="633"/>
        <w:gridCol w:w="6459"/>
      </w:tblGrid>
      <w:tr>
        <w:trPr>
          <w:trHeight w:val="454" w:hRule="atLeas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rPr>
          <w:trHeight w:val="340" w:hRule="atLeas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default" w:eastAsia="黑体"/>
                <w:lang w:val="en-US" w:eastAsia="zh-Hans"/>
              </w:rPr>
            </w:pPr>
            <w:r>
              <w:rPr>
                <w:rFonts w:hint="eastAsia" w:eastAsia="黑体"/>
                <w:lang w:val="en-US" w:eastAsia="zh-Hans"/>
              </w:rPr>
              <w:t>德行与情怀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践行社会主义核心价值观，自觉依法执教；认同学前教育的核心价值观，具备专业伦理素养，明确保教行为规范；具有人文底蕴、生命关怀和</w:t>
            </w:r>
            <w:r>
              <w:rPr>
                <w:bCs/>
              </w:rPr>
              <w:t>科学精神；坚守儿童立场，富有爱心、事业心和奉献精神；怀有在学前教育实践中有所作为</w:t>
            </w:r>
            <w:r>
              <w:rPr>
                <w:rFonts w:hint="eastAsia"/>
                <w:bCs/>
              </w:rPr>
              <w:t>的专业理想。</w:t>
            </w:r>
          </w:p>
        </w:tc>
      </w:tr>
      <w:tr>
        <w:trPr>
          <w:trHeight w:val="340" w:hRule="atLeas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lang w:val="en-US" w:eastAsia="zh-Hans"/>
              </w:rPr>
            </w:pPr>
            <w:r>
              <w:rPr>
                <w:rFonts w:hint="eastAsia" w:ascii="宋体" w:hAnsi="宋体" w:eastAsia="黑体" w:cs="宋体"/>
                <w:lang w:val="en-US" w:eastAsia="zh-Hans"/>
              </w:rPr>
              <w:t>知识与能力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459" w:type="dxa"/>
            <w:vAlign w:val="center"/>
          </w:tcPr>
          <w:p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 w:eastAsia="宋体" w:cs="宋体"/>
                <w:bCs/>
              </w:rPr>
              <w:t>掌握儿童研究的理论和方法；掌握系统的保教专业知识并形成实践能力；对幼儿生活和游戏的独特教育价值有充分认知，能为幼儿创设有准备的游戏环境，能合理组织幼儿一日生活活动；能观察、记录、分析幼儿的行为并以此为基础实施合理的支持和引导；能科学评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估</w:t>
            </w:r>
            <w:r>
              <w:rPr>
                <w:rFonts w:hint="eastAsia" w:ascii="宋体" w:hAnsi="宋体" w:eastAsia="宋体" w:cs="宋体"/>
                <w:bCs/>
              </w:rPr>
              <w:t>幼儿及自身的学习与发展，具备良好的团队合作、家园合作的意识和能力。</w:t>
            </w:r>
          </w:p>
        </w:tc>
      </w:tr>
      <w:tr>
        <w:trPr>
          <w:trHeight w:val="340" w:hRule="atLeas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lang w:eastAsia="zh-Hans"/>
              </w:rPr>
            </w:pPr>
            <w:r>
              <w:rPr>
                <w:rFonts w:hint="eastAsia" w:ascii="宋体" w:hAnsi="宋体" w:eastAsia="黑体" w:cs="宋体"/>
                <w:lang w:val="en-US" w:eastAsia="zh-Hans"/>
              </w:rPr>
              <w:t>反思与发展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具</w:t>
            </w:r>
            <w:r>
              <w:rPr>
                <w:rFonts w:hint="eastAsia"/>
                <w:bCs/>
              </w:rPr>
              <w:t>能自主规划提升自身的专业素养；能立足本土、追踪国际趋势参与交流合作；能在理论学习、儿童研究、幼教实践的不断循环中进行反思，并在持续反思中改善实践，不断追求优质幼教。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rPr>
          <w:trHeight w:val="896" w:hRule="atLeast"/>
        </w:trPr>
        <w:tc>
          <w:tcPr>
            <w:tcW w:w="8296" w:type="dxa"/>
            <w:vAlign w:val="center"/>
          </w:tcPr>
          <w:p>
            <w:pPr>
              <w:pStyle w:val="14"/>
              <w:widowControl/>
              <w:adjustRightInd w:val="0"/>
              <w:snapToGrid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LO1</w:t>
            </w:r>
            <w:r>
              <w:rPr>
                <w:rFonts w:hint="eastAsia" w:cs="Times New Roman"/>
                <w:lang w:val="en-US" w:eastAsia="zh-Hans"/>
              </w:rPr>
              <w:t>师德规范</w:t>
            </w:r>
            <w:r>
              <w:rPr>
                <w:rFonts w:hint="eastAsia" w:cs="Times New Roman"/>
              </w:rPr>
              <w:t>：</w:t>
            </w:r>
            <w:r>
              <w:rPr>
                <w:rFonts w:hint="eastAsia"/>
                <w:bCs/>
              </w:rPr>
              <w:t>拥护党的领导，贯彻党的教育方针，以立德树人为己任；践行社会主义核心价值观，增进对中国特色社会主义的思想、政治、文化、历史、理论和情感认同。</w:t>
            </w:r>
          </w:p>
          <w:p>
            <w:pPr>
              <w:pStyle w:val="14"/>
              <w:widowControl/>
              <w:adjustRightInd w:val="0"/>
              <w:snapToGrid w:val="0"/>
              <w:jc w:val="left"/>
              <w:rPr>
                <w:rFonts w:cs="Times New Roman"/>
              </w:rPr>
            </w:pPr>
            <w:r>
              <w:rPr>
                <w:rFonts w:hint="default" w:ascii="Calibri" w:hAnsi="Calibri" w:cs="Calibri"/>
                <w:bCs/>
              </w:rPr>
              <w:t>③</w:t>
            </w:r>
            <w:r>
              <w:rPr>
                <w:rFonts w:hint="eastAsia"/>
                <w:bCs/>
              </w:rPr>
              <w:t>明确与践行幼儿园教师保教行为规范，自觉遵守法律法规、校纪校规</w:t>
            </w:r>
            <w:r>
              <w:rPr>
                <w:rFonts w:hint="eastAsia" w:cs="Times New Roman"/>
              </w:rPr>
              <w:t>。</w:t>
            </w:r>
          </w:p>
        </w:tc>
      </w:tr>
      <w:tr>
        <w:trPr>
          <w:trHeight w:val="462" w:hRule="atLeast"/>
        </w:trPr>
        <w:tc>
          <w:tcPr>
            <w:tcW w:w="8296" w:type="dxa"/>
            <w:vAlign w:val="center"/>
          </w:tcPr>
          <w:p>
            <w:pPr>
              <w:pStyle w:val="14"/>
              <w:widowControl w:val="0"/>
              <w:adjustRightInd w:val="0"/>
              <w:snapToGrid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LO</w:t>
            </w:r>
            <w:r>
              <w:rPr>
                <w:rFonts w:hint="default" w:cs="Times New Roman"/>
              </w:rPr>
              <w:t>4</w:t>
            </w:r>
            <w:r>
              <w:rPr>
                <w:rFonts w:hint="eastAsia" w:cs="Times New Roman"/>
                <w:lang w:val="en-US" w:eastAsia="zh-Hans"/>
              </w:rPr>
              <w:t>保教</w:t>
            </w:r>
            <w:r>
              <w:rPr>
                <w:rFonts w:hint="eastAsia" w:cs="Times New Roman"/>
              </w:rPr>
              <w:t>能力：具有人文科学素养，具备从事某项工作或专业的理论知识、实践能力。</w:t>
            </w:r>
          </w:p>
          <w:p>
            <w:pPr>
              <w:pStyle w:val="14"/>
              <w:widowControl w:val="0"/>
              <w:adjustRightInd w:val="0"/>
              <w:snapToGrid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①</w:t>
            </w: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熟悉健康、语言、社会、科学、艺术五大领域知识并能合理运用于综合活动中</w:t>
            </w:r>
            <w:r>
              <w:rPr>
                <w:rFonts w:hint="eastAsia" w:cs="Times New Roman"/>
              </w:rPr>
              <w:t>。</w:t>
            </w:r>
          </w:p>
        </w:tc>
      </w:tr>
      <w:tr>
        <w:tc>
          <w:tcPr>
            <w:tcW w:w="8296" w:type="dxa"/>
            <w:vAlign w:val="center"/>
          </w:tcPr>
          <w:p>
            <w:pPr>
              <w:pStyle w:val="14"/>
              <w:widowControl w:val="0"/>
              <w:adjustRightInd w:val="0"/>
              <w:snapToGrid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LO</w:t>
            </w:r>
            <w:r>
              <w:rPr>
                <w:rFonts w:hint="default" w:cs="Times New Roman"/>
              </w:rPr>
              <w:t>10</w:t>
            </w:r>
            <w:r>
              <w:rPr>
                <w:rFonts w:hint="eastAsia" w:cs="Times New Roman"/>
                <w:lang w:val="en-US" w:eastAsia="zh-Hans"/>
              </w:rPr>
              <w:t>交流合作</w:t>
            </w:r>
            <w:r>
              <w:rPr>
                <w:rFonts w:hint="eastAsia" w:cs="Times New Roman"/>
              </w:rPr>
              <w:t>：具备一定的信息素养，并能在工作中应用信息技术和工具解决问题。</w:t>
            </w:r>
          </w:p>
          <w:p>
            <w:pPr>
              <w:pStyle w:val="14"/>
              <w:widowControl w:val="0"/>
              <w:adjustRightInd w:val="0"/>
              <w:snapToGrid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②</w:t>
            </w: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掌握沟通合作的技能</w:t>
            </w:r>
            <w:r>
              <w:rPr>
                <w:rFonts w:hint="default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cs="Times New Roman"/>
              </w:rPr>
              <w:t>能够</w:t>
            </w: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集体活动中能主动担任自己的角色</w:t>
            </w:r>
            <w:r>
              <w:rPr>
                <w:rFonts w:hint="default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Times New Roman"/>
              </w:rPr>
              <w:t>使用适合的工具来搜集信息，并对信息加以分析、鉴别、判断与整合。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848"/>
        <w:gridCol w:w="820"/>
        <w:gridCol w:w="4679"/>
        <w:gridCol w:w="1349"/>
      </w:tblGrid>
      <w:tr>
        <w:trPr>
          <w:trHeight w:val="391" w:hRule="atLeast"/>
          <w:jc w:val="center"/>
        </w:trPr>
        <w:tc>
          <w:tcPr>
            <w:tcW w:w="78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4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20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7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rPr>
          <w:trHeight w:val="1062" w:hRule="atLeast"/>
          <w:jc w:val="center"/>
        </w:trPr>
        <w:tc>
          <w:tcPr>
            <w:tcW w:w="780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LO1</w:t>
            </w:r>
          </w:p>
        </w:tc>
        <w:tc>
          <w:tcPr>
            <w:tcW w:w="84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ascii="Times New Roman Regular" w:hAnsi="Times New Roman Regular" w:cs="Times New Roman Regular"/>
                <w:bCs/>
              </w:rPr>
            </w:pPr>
            <w:r>
              <w:rPr>
                <w:rFonts w:hint="default" w:ascii="Calibri" w:hAnsi="Calibri" w:cs="Calibri"/>
                <w:bCs/>
              </w:rPr>
              <w:t>③</w:t>
            </w:r>
          </w:p>
        </w:tc>
        <w:tc>
          <w:tcPr>
            <w:tcW w:w="820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H</w:t>
            </w:r>
          </w:p>
        </w:tc>
        <w:tc>
          <w:tcPr>
            <w:tcW w:w="4679" w:type="dxa"/>
            <w:vAlign w:val="center"/>
          </w:tcPr>
          <w:p>
            <w:pPr>
              <w:pStyle w:val="14"/>
              <w:jc w:val="left"/>
              <w:rPr>
                <w:rFonts w:ascii="Times New Roman Regular" w:hAnsi="Times New Roman Regular" w:cs="Times New Roman Regular"/>
                <w:bCs/>
              </w:rPr>
            </w:pPr>
            <w:r>
              <w:rPr>
                <w:rFonts w:hint="eastAsia"/>
                <w:bCs/>
              </w:rPr>
              <w:t>理解与践行学前教育核心价值，立志成为有理想信念、有道德情操、有扎实学识、有仁爱之心的好老师</w:t>
            </w:r>
            <w:r>
              <w:rPr>
                <w:rFonts w:hint="default"/>
                <w:bCs/>
              </w:rPr>
              <w:t>。</w:t>
            </w:r>
            <w:r>
              <w:rPr>
                <w:rFonts w:hint="eastAsia"/>
                <w:bCs/>
              </w:rPr>
              <w:t>明确与践行幼儿园教师保教行为规范，自觉遵守法律法规、校纪校规。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Times New Roman Regular" w:hAnsi="Times New Roman Regular" w:cs="Times New Roman Regular"/>
                <w:bCs/>
              </w:rPr>
            </w:pPr>
            <w:r>
              <w:rPr>
                <w:rFonts w:ascii="Times New Roman Regular" w:hAnsi="Times New Roman Regular" w:cs="Times New Roman Regular"/>
                <w:bCs/>
              </w:rPr>
              <w:t>100%</w:t>
            </w:r>
          </w:p>
        </w:tc>
      </w:tr>
      <w:tr>
        <w:trPr>
          <w:trHeight w:val="340" w:hRule="atLeast"/>
          <w:jc w:val="center"/>
        </w:trPr>
        <w:tc>
          <w:tcPr>
            <w:tcW w:w="780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/>
              </w:rPr>
            </w:pPr>
            <w:r>
              <w:rPr>
                <w:rFonts w:hint="eastAsia"/>
              </w:rPr>
              <w:t>LO</w:t>
            </w:r>
            <w:r>
              <w:rPr>
                <w:rFonts w:hint="default"/>
              </w:rPr>
              <w:t>4</w:t>
            </w:r>
          </w:p>
        </w:tc>
        <w:tc>
          <w:tcPr>
            <w:tcW w:w="84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ascii="Times New Roman Regular" w:hAnsi="Times New Roman Regular" w:cs="Times New Roman Regular"/>
                <w:bCs/>
              </w:rPr>
            </w:pPr>
            <w:r>
              <w:rPr>
                <w:rFonts w:ascii="Times New Roman Regular" w:hAnsi="Times New Roman Regular" w:cs="Times New Roman Regular"/>
                <w:bCs/>
              </w:rPr>
              <w:t>①</w:t>
            </w:r>
          </w:p>
        </w:tc>
        <w:tc>
          <w:tcPr>
            <w:tcW w:w="820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H</w:t>
            </w:r>
          </w:p>
        </w:tc>
        <w:tc>
          <w:tcPr>
            <w:tcW w:w="4679" w:type="dxa"/>
            <w:vAlign w:val="center"/>
          </w:tcPr>
          <w:p>
            <w:pPr>
              <w:pStyle w:val="14"/>
              <w:jc w:val="both"/>
              <w:rPr>
                <w:rFonts w:ascii="Times New Roman Regular" w:hAnsi="Times New Roman Regular" w:cs="Times New Roman Regular"/>
                <w:bCs/>
              </w:rPr>
            </w:pP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熟悉健康、语言、社会、科学、艺术五大领域知识并能合理运用于综合活动中。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Times New Roman Regular" w:hAnsi="Times New Roman Regular" w:cs="Times New Roman Regular"/>
                <w:bCs/>
              </w:rPr>
            </w:pPr>
            <w:r>
              <w:rPr>
                <w:rFonts w:hint="default" w:ascii="Times New Roman Regular" w:hAnsi="Times New Roman Regular" w:cs="Times New Roman Regular"/>
                <w:bCs/>
              </w:rPr>
              <w:t>60</w:t>
            </w:r>
            <w:r>
              <w:rPr>
                <w:rFonts w:ascii="Times New Roman Regular" w:hAnsi="Times New Roman Regular" w:cs="Times New Roman Regular"/>
                <w:bCs/>
              </w:rPr>
              <w:t>%</w:t>
            </w:r>
          </w:p>
        </w:tc>
      </w:tr>
      <w:tr>
        <w:trPr>
          <w:trHeight w:val="340" w:hRule="atLeast"/>
          <w:jc w:val="center"/>
        </w:trPr>
        <w:tc>
          <w:tcPr>
            <w:tcW w:w="78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84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820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679" w:type="dxa"/>
            <w:vAlign w:val="center"/>
          </w:tcPr>
          <w:p>
            <w:pPr>
              <w:pStyle w:val="14"/>
              <w:rPr>
                <w:rFonts w:ascii="Times New Roman Regular" w:hAnsi="Times New Roman Regular" w:cs="Times New Roman Regular"/>
                <w:bCs/>
              </w:rPr>
            </w:pP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具备创设有准备的环境的意识和能力，具有实施融合教育的意识，有针对性地指导学习过程</w:t>
            </w:r>
            <w:r>
              <w:rPr>
                <w:rFonts w:ascii="Times New Roman Regular" w:hAnsi="Times New Roman Regular" w:cs="Times New Roman Regular"/>
                <w:bCs/>
              </w:rPr>
              <w:t>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Times New Roman Regular" w:hAnsi="Times New Roman Regular" w:cs="Times New Roman Regular"/>
                <w:bCs/>
              </w:rPr>
            </w:pPr>
            <w:r>
              <w:rPr>
                <w:rFonts w:hint="default" w:ascii="Times New Roman Regular" w:hAnsi="Times New Roman Regular" w:cs="Times New Roman Regular"/>
                <w:bCs/>
              </w:rPr>
              <w:t>2</w:t>
            </w:r>
            <w:r>
              <w:rPr>
                <w:rFonts w:ascii="Times New Roman Regular" w:hAnsi="Times New Roman Regular" w:cs="Times New Roman Regular"/>
                <w:bCs/>
              </w:rPr>
              <w:t>0%</w:t>
            </w:r>
          </w:p>
        </w:tc>
      </w:tr>
      <w:tr>
        <w:trPr>
          <w:trHeight w:val="340" w:hRule="atLeast"/>
          <w:jc w:val="center"/>
        </w:trPr>
        <w:tc>
          <w:tcPr>
            <w:tcW w:w="78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4"/>
            </w:pPr>
          </w:p>
        </w:tc>
        <w:tc>
          <w:tcPr>
            <w:tcW w:w="84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ascii="Times New Roman Regular" w:hAnsi="Times New Roman Regular" w:cs="Times New Roman Regular"/>
                <w:bCs/>
              </w:rPr>
            </w:pPr>
          </w:p>
        </w:tc>
        <w:tc>
          <w:tcPr>
            <w:tcW w:w="820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679" w:type="dxa"/>
            <w:vAlign w:val="center"/>
          </w:tcPr>
          <w:p>
            <w:pPr>
              <w:pStyle w:val="14"/>
              <w:jc w:val="left"/>
              <w:rPr>
                <w:rFonts w:ascii="Times New Roman Regular" w:hAnsi="Times New Roman Regular" w:cs="Times New Roman Regular"/>
                <w:bCs/>
              </w:rPr>
            </w:pPr>
            <w:r>
              <w:rPr>
                <w:rFonts w:hint="eastAsia" w:hAnsi="楷体"/>
                <w:bCs/>
                <w:color w:val="auto"/>
              </w:rPr>
              <w:t>具有运用多种方法</w:t>
            </w:r>
            <w:r>
              <w:rPr>
                <w:rFonts w:hint="eastAsia" w:hAnsi="楷体"/>
                <w:bCs/>
                <w:color w:val="auto"/>
                <w:lang w:val="en-US" w:eastAsia="zh-CN"/>
              </w:rPr>
              <w:t>评估并推进幼儿园活动的能力，具有运用多元视角和方法评估并支持儿童成长发展的能力</w:t>
            </w:r>
            <w:r>
              <w:rPr>
                <w:rFonts w:ascii="Times New Roman Regular" w:hAnsi="Times New Roman Regular" w:cs="Times New Roman Regular"/>
              </w:rPr>
              <w:t>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Times New Roman Regular" w:hAnsi="Times New Roman Regular" w:cs="Times New Roman Regular"/>
                <w:bCs/>
              </w:rPr>
            </w:pPr>
            <w:r>
              <w:rPr>
                <w:rFonts w:ascii="Times New Roman Regular" w:hAnsi="Times New Roman Regular" w:cs="Times New Roman Regular"/>
                <w:bCs/>
              </w:rPr>
              <w:t>20%</w:t>
            </w:r>
          </w:p>
        </w:tc>
      </w:tr>
      <w:tr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4"/>
            </w:pPr>
            <w:r>
              <w:rPr>
                <w:rFonts w:hint="eastAsia"/>
              </w:rPr>
              <w:t>LO7</w:t>
            </w:r>
          </w:p>
        </w:tc>
        <w:tc>
          <w:tcPr>
            <w:tcW w:w="848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ascii="Times New Roman Regular" w:hAnsi="Times New Roman Regular" w:cs="Times New Roman Regular"/>
                <w:bCs/>
              </w:rPr>
            </w:pPr>
            <w:r>
              <w:rPr>
                <w:rFonts w:ascii="Times New Roman Regular" w:hAnsi="Times New Roman Regular" w:cs="Times New Roman Regular"/>
                <w:bCs/>
              </w:rPr>
              <w:t>②</w:t>
            </w:r>
          </w:p>
        </w:tc>
        <w:tc>
          <w:tcPr>
            <w:tcW w:w="820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M</w:t>
            </w:r>
          </w:p>
        </w:tc>
        <w:tc>
          <w:tcPr>
            <w:tcW w:w="4679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掌握沟通合作的技能</w:t>
            </w:r>
            <w:r>
              <w:rPr>
                <w:rFonts w:ascii="Times New Roman Regular" w:hAnsi="Times New Roman Regular" w:cs="Times New Roman Regular"/>
              </w:rPr>
              <w:t>。</w:t>
            </w:r>
          </w:p>
        </w:tc>
        <w:tc>
          <w:tcPr>
            <w:tcW w:w="134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Times New Roman Regular" w:hAnsi="Times New Roman Regular" w:cs="Times New Roman Regular"/>
                <w:bCs/>
              </w:rPr>
            </w:pPr>
            <w:r>
              <w:rPr>
                <w:rFonts w:ascii="Times New Roman Regular" w:hAnsi="Times New Roman Regular" w:cs="Times New Roman Regular"/>
                <w:bCs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c>
          <w:tcPr>
            <w:tcW w:w="8296" w:type="dxa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一、</w:t>
            </w:r>
            <w:r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新媒体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运营概述</w:t>
            </w:r>
            <w:r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学时）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1.了解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2.了解新媒体运营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本单元介绍新媒体的基本概念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、特征、发展趋势和表现形式；新媒体运营人员的必备素质、思维模式，新媒体运营的流程和策略。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学生需要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了解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新媒体的概念、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特征、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发展历史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和表现形式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。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理解新媒体人员的必备素养、思维模式、新媒体运营的流程和策略。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</w:t>
            </w:r>
            <w:r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重点：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新媒体及新媒体运营的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概念、特征、趋势和表现形式，运营人员的必备素质、思维模式，运营的流程和策略。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bCs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新媒体运营的流程和策略。</w:t>
            </w:r>
          </w:p>
          <w:p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tr>
        <w:trPr>
          <w:trHeight w:val="2731" w:hRule="atLeast"/>
        </w:trPr>
        <w:tc>
          <w:tcPr>
            <w:tcW w:w="8296" w:type="dxa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二、</w:t>
            </w:r>
            <w:r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新媒体运营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的定位</w:t>
            </w:r>
            <w:r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（2学时）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新媒体运营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的用户定位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2.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新媒体运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的平台定位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3.新媒体运营的内容定位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新媒体运营的前提——定位。包含用户定位、平台定位和内容定位。要求学生需要理解和掌握新媒体运营各要素的定位方法，合理制定运营计划，实施运营策略。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</w:t>
            </w:r>
            <w:r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重点：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新媒体运营的平台定位和内容定位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新媒体运营各要素的定位方法，定位的步骤与核心。</w:t>
            </w:r>
          </w:p>
          <w:p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tr>
        <w:trPr>
          <w:trHeight w:val="1631" w:hRule="atLeast"/>
        </w:trPr>
        <w:tc>
          <w:tcPr>
            <w:tcW w:w="8296" w:type="dxa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三、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  <w:lang w:val="en-US" w:eastAsia="zh-Hans"/>
              </w:rPr>
              <w:t>新媒体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运营（4课时）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1.个人号运营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2.微信公众号运营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微信个人号运营策略，包含个人号的设置，好友添加，好友管理，好友互动，朋友圈的维护；微信公众号的运营策略，包含公众号的选择、设置，推文写作、排版与推送以及粉丝获取与维护。学生需要掌握微信个人号与公众号的运营方法与技巧，并能尝试完成微信公众号的申请、设置和文章推送流程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了解用户运营的具体工作，熟悉用户体系的搭建，理解用户运营的九大策略。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教学重点：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微信公众号的运营方法与技巧。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微信公众号文章的写作、排版与推送。</w:t>
            </w:r>
          </w:p>
        </w:tc>
      </w:tr>
      <w:tr>
        <w:trPr>
          <w:trHeight w:val="2731" w:hRule="atLeast"/>
        </w:trPr>
        <w:tc>
          <w:tcPr>
            <w:tcW w:w="8296" w:type="dxa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四、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  <w:lang w:val="en-US" w:eastAsia="zh-Hans"/>
              </w:rPr>
              <w:t>图文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运营（4课时）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  <w:lang w:val="en-US" w:eastAsia="zh-Hans"/>
              </w:rPr>
              <w:t>图文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账号的设置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2.内容运营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3.粉丝运营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账号的设置包含账号类型、名称、头像、账号认证和打造运营矩阵；内容运营包含微博内容的表现形式、写作方法、运营技巧；粉丝运营包含粉丝获取与维护。学生需要掌握账号认证方法、打造运营矩阵的概念，内容的运营方法以及与粉丝的互动。能够尝试完成账号的运营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教学重点：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内容的表现形式、写作方法和运营技巧、粉丝的获取和维护。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的写作方法、运营技巧，粉丝的获取和维护。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</w:p>
        </w:tc>
      </w:tr>
      <w:tr>
        <w:trPr>
          <w:trHeight w:val="4262" w:hRule="atLeast"/>
        </w:trPr>
        <w:tc>
          <w:tcPr>
            <w:tcW w:w="8296" w:type="dxa"/>
          </w:tcPr>
          <w:p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社群运营</w:t>
            </w:r>
          </w:p>
          <w:p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了解社群与社群运营</w:t>
            </w:r>
          </w:p>
          <w:p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创建一个完整社群</w:t>
            </w:r>
          </w:p>
          <w:p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策划并开展社群活动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社群运营的基本概念包含社群经济、社群运营以及其必备条件；如何创建一个完整的社群包含社群的名称、口号、视觉标识、明确社群结构以及制定社群规则；如何策划并开展社群活动包含社群分享、交流、福利、打卡、线下活动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教学重点：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创建一个完整社群的方法以及社群活动的开展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社群结构的明确、规则的制定以及社群活动的策划和开展。</w:t>
            </w:r>
          </w:p>
        </w:tc>
      </w:tr>
      <w:tr>
        <w:trPr>
          <w:trHeight w:val="1333" w:hRule="atLeast"/>
        </w:trPr>
        <w:tc>
          <w:tcPr>
            <w:tcW w:w="8296" w:type="dxa"/>
          </w:tcPr>
          <w:p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音频、视频和直播运营</w:t>
            </w:r>
          </w:p>
          <w:p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音频运营</w:t>
            </w:r>
          </w:p>
          <w:p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视频运营</w:t>
            </w:r>
          </w:p>
          <w:p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直播运营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音频运营的平台、运营方式、策略；视频运营的表现形式、平台、视频的制作与发布、运营策略；直播运营的特点、表现形式、平台、直播活动的运营设计、用户的开发和维护。要求学生了解音频、视频、直播运营的概念，尝试完成音频、视频或直播运营的实践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教学重点：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视频运营的方法和技巧；直播运营的方法和技巧。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视频运营实操、直播运营实操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</w:p>
        </w:tc>
      </w:tr>
      <w:tr>
        <w:trPr>
          <w:trHeight w:val="3939" w:hRule="atLeast"/>
        </w:trPr>
        <w:tc>
          <w:tcPr>
            <w:tcW w:w="8296" w:type="dxa"/>
          </w:tcPr>
          <w:p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其他新媒体运营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APP运营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二维码运营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知识运营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本单元介绍APP运营的特点、推广方式、运营策略；二维码运营的优势、方式以及注意事项；知识运营的优势、平台及策略。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教学重点：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APP运营的方法与策略；知识运营的方法与策略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App运营的策略；知识运营的策略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</w:p>
        </w:tc>
      </w:tr>
      <w:tr>
        <w:trPr>
          <w:trHeight w:val="4711" w:hRule="atLeast"/>
        </w:trPr>
        <w:tc>
          <w:tcPr>
            <w:tcW w:w="8296" w:type="dxa"/>
          </w:tcPr>
          <w:p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新媒体数据分析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了解数据分析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微信公众号数据分析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微博数据分析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小红书数据分析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抖音数据分析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知识点和能力要求：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本单元介绍数据分析的意义、方法和误区；包含微信公众号、微博、小红书、抖音在内的各平台数据分析方法。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教学重点：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公众号、小红书、抖音平台的数据分析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 w:val="21"/>
                <w:szCs w:val="21"/>
              </w:rPr>
              <w:t>教学难点：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数据分析方法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bCs/>
                <w:color w:val="000000"/>
                <w:sz w:val="21"/>
                <w:szCs w:val="21"/>
              </w:rPr>
            </w:pPr>
          </w:p>
        </w:tc>
      </w:tr>
      <w:bookmarkEnd w:id="0"/>
      <w:bookmarkEnd w:id="1"/>
    </w:tbl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 xml:space="preserve">第一单元 </w:t>
            </w:r>
          </w:p>
          <w:p>
            <w:pPr>
              <w:pStyle w:val="14"/>
            </w:pPr>
            <w:r>
              <w:rPr>
                <w:rFonts w:hint="eastAsia"/>
              </w:rPr>
              <w:t>新媒体运营概述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第二单元</w:t>
            </w:r>
          </w:p>
          <w:p>
            <w:pPr>
              <w:pStyle w:val="14"/>
            </w:pPr>
            <w:r>
              <w:rPr>
                <w:rFonts w:hint="eastAsia"/>
              </w:rPr>
              <w:t>新媒体运营的定位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第三单元</w:t>
            </w:r>
          </w:p>
          <w:p>
            <w:pPr>
              <w:pStyle w:val="14"/>
            </w:pPr>
            <w:r>
              <w:rPr>
                <w:rFonts w:hint="eastAsia"/>
              </w:rPr>
              <w:t>微信运营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第四单元</w:t>
            </w:r>
          </w:p>
          <w:p>
            <w:pPr>
              <w:pStyle w:val="14"/>
            </w:pPr>
            <w:r>
              <w:rPr>
                <w:rFonts w:hint="eastAsia"/>
              </w:rPr>
              <w:t>微博运营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第五单元</w:t>
            </w:r>
          </w:p>
          <w:p>
            <w:pPr>
              <w:pStyle w:val="14"/>
            </w:pPr>
            <w:r>
              <w:rPr>
                <w:rFonts w:hint="eastAsia"/>
              </w:rPr>
              <w:t>社群运营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 xml:space="preserve">第六单元 </w:t>
            </w:r>
          </w:p>
          <w:p>
            <w:pPr>
              <w:pStyle w:val="14"/>
            </w:pPr>
            <w:r>
              <w:rPr>
                <w:rFonts w:hint="eastAsia"/>
              </w:rPr>
              <w:t>音频、视频和直播运营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第七单元</w:t>
            </w:r>
          </w:p>
          <w:p>
            <w:pPr>
              <w:pStyle w:val="14"/>
            </w:pPr>
            <w:r>
              <w:rPr>
                <w:rFonts w:hint="eastAsia"/>
              </w:rPr>
              <w:t>其他新媒体运营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pStyle w:val="14"/>
            </w:pPr>
            <w:r>
              <w:rPr>
                <w:rFonts w:hint="eastAsia"/>
              </w:rPr>
              <w:t>第八单元</w:t>
            </w:r>
          </w:p>
          <w:p>
            <w:pPr>
              <w:pStyle w:val="14"/>
            </w:pPr>
            <w:r>
              <w:rPr>
                <w:rFonts w:hint="eastAsia"/>
              </w:rPr>
              <w:t>新媒体数据分析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 xml:space="preserve">第一单元 </w:t>
            </w:r>
          </w:p>
          <w:p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新媒体运营概述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教师课堂教授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综述报告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第二单元</w:t>
            </w:r>
          </w:p>
          <w:p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新媒体运营的定位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教师讲授，学生结合课堂讨论和课下阅读学习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综述报告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第三单元</w:t>
            </w:r>
          </w:p>
          <w:p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微信运营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教师讲授，布置任务，说明完成方式，案例解析；学生实践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设计作品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第四单元</w:t>
            </w:r>
          </w:p>
          <w:p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微博运营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教师讲授，布置任务，说明完成方式，案例解析；学生实践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设计作品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第五单元</w:t>
            </w:r>
          </w:p>
          <w:p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社群运营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教师讲授，布置任务，说明完成方式，案例解析；学生实践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设计作品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 xml:space="preserve">第六单元 </w:t>
            </w:r>
          </w:p>
          <w:p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音频、视频和直播运营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教师讲授，布置任务，说明完成方式，案例解析；学生实践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设计作品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第七单元</w:t>
            </w:r>
          </w:p>
          <w:p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其他新媒体运营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教师讲授，学生结合课堂讨论和课下阅读学习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综述报告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第八单元</w:t>
            </w:r>
          </w:p>
          <w:p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新媒体数据分析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教师讲授，学生收集数据进行分析，课堂报告</w:t>
            </w:r>
          </w:p>
        </w:tc>
        <w:tc>
          <w:tcPr>
            <w:tcW w:w="1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综述报告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648"/>
        <w:gridCol w:w="2099"/>
        <w:gridCol w:w="4078"/>
        <w:gridCol w:w="816"/>
        <w:gridCol w:w="833"/>
      </w:tblGrid>
      <w:tr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8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公众号运营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要求学生掌握微信公众号的运营方法与技巧，并能尝试完成微信公众号的申请、设置和文章推送。</w:t>
            </w: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微博运营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要求学生掌握微博账号认证方法、如何打造运营矩阵，内容的运营方法以及与粉丝互动。尝试完成微博账号的运营。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8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社群运营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要求学生掌握创建一个完整的社群包含的社群名称、口号、视觉标识、明确社群结构以及制定社群规则；如何策划并开展社群活动包含社群分享、交流、福利、打卡、线下活动。</w:t>
            </w: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音频/视频/直播运营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sz w:val="21"/>
                <w:szCs w:val="21"/>
              </w:rPr>
              <w:t>要求学生了解音频、视频、直播运营的概念，尝试完成音频或视频或直播运营的实操。</w:t>
            </w: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首先，在新媒体运营的概念章节讲授阶段强调法律法规，引导学生在遵守法律法规的底线原则下开展新媒体运营工作。</w:t>
            </w:r>
          </w:p>
          <w:p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其次，在不同平台的运营方法讲解部分，通过新闻和反面案例普及哪些内容可以传播，哪些内容禁止传播，防止学生因为不知道而走歪路。通过法律法规和底线原则的普及，将课程落实到思政内容上，引导学生做一个守法、敬岗的人。</w:t>
            </w:r>
          </w:p>
          <w:p>
            <w:pPr>
              <w:pStyle w:val="14"/>
              <w:widowControl w:val="0"/>
              <w:jc w:val="left"/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snapToGrid w:val="0"/>
              <w:spacing w:line="288" w:lineRule="auto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平台运营策划表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snapToGrid w:val="0"/>
              <w:spacing w:line="288" w:lineRule="auto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新媒体脚本拆解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snapToGrid w:val="0"/>
              <w:spacing w:line="288" w:lineRule="auto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产品实践运营报告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 Regular" w:hAnsi="Times New Roman Regular" w:cs="Times New Roman Regular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新媒体策划方案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BBDCD"/>
    <w:multiLevelType w:val="singleLevel"/>
    <w:tmpl w:val="BFDBBDC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 Regular" w:hAnsi="Times New Roman Regular" w:cs="Times New Roman Regular"/>
      </w:rPr>
    </w:lvl>
  </w:abstractNum>
  <w:abstractNum w:abstractNumId="1">
    <w:nsid w:val="F94DAAE3"/>
    <w:multiLevelType w:val="singleLevel"/>
    <w:tmpl w:val="F94DAA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CF525A2"/>
    <w:multiLevelType w:val="singleLevel"/>
    <w:tmpl w:val="FCF525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FBF0972"/>
    <w:multiLevelType w:val="singleLevel"/>
    <w:tmpl w:val="6FBF09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77F3C52"/>
    <w:multiLevelType w:val="singleLevel"/>
    <w:tmpl w:val="777F3C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1ZTFjM2UyN2IzOGU3YzlhNzNhYTFjZDRjYmNjNW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4042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50CE0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3753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C5FCE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4FC6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7770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3FBAF17"/>
    <w:rsid w:val="1DF9CBB2"/>
    <w:rsid w:val="1EAF71D0"/>
    <w:rsid w:val="1EB6D707"/>
    <w:rsid w:val="1FB2BD7C"/>
    <w:rsid w:val="22987C80"/>
    <w:rsid w:val="24192CCC"/>
    <w:rsid w:val="271B6794"/>
    <w:rsid w:val="2FC74707"/>
    <w:rsid w:val="33D71238"/>
    <w:rsid w:val="33F71A0C"/>
    <w:rsid w:val="36BD38AE"/>
    <w:rsid w:val="37BF08E6"/>
    <w:rsid w:val="38BF49D8"/>
    <w:rsid w:val="39A66CD4"/>
    <w:rsid w:val="3B77AF94"/>
    <w:rsid w:val="3CD52CE1"/>
    <w:rsid w:val="3FFB1854"/>
    <w:rsid w:val="3FFF60C1"/>
    <w:rsid w:val="410F2E6A"/>
    <w:rsid w:val="4430136C"/>
    <w:rsid w:val="4AB0382B"/>
    <w:rsid w:val="569868B5"/>
    <w:rsid w:val="57FE9D1A"/>
    <w:rsid w:val="5E5FB553"/>
    <w:rsid w:val="5FAE57D1"/>
    <w:rsid w:val="5FF61238"/>
    <w:rsid w:val="5FF7E2A3"/>
    <w:rsid w:val="5FFBA531"/>
    <w:rsid w:val="5FFFB9A6"/>
    <w:rsid w:val="611F6817"/>
    <w:rsid w:val="65DDD4EC"/>
    <w:rsid w:val="66CA1754"/>
    <w:rsid w:val="69F9A98D"/>
    <w:rsid w:val="6B7FACD7"/>
    <w:rsid w:val="6F1E65D4"/>
    <w:rsid w:val="6F266C86"/>
    <w:rsid w:val="6F5042C2"/>
    <w:rsid w:val="6FA432BD"/>
    <w:rsid w:val="6FB31775"/>
    <w:rsid w:val="6FC38227"/>
    <w:rsid w:val="6FDFF55B"/>
    <w:rsid w:val="6FFB3651"/>
    <w:rsid w:val="70244208"/>
    <w:rsid w:val="72C7723A"/>
    <w:rsid w:val="72D15F2F"/>
    <w:rsid w:val="737F8EB1"/>
    <w:rsid w:val="73F74783"/>
    <w:rsid w:val="74316312"/>
    <w:rsid w:val="764FCFD7"/>
    <w:rsid w:val="77E72F3B"/>
    <w:rsid w:val="77F90D06"/>
    <w:rsid w:val="77FF7564"/>
    <w:rsid w:val="780F13C8"/>
    <w:rsid w:val="79FFB1C6"/>
    <w:rsid w:val="7B8F8EE1"/>
    <w:rsid w:val="7C385448"/>
    <w:rsid w:val="7CB3663D"/>
    <w:rsid w:val="7CCB73B8"/>
    <w:rsid w:val="7E4C27ED"/>
    <w:rsid w:val="7ED968A2"/>
    <w:rsid w:val="7F6D2C95"/>
    <w:rsid w:val="7F7D0416"/>
    <w:rsid w:val="7FFF66E0"/>
    <w:rsid w:val="9DFF7C60"/>
    <w:rsid w:val="AB642CAB"/>
    <w:rsid w:val="ABDF6A6F"/>
    <w:rsid w:val="B6FE7AF6"/>
    <w:rsid w:val="B7ECF9DF"/>
    <w:rsid w:val="B7FF0F65"/>
    <w:rsid w:val="B81B21A0"/>
    <w:rsid w:val="BEEF8542"/>
    <w:rsid w:val="BEFA797F"/>
    <w:rsid w:val="BFDFF1C8"/>
    <w:rsid w:val="BFF99D47"/>
    <w:rsid w:val="C52E7825"/>
    <w:rsid w:val="D7E30CA7"/>
    <w:rsid w:val="DB9F0FBB"/>
    <w:rsid w:val="DC4F3606"/>
    <w:rsid w:val="DF18E13A"/>
    <w:rsid w:val="DFBF36D8"/>
    <w:rsid w:val="E7D44B83"/>
    <w:rsid w:val="EB9D0322"/>
    <w:rsid w:val="EEFD57FE"/>
    <w:rsid w:val="EFF3A2FA"/>
    <w:rsid w:val="F33B26A0"/>
    <w:rsid w:val="F3B748E9"/>
    <w:rsid w:val="F7F791ED"/>
    <w:rsid w:val="FBC4E61B"/>
    <w:rsid w:val="FDDFB6F5"/>
    <w:rsid w:val="FE690DEA"/>
    <w:rsid w:val="FF3EE25B"/>
    <w:rsid w:val="FF7F7B34"/>
    <w:rsid w:val="FFEDD2E1"/>
    <w:rsid w:val="FFEF89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  <w:style w:type="character" w:styleId="22">
    <w:name w:val="Placeholder Text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685</Words>
  <Characters>3906</Characters>
  <Lines>32</Lines>
  <Paragraphs>9</Paragraphs>
  <TotalTime>35</TotalTime>
  <ScaleCrop>false</ScaleCrop>
  <LinksUpToDate>false</LinksUpToDate>
  <CharactersWithSpaces>4582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2023-11-23T18:39:00Z</dcterms:created>
  <dc:creator>juvg</dc:creator>
  <cp:lastModifiedBy>罗铭晨Kris</cp:lastModifiedBy>
  <cp:lastPrinted>2023-11-23T16:52:00Z</cp:lastPrinted>
  <dcterms:modified xsi:type="dcterms:W3CDTF">2025-02-11T10:34:11Z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300C58F97132EE3550B2AA67BB96BF26</vt:lpwstr>
  </property>
</Properties>
</file>