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6A7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09C78A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3BF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CB1E6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AD48F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小学数学临床案例研究</w:t>
            </w:r>
          </w:p>
        </w:tc>
      </w:tr>
      <w:tr w14:paraId="573D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27F7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01DEE8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Clinical Case Study of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Primary School Chinese Language</w:t>
            </w:r>
          </w:p>
        </w:tc>
      </w:tr>
      <w:tr w14:paraId="0FB9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ECF2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4233D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2130092</w:t>
            </w:r>
          </w:p>
        </w:tc>
        <w:tc>
          <w:tcPr>
            <w:tcW w:w="2126" w:type="dxa"/>
            <w:gridSpan w:val="2"/>
            <w:vAlign w:val="center"/>
          </w:tcPr>
          <w:p w14:paraId="79EB77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DAC16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594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50B30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27C5DE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2B33DA2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558323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CE6B19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B4976E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1B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DE37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7F322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8FA645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B1C07F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级本科三年级</w:t>
            </w:r>
          </w:p>
        </w:tc>
      </w:tr>
      <w:tr w14:paraId="4EC4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7014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04D9A6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0E92BC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8EF888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BB1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CC13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9987D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5D9F45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DE662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EE7EF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AF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E40B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DF761D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小学</w:t>
            </w:r>
            <w:r>
              <w:rPr>
                <w:rFonts w:hint="eastAsia"/>
                <w:lang w:val="en-US" w:eastAsia="zh-CN"/>
              </w:rPr>
              <w:t>语文</w:t>
            </w:r>
            <w:r>
              <w:rPr>
                <w:rFonts w:hint="eastAsia"/>
              </w:rPr>
              <w:t>课程标准解读与教材研究、小学</w:t>
            </w:r>
            <w:r>
              <w:rPr>
                <w:rFonts w:hint="eastAsia"/>
                <w:lang w:val="en-US" w:eastAsia="zh-CN"/>
              </w:rPr>
              <w:t>语文</w:t>
            </w:r>
            <w:r>
              <w:rPr>
                <w:rFonts w:hint="eastAsia"/>
              </w:rPr>
              <w:t>教学法、教育学原理、教育心理学</w:t>
            </w:r>
          </w:p>
        </w:tc>
      </w:tr>
      <w:tr w14:paraId="2674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E693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C3BF76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临床案例研究是小学教育专业，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学科方向的一门专业必修课。旨在帮助学生灵活应用自身的教育学理论、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学科、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语教</w:t>
            </w:r>
            <w:r>
              <w:rPr>
                <w:rFonts w:hint="eastAsia"/>
                <w:color w:val="000000"/>
                <w:sz w:val="20"/>
                <w:szCs w:val="20"/>
              </w:rPr>
              <w:t>法等相关知识进行课堂教学案例分析，并以此发展学生的教学实践知识。帮助学生将理论和实践进行联系，进一步为将来的职业发展做好准备。</w:t>
            </w:r>
          </w:p>
          <w:p w14:paraId="2F29215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本课程为校企合作课程，在教学过程中将会聘请优秀的小学一线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教师参与教学设计和授课，为学生提供丰富的一线教学经验。</w:t>
            </w:r>
          </w:p>
          <w:p w14:paraId="0349DE2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本课程分为两个部分，第一部分为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教学临床案例分析的理论学习，主要涉及临床数据收集、数据分析方法等。第二部分为课堂观察实践，学生近距离观察一线教学过程，并根据所学习的理论知识对课堂进行分析。</w:t>
            </w:r>
          </w:p>
        </w:tc>
      </w:tr>
      <w:tr w14:paraId="67C0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A5508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ACEF7F2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本课程为小学教育专业（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方向）本科生的专业选修课，要求学生已经具备一定的教育学、心理学、教学法等理论知识，同时已经完成《小学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课程标准解读与教材研究》和《小学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教学法》等课程的学习，对小学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教育教学有一定的认识，并熟悉小学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0"/>
                <w:szCs w:val="20"/>
              </w:rPr>
              <w:t>教材和课程标准。</w:t>
            </w:r>
          </w:p>
        </w:tc>
      </w:tr>
      <w:tr w14:paraId="616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4141E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665DB6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486EB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FAE4DE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C34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52EB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AD2837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3A470F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73A42A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076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2C09E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D45EBC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32CFDF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4CDF4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8DAEAA8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509F93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27A828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543DE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EE10E2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4D04B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588B88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6333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7AF6308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B5FFE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C92464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理解教学反思的不同视角，</w:t>
            </w:r>
            <w:r>
              <w:rPr>
                <w:rFonts w:hint="eastAsia" w:ascii="仿宋" w:hAnsi="仿宋" w:eastAsia="仿宋"/>
              </w:rPr>
              <w:t>能够从学生、教学、学科理解等不同角度反思、分析教学过程中的问题</w:t>
            </w:r>
          </w:p>
        </w:tc>
      </w:tr>
      <w:tr w14:paraId="5C899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4DE54C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AE544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4A28C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</w:rPr>
              <w:t>能综合运用教育学原理、教学法等知识，基于课标和教材分析小学数学课堂教学案例（教学目标、教学活动设计、评价方式等）</w:t>
            </w:r>
          </w:p>
        </w:tc>
      </w:tr>
      <w:tr w14:paraId="57282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90E08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23DD6C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BC0540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</w:rPr>
              <w:t>学会通过教学评价、案例分析等方式进行教学反思，对教学活动设计进行改进</w:t>
            </w:r>
          </w:p>
        </w:tc>
      </w:tr>
      <w:tr w14:paraId="16B56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95720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A6DD7A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A54B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36E2D0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</w:rPr>
              <w:t>能够通过教学设计和案例分析，理解数学“立德树人”的育人价值</w:t>
            </w:r>
          </w:p>
        </w:tc>
      </w:tr>
    </w:tbl>
    <w:p w14:paraId="7C6397A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5D16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511EB5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：教学能力</w:t>
            </w:r>
            <w:r>
              <w:rPr>
                <w:rFonts w:hint="eastAsia"/>
                <w:bCs/>
              </w:rPr>
              <w:t>。</w:t>
            </w:r>
            <w:r>
              <w:rPr>
                <w:bCs/>
              </w:rPr>
              <w:t>理解教师是学生学习和发展的促进者</w:t>
            </w:r>
            <w:r>
              <w:rPr>
                <w:rFonts w:hint="eastAsia"/>
                <w:bCs/>
              </w:rPr>
              <w:t>。</w:t>
            </w:r>
            <w:r>
              <w:rPr>
                <w:bCs/>
              </w:rPr>
              <w:t>依据学科课程标准，在教育实践中能够以学习者为中心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创设适合的学习环境，指导学习过程，具备一定的课程整合与综合性学习设计与实施能力</w:t>
            </w:r>
            <w:r>
              <w:rPr>
                <w:rFonts w:hint="eastAsia"/>
                <w:bCs/>
              </w:rPr>
              <w:t>、以及初步的教育教学研究能力。</w:t>
            </w:r>
          </w:p>
          <w:p w14:paraId="59E5D38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教学实施：具备“三字一话” 、多媒体课件制作等教学基本功，系统掌握并灵活运用课堂教学基本技能，具备一定的教学组织和课堂管理的策略和技能，能够科学创设教学情境，能够</w:t>
            </w:r>
            <w:r>
              <w:rPr>
                <w:bCs/>
              </w:rPr>
              <w:t>搜集</w:t>
            </w:r>
            <w:r>
              <w:rPr>
                <w:rFonts w:hint="eastAsia"/>
                <w:bCs/>
              </w:rPr>
              <w:t>、加工</w:t>
            </w:r>
            <w:r>
              <w:rPr>
                <w:bCs/>
              </w:rPr>
              <w:t>信息，</w:t>
            </w:r>
            <w:r>
              <w:rPr>
                <w:rFonts w:hint="eastAsia"/>
                <w:bCs/>
              </w:rPr>
              <w:t>运用现代信息技术手段开展教学活动。</w:t>
            </w:r>
          </w:p>
        </w:tc>
      </w:tr>
      <w:tr w14:paraId="4EFCD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A01D78">
            <w:pPr>
              <w:pStyle w:val="14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LO10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反思研究</w:t>
            </w:r>
            <w:r>
              <w:rPr>
                <w:rFonts w:hint="eastAsia"/>
                <w:b/>
                <w:bCs/>
              </w:rPr>
              <w:t>。</w:t>
            </w:r>
            <w:r>
              <w:rPr>
                <w:bCs/>
              </w:rPr>
              <w:t>理解教师是反思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实践者</w:t>
            </w:r>
            <w:r>
              <w:rPr>
                <w:rFonts w:hint="eastAsia"/>
                <w:bCs/>
              </w:rPr>
              <w:t>，初步掌握和运用反思方法和技能，研究、解决教育教学实践问题。</w:t>
            </w:r>
          </w:p>
          <w:p w14:paraId="09A6A6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反思实践：具有一定创新意识，掌握教育教学反思的基本方法、策略和技能，有主动收集、分析、总结相关信息的能力，养成钻研教学工作的习惯，对教育教学实践活动进行有效的自我诊断，改进教学工作。</w:t>
            </w:r>
          </w:p>
        </w:tc>
      </w:tr>
      <w:tr w14:paraId="78C74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B3BA9F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问题解决：</w:t>
            </w:r>
            <w:r>
              <w:rPr>
                <w:bCs/>
              </w:rPr>
              <w:t>有质疑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创新意识</w:t>
            </w:r>
            <w:r>
              <w:rPr>
                <w:rFonts w:hint="eastAsia"/>
                <w:bCs/>
              </w:rPr>
              <w:t>和团队</w:t>
            </w:r>
            <w:r>
              <w:rPr>
                <w:bCs/>
              </w:rPr>
              <w:t>精神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运用批判性思维方法，养成从学生学习、课程教学、学科理解等不同角度反思分析问题的习惯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掌握教育实践研究的方法和指导学生探究学习的技能，</w:t>
            </w:r>
            <w:r>
              <w:rPr>
                <w:rFonts w:hint="eastAsia"/>
                <w:bCs/>
              </w:rPr>
              <w:t>研究并解决小学教育教学工作中的问题。</w:t>
            </w:r>
          </w:p>
        </w:tc>
      </w:tr>
    </w:tbl>
    <w:p w14:paraId="6BB4211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F39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383D1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80BCF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84BD0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65CDA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413DC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167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3FF80E">
            <w:pPr>
              <w:pStyle w:val="14"/>
            </w:pPr>
            <w:r>
              <w:t>LO4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14635BF">
            <w:pPr>
              <w:pStyle w:val="14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455EC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4240335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能综合运用教育学原理、教学法等知识，基于课标和教材分析小学</w:t>
            </w:r>
            <w:r>
              <w:rPr>
                <w:rFonts w:hint="eastAsia" w:ascii="仿宋" w:hAnsi="仿宋" w:eastAsia="仿宋"/>
                <w:lang w:val="en-US" w:eastAsia="zh-CN"/>
              </w:rPr>
              <w:t>语文</w:t>
            </w:r>
            <w:r>
              <w:rPr>
                <w:rFonts w:hint="eastAsia" w:ascii="仿宋" w:hAnsi="仿宋" w:eastAsia="仿宋"/>
              </w:rPr>
              <w:t>课堂教学案例（教学目标、教学活动设计、评价方式等）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C2D597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0D01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5744744">
            <w:pPr>
              <w:pStyle w:val="14"/>
            </w:pPr>
            <w:r>
              <w:t>LO10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742A8D2B">
            <w:pPr>
              <w:pStyle w:val="14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564D2C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1C1D26A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</w:t>
            </w:r>
            <w:r>
              <w:rPr>
                <w:rFonts w:ascii="仿宋" w:hAnsi="仿宋" w:eastAsia="仿宋"/>
                <w:bCs/>
              </w:rPr>
              <w:t xml:space="preserve"> </w:t>
            </w:r>
            <w:r>
              <w:rPr>
                <w:rFonts w:hint="eastAsia" w:ascii="仿宋" w:hAnsi="仿宋" w:eastAsia="仿宋"/>
                <w:bCs/>
              </w:rPr>
              <w:t>理解教学反思的不同视角，</w:t>
            </w:r>
            <w:r>
              <w:rPr>
                <w:rFonts w:hint="eastAsia" w:ascii="仿宋" w:hAnsi="仿宋" w:eastAsia="仿宋"/>
              </w:rPr>
              <w:t>能够从学生、教学、学科理解等不同角度反思、分析教学过程中的问题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7AEBDB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0686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CFCA18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C60EAF9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2D91D9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6AC140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仿宋" w:hAnsi="仿宋" w:eastAsia="仿宋"/>
              </w:rPr>
              <w:t xml:space="preserve">3 </w:t>
            </w:r>
            <w:r>
              <w:rPr>
                <w:rFonts w:hint="eastAsia" w:ascii="仿宋" w:hAnsi="仿宋" w:eastAsia="仿宋"/>
              </w:rPr>
              <w:t>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0ADA98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36A6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02E6F21E">
            <w:pPr>
              <w:pStyle w:val="14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DE6074C">
            <w:pPr>
              <w:pStyle w:val="14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831F0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51D74A00">
            <w:pPr>
              <w:pStyle w:val="1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1</w:t>
            </w:r>
            <w:r>
              <w:rPr>
                <w:rFonts w:ascii="仿宋" w:hAnsi="仿宋" w:eastAsia="仿宋"/>
                <w:bCs/>
              </w:rPr>
              <w:t xml:space="preserve"> </w:t>
            </w:r>
            <w:r>
              <w:rPr>
                <w:rFonts w:hint="eastAsia" w:ascii="仿宋" w:hAnsi="仿宋" w:eastAsia="仿宋"/>
                <w:bCs/>
              </w:rPr>
              <w:t>理解教学反思的不同视角，</w:t>
            </w:r>
            <w:r>
              <w:rPr>
                <w:rFonts w:hint="eastAsia" w:ascii="仿宋" w:hAnsi="仿宋" w:eastAsia="仿宋"/>
              </w:rPr>
              <w:t>能够从学生、教学、学科理解等不同角度反思、分析教学过程中的问题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EA198F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57C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941A124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46E9DA1">
            <w:pPr>
              <w:pStyle w:val="14"/>
              <w:rPr>
                <w:bCs/>
              </w:rPr>
            </w:pP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B12C8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282AF9DE">
            <w:pPr>
              <w:pStyle w:val="1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能综合运用教育学原理、教学法等知识，基于课标和教材分析小学</w:t>
            </w:r>
            <w:r>
              <w:rPr>
                <w:rFonts w:hint="eastAsia" w:ascii="仿宋" w:hAnsi="仿宋" w:eastAsia="仿宋"/>
                <w:lang w:val="en-US" w:eastAsia="zh-CN"/>
              </w:rPr>
              <w:t>语文</w:t>
            </w:r>
            <w:r>
              <w:rPr>
                <w:rFonts w:hint="eastAsia" w:ascii="仿宋" w:hAnsi="仿宋" w:eastAsia="仿宋"/>
              </w:rPr>
              <w:t>课堂教学案例（教学目标、教学活动设计、评价方式等）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0EF667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5BD7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309E0DC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8BCDF51">
            <w:pPr>
              <w:pStyle w:val="14"/>
              <w:rPr>
                <w:bCs/>
              </w:rPr>
            </w:pP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0F1FE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7EFE7A76">
            <w:pPr>
              <w:pStyle w:val="1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47DBBE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0E8B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3291DA4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D4B359E">
            <w:pPr>
              <w:pStyle w:val="14"/>
              <w:rPr>
                <w:bCs/>
              </w:rPr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1A9AB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534B33E1">
            <w:pPr>
              <w:pStyle w:val="1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能够通过教学设计和案例分析，理解</w:t>
            </w:r>
            <w:r>
              <w:rPr>
                <w:rFonts w:hint="eastAsia" w:ascii="仿宋" w:hAnsi="仿宋" w:eastAsia="仿宋"/>
                <w:lang w:val="en-US" w:eastAsia="zh-CN"/>
              </w:rPr>
              <w:t>语文</w:t>
            </w:r>
            <w:r>
              <w:rPr>
                <w:rFonts w:hint="eastAsia" w:ascii="仿宋" w:hAnsi="仿宋" w:eastAsia="仿宋"/>
              </w:rPr>
              <w:t>“立德树人”的育人价值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19C3C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</w:t>
            </w:r>
          </w:p>
        </w:tc>
      </w:tr>
    </w:tbl>
    <w:p w14:paraId="0D2DECA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3CD4DB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BDF7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5A54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ascii="宋体" w:hAnsi="宋体"/>
                <w:bCs/>
              </w:rPr>
              <w:t>临床观察的基本概念</w:t>
            </w:r>
            <w:r>
              <w:rPr>
                <w:rFonts w:ascii="宋体" w:hAnsi="宋体"/>
                <w:bCs/>
              </w:rPr>
              <w:tab/>
            </w:r>
          </w:p>
          <w:p w14:paraId="47D814E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3CE91B83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临床观察的界定</w:t>
            </w:r>
            <w:r>
              <w:rPr>
                <w:rFonts w:hint="eastAsia" w:ascii="宋体" w:hAnsi="宋体"/>
                <w:bCs/>
              </w:rPr>
              <w:t>、基本价值和功能</w:t>
            </w:r>
          </w:p>
          <w:p w14:paraId="7A8530B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7178EE29">
            <w:pPr>
              <w:pStyle w:val="14"/>
              <w:widowControl w:val="0"/>
              <w:numPr>
                <w:ilvl w:val="0"/>
                <w:numId w:val="2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了解临床观察的基本价值</w:t>
            </w:r>
          </w:p>
          <w:p w14:paraId="69A90B86">
            <w:pPr>
              <w:pStyle w:val="14"/>
              <w:widowControl w:val="0"/>
              <w:numPr>
                <w:ilvl w:val="0"/>
                <w:numId w:val="2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理解临床观察的</w:t>
            </w:r>
            <w:r>
              <w:rPr>
                <w:rFonts w:hint="eastAsia" w:ascii="宋体" w:hAnsi="宋体"/>
                <w:bCs/>
              </w:rPr>
              <w:t>价值和</w:t>
            </w:r>
            <w:r>
              <w:rPr>
                <w:rFonts w:ascii="宋体" w:hAnsi="宋体"/>
                <w:bCs/>
              </w:rPr>
              <w:t>功能</w:t>
            </w:r>
          </w:p>
          <w:p w14:paraId="5666364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第二单元 </w:t>
            </w:r>
            <w:r>
              <w:rPr>
                <w:rFonts w:ascii="宋体" w:hAnsi="宋体"/>
                <w:bCs/>
              </w:rPr>
              <w:t>临床观察的基本分类</w:t>
            </w:r>
            <w:r>
              <w:rPr>
                <w:rFonts w:ascii="宋体" w:hAnsi="宋体"/>
                <w:bCs/>
              </w:rPr>
              <w:tab/>
            </w:r>
          </w:p>
          <w:p w14:paraId="0FFE67F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2E0AE051">
            <w:pPr>
              <w:pStyle w:val="14"/>
              <w:widowControl w:val="0"/>
              <w:numPr>
                <w:ilvl w:val="0"/>
                <w:numId w:val="3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临床观察的分类方式</w:t>
            </w:r>
          </w:p>
          <w:p w14:paraId="25ABD7DF">
            <w:pPr>
              <w:pStyle w:val="14"/>
              <w:widowControl w:val="0"/>
              <w:numPr>
                <w:ilvl w:val="0"/>
                <w:numId w:val="3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参与性观察与非参与性观察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0888F1D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2940FDD7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理解不同的临床观察分类及优缺点</w:t>
            </w:r>
          </w:p>
          <w:p w14:paraId="62A9433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第三单元 </w:t>
            </w:r>
            <w:r>
              <w:rPr>
                <w:rFonts w:ascii="宋体" w:hAnsi="宋体"/>
                <w:bCs/>
              </w:rPr>
              <w:t>临床观察的主要策略</w:t>
            </w:r>
          </w:p>
          <w:p w14:paraId="1E18A63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647B3AE0">
            <w:pPr>
              <w:pStyle w:val="14"/>
              <w:widowControl w:val="0"/>
              <w:numPr>
                <w:ilvl w:val="0"/>
                <w:numId w:val="5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全息信息与选择性信息</w:t>
            </w:r>
          </w:p>
          <w:p w14:paraId="7F477B10">
            <w:pPr>
              <w:pStyle w:val="14"/>
              <w:widowControl w:val="0"/>
              <w:numPr>
                <w:ilvl w:val="0"/>
                <w:numId w:val="5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单次性观察与连续性观察</w:t>
            </w:r>
          </w:p>
          <w:p w14:paraId="623DE758">
            <w:pPr>
              <w:pStyle w:val="14"/>
              <w:widowControl w:val="0"/>
              <w:numPr>
                <w:ilvl w:val="0"/>
                <w:numId w:val="5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纯临床观察与多媒体辅助观察方式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317F054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00B3A17E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理解不同临床观察的实施方式和优缺点，并根据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bookmarkStart w:id="6" w:name="_GoBack"/>
            <w:bookmarkEnd w:id="6"/>
            <w:r>
              <w:rPr>
                <w:rFonts w:ascii="宋体" w:hAnsi="宋体"/>
                <w:bCs/>
              </w:rPr>
              <w:t>学科特点以及实际需求进行选择</w:t>
            </w:r>
          </w:p>
          <w:p w14:paraId="5CAAD84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第四单元 </w:t>
            </w:r>
            <w:r>
              <w:rPr>
                <w:rFonts w:ascii="宋体" w:hAnsi="宋体"/>
                <w:bCs/>
              </w:rPr>
              <w:t>临床观察的若干技术</w:t>
            </w:r>
            <w:r>
              <w:rPr>
                <w:rFonts w:ascii="宋体" w:hAnsi="宋体"/>
                <w:bCs/>
              </w:rPr>
              <w:tab/>
            </w:r>
          </w:p>
          <w:p w14:paraId="018641A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18AA8EE6">
            <w:pPr>
              <w:pStyle w:val="14"/>
              <w:widowControl w:val="0"/>
              <w:numPr>
                <w:ilvl w:val="0"/>
                <w:numId w:val="6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数据的采集和处理技术</w:t>
            </w:r>
          </w:p>
          <w:p w14:paraId="710B6C16">
            <w:pPr>
              <w:pStyle w:val="14"/>
              <w:widowControl w:val="0"/>
              <w:numPr>
                <w:ilvl w:val="0"/>
                <w:numId w:val="6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观察的主题</w:t>
            </w:r>
            <w:r>
              <w:rPr>
                <w:rFonts w:hint="eastAsia" w:ascii="宋体" w:hAnsi="宋体"/>
                <w:bCs/>
              </w:rPr>
              <w:t>、</w:t>
            </w:r>
            <w:r>
              <w:rPr>
                <w:rFonts w:ascii="宋体" w:hAnsi="宋体"/>
                <w:bCs/>
              </w:rPr>
              <w:t>策略、技术与方法</w:t>
            </w:r>
            <w:r>
              <w:rPr>
                <w:rFonts w:ascii="宋体" w:hAnsi="宋体"/>
                <w:bCs/>
              </w:rPr>
              <w:tab/>
            </w:r>
          </w:p>
          <w:p w14:paraId="2F966D1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062D6ACE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ascii="宋体" w:hAnsi="宋体"/>
                <w:bCs/>
              </w:rPr>
              <w:t>描述性信息的处理技术和对频数性信息的处理</w:t>
            </w:r>
          </w:p>
          <w:p w14:paraId="444EAC7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第五单元 </w:t>
            </w:r>
            <w:r>
              <w:rPr>
                <w:rFonts w:ascii="宋体" w:hAnsi="宋体"/>
                <w:bCs/>
              </w:rPr>
              <w:t>临床观察的基本程序</w:t>
            </w:r>
          </w:p>
          <w:p w14:paraId="50FFA38F">
            <w:pPr>
              <w:pStyle w:val="14"/>
              <w:widowControl w:val="0"/>
              <w:numPr>
                <w:ilvl w:val="0"/>
                <w:numId w:val="7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数据</w:t>
            </w:r>
            <w:r>
              <w:rPr>
                <w:rFonts w:hint="eastAsia" w:ascii="宋体" w:hAnsi="宋体"/>
                <w:bCs/>
              </w:rPr>
              <w:t>收集与</w:t>
            </w:r>
            <w:r>
              <w:rPr>
                <w:rFonts w:ascii="宋体" w:hAnsi="宋体"/>
                <w:bCs/>
              </w:rPr>
              <w:t>分析</w:t>
            </w:r>
            <w:r>
              <w:rPr>
                <w:rFonts w:hint="eastAsia" w:ascii="宋体" w:hAnsi="宋体"/>
                <w:bCs/>
              </w:rPr>
              <w:t>方法</w:t>
            </w:r>
          </w:p>
          <w:p w14:paraId="4098E9D9">
            <w:pPr>
              <w:pStyle w:val="14"/>
              <w:widowControl w:val="0"/>
              <w:numPr>
                <w:ilvl w:val="0"/>
                <w:numId w:val="7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数据</w:t>
            </w:r>
            <w:r>
              <w:rPr>
                <w:rFonts w:ascii="宋体" w:hAnsi="宋体"/>
                <w:bCs/>
              </w:rPr>
              <w:t>分析报告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029E133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3928F924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ascii="宋体" w:hAnsi="宋体"/>
                <w:bCs/>
              </w:rPr>
              <w:t>数据的推断与分析</w:t>
            </w:r>
            <w:r>
              <w:rPr>
                <w:rFonts w:hint="eastAsia" w:ascii="宋体" w:hAnsi="宋体"/>
                <w:bCs/>
              </w:rPr>
              <w:t>，能够</w:t>
            </w:r>
            <w:r>
              <w:rPr>
                <w:rFonts w:ascii="宋体" w:hAnsi="宋体"/>
                <w:bCs/>
              </w:rPr>
              <w:t>撰写分析报告</w:t>
            </w:r>
          </w:p>
          <w:p w14:paraId="1567E2B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第六单元 </w:t>
            </w:r>
            <w:r>
              <w:rPr>
                <w:rFonts w:ascii="宋体" w:hAnsi="宋体"/>
                <w:bCs/>
              </w:rPr>
              <w:t>课堂教学的临床诊断工具设计</w:t>
            </w:r>
            <w:r>
              <w:rPr>
                <w:rFonts w:ascii="宋体" w:hAnsi="宋体"/>
                <w:bCs/>
              </w:rPr>
              <w:tab/>
            </w:r>
          </w:p>
          <w:p w14:paraId="0BBBBA3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196C9F5A">
            <w:pPr>
              <w:pStyle w:val="14"/>
              <w:widowControl w:val="0"/>
              <w:numPr>
                <w:ilvl w:val="0"/>
                <w:numId w:val="8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观察工具的基本特点</w:t>
            </w:r>
          </w:p>
          <w:p w14:paraId="468197FC">
            <w:pPr>
              <w:pStyle w:val="14"/>
              <w:widowControl w:val="0"/>
              <w:numPr>
                <w:ilvl w:val="0"/>
                <w:numId w:val="8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观察工具的</w:t>
            </w:r>
            <w:r>
              <w:rPr>
                <w:rFonts w:ascii="宋体" w:hAnsi="宋体"/>
                <w:bCs/>
              </w:rPr>
              <w:t>制作过程与要求及其相关技术</w:t>
            </w:r>
          </w:p>
          <w:p w14:paraId="7C38009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43EEF312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能够设计观察工具，</w:t>
            </w:r>
            <w:r>
              <w:rPr>
                <w:rFonts w:ascii="宋体" w:hAnsi="宋体"/>
                <w:bCs/>
              </w:rPr>
              <w:t>撰写诊断报告</w:t>
            </w:r>
          </w:p>
          <w:p w14:paraId="49F74D6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第七单元 </w:t>
            </w:r>
            <w:r>
              <w:rPr>
                <w:rFonts w:ascii="宋体" w:hAnsi="宋体"/>
                <w:bCs/>
              </w:rPr>
              <w:t>临床诊断报告撰写</w:t>
            </w:r>
          </w:p>
          <w:p w14:paraId="1DCD474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22BABA95">
            <w:pPr>
              <w:pStyle w:val="14"/>
              <w:widowControl w:val="0"/>
              <w:numPr>
                <w:ilvl w:val="0"/>
                <w:numId w:val="9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诊断的客观性与主观性</w:t>
            </w:r>
          </w:p>
          <w:p w14:paraId="3A8ADA3C">
            <w:pPr>
              <w:pStyle w:val="14"/>
              <w:widowControl w:val="0"/>
              <w:numPr>
                <w:ilvl w:val="0"/>
                <w:numId w:val="9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诊断的非推断性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5A2FD5BC">
            <w:pPr>
              <w:pStyle w:val="14"/>
              <w:widowControl w:val="0"/>
              <w:numPr>
                <w:ilvl w:val="0"/>
                <w:numId w:val="9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诊断的视点</w:t>
            </w:r>
          </w:p>
          <w:p w14:paraId="31C18897">
            <w:pPr>
              <w:pStyle w:val="14"/>
              <w:widowControl w:val="0"/>
              <w:numPr>
                <w:ilvl w:val="0"/>
                <w:numId w:val="9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撰写诊断报告（观察报告）</w:t>
            </w:r>
          </w:p>
          <w:p w14:paraId="3078F08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15A08755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能够设计诊断工具，</w:t>
            </w:r>
            <w:r>
              <w:rPr>
                <w:rFonts w:ascii="宋体" w:hAnsi="宋体"/>
                <w:bCs/>
              </w:rPr>
              <w:t>撰写诊断报告</w:t>
            </w:r>
          </w:p>
          <w:p w14:paraId="29DC650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第八单元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  <w:lang w:val="en-US" w:eastAsia="zh-CN"/>
              </w:rPr>
              <w:t>中的</w:t>
            </w:r>
            <w:r>
              <w:rPr>
                <w:rFonts w:ascii="宋体" w:hAnsi="宋体"/>
                <w:bCs/>
              </w:rPr>
              <w:t>案例</w:t>
            </w:r>
          </w:p>
          <w:p w14:paraId="34A19D1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7B0BD696">
            <w:pPr>
              <w:pStyle w:val="14"/>
              <w:widowControl w:val="0"/>
              <w:numPr>
                <w:ilvl w:val="0"/>
                <w:numId w:val="10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语文理解阅读的</w:t>
            </w:r>
            <w:r>
              <w:rPr>
                <w:rFonts w:hint="eastAsia" w:ascii="宋体" w:hAnsi="宋体"/>
                <w:bCs/>
              </w:rPr>
              <w:t>教学案例分析、比较和反思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5D9F878C">
            <w:pPr>
              <w:pStyle w:val="14"/>
              <w:widowControl w:val="0"/>
              <w:numPr>
                <w:ilvl w:val="0"/>
                <w:numId w:val="10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撰写和分析小学教师的案例的观察与分析报告</w:t>
            </w:r>
          </w:p>
          <w:p w14:paraId="474436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50FEF0F5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ascii="宋体" w:hAnsi="宋体"/>
                <w:bCs/>
              </w:rPr>
              <w:t>针对课标中的教学要求，对教学案例片段进行分析和反思</w:t>
            </w:r>
          </w:p>
          <w:p w14:paraId="196EE0AF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能够撰写和分析小学教师的案例的观察与分析报告</w:t>
            </w:r>
          </w:p>
          <w:p w14:paraId="470E8F2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第九单元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语文生字教学</w:t>
            </w:r>
            <w:r>
              <w:rPr>
                <w:rFonts w:ascii="宋体" w:hAnsi="宋体"/>
                <w:bCs/>
              </w:rPr>
              <w:t>中</w:t>
            </w:r>
            <w:r>
              <w:rPr>
                <w:rFonts w:hint="eastAsia" w:ascii="宋体" w:hAnsi="宋体"/>
                <w:bCs/>
                <w:lang w:val="en-US" w:eastAsia="zh-CN"/>
              </w:rPr>
              <w:t>的</w:t>
            </w:r>
            <w:r>
              <w:rPr>
                <w:rFonts w:ascii="宋体" w:hAnsi="宋体"/>
                <w:bCs/>
              </w:rPr>
              <w:t>案例</w:t>
            </w:r>
          </w:p>
          <w:p w14:paraId="641B60E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2D256F74">
            <w:pPr>
              <w:pStyle w:val="14"/>
              <w:widowControl w:val="0"/>
              <w:numPr>
                <w:ilvl w:val="0"/>
                <w:numId w:val="11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hint="eastAsia" w:ascii="宋体" w:hAnsi="宋体"/>
                <w:bCs/>
              </w:rPr>
              <w:t>教学</w:t>
            </w:r>
            <w:r>
              <w:rPr>
                <w:rFonts w:hint="eastAsia" w:ascii="宋体" w:hAnsi="宋体"/>
                <w:bCs/>
                <w:lang w:val="en-US" w:eastAsia="zh-CN"/>
              </w:rPr>
              <w:t>中</w:t>
            </w:r>
            <w:r>
              <w:rPr>
                <w:rFonts w:hint="eastAsia" w:ascii="宋体" w:hAnsi="宋体"/>
                <w:bCs/>
              </w:rPr>
              <w:t>案例分析、比较和反思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36E104A4">
            <w:pPr>
              <w:pStyle w:val="14"/>
              <w:widowControl w:val="0"/>
              <w:numPr>
                <w:ilvl w:val="0"/>
                <w:numId w:val="11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撰写和分析小学教师的案例的观察与分析报告</w:t>
            </w:r>
          </w:p>
          <w:p w14:paraId="606BDAF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4F32CB6F">
            <w:pPr>
              <w:pStyle w:val="14"/>
              <w:widowControl w:val="0"/>
              <w:numPr>
                <w:ilvl w:val="0"/>
                <w:numId w:val="12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ascii="宋体" w:hAnsi="宋体"/>
                <w:bCs/>
              </w:rPr>
              <w:t>针对课标中的教学要求，对教学案例片段进行分析和反思</w:t>
            </w:r>
          </w:p>
          <w:p w14:paraId="1EEC5B3B">
            <w:pPr>
              <w:pStyle w:val="14"/>
              <w:widowControl w:val="0"/>
              <w:numPr>
                <w:ilvl w:val="0"/>
                <w:numId w:val="12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能够撰写和分析小学教师的案例的观察与分析报告</w:t>
            </w:r>
          </w:p>
          <w:p w14:paraId="43EE991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第十单元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学习中</w:t>
            </w:r>
            <w:r>
              <w:rPr>
                <w:rFonts w:hint="eastAsia" w:ascii="宋体" w:hAnsi="宋体"/>
                <w:bCs/>
                <w:lang w:val="en-US" w:eastAsia="zh-CN"/>
              </w:rPr>
              <w:t>作文教学</w:t>
            </w:r>
            <w:r>
              <w:rPr>
                <w:rFonts w:ascii="宋体" w:hAnsi="宋体"/>
                <w:bCs/>
              </w:rPr>
              <w:t>案例</w:t>
            </w:r>
          </w:p>
          <w:p w14:paraId="2B5B298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</w:t>
            </w:r>
          </w:p>
          <w:p w14:paraId="6BE057F5">
            <w:pPr>
              <w:pStyle w:val="14"/>
              <w:widowControl w:val="0"/>
              <w:numPr>
                <w:ilvl w:val="0"/>
                <w:numId w:val="13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语文作文</w:t>
            </w:r>
            <w:r>
              <w:rPr>
                <w:rFonts w:hint="eastAsia" w:ascii="宋体" w:hAnsi="宋体"/>
                <w:bCs/>
              </w:rPr>
              <w:t>教学案例分析、比较和反思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199DE4F9">
            <w:pPr>
              <w:pStyle w:val="14"/>
              <w:widowControl w:val="0"/>
              <w:numPr>
                <w:ilvl w:val="0"/>
                <w:numId w:val="13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撰写和分析小学教师的案例的观察与分析报告</w:t>
            </w:r>
          </w:p>
          <w:p w14:paraId="26188DC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33102495">
            <w:pPr>
              <w:pStyle w:val="14"/>
              <w:widowControl w:val="0"/>
              <w:numPr>
                <w:ilvl w:val="0"/>
                <w:numId w:val="1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ascii="宋体" w:hAnsi="宋体"/>
                <w:bCs/>
              </w:rPr>
              <w:t>针对课标中的教学要求，对教学案例片段进行分析和反思</w:t>
            </w:r>
          </w:p>
          <w:p w14:paraId="3B7310AC">
            <w:pPr>
              <w:pStyle w:val="14"/>
              <w:widowControl w:val="0"/>
              <w:numPr>
                <w:ilvl w:val="0"/>
                <w:numId w:val="14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能够撰写和分析小学教师的案例的观察与分析报告</w:t>
            </w:r>
          </w:p>
          <w:p w14:paraId="5300190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第十一单元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学习中综合与实践案例</w:t>
            </w:r>
          </w:p>
          <w:p w14:paraId="4850A014">
            <w:pPr>
              <w:pStyle w:val="14"/>
              <w:widowControl w:val="0"/>
              <w:numPr>
                <w:ilvl w:val="0"/>
                <w:numId w:val="15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综合与实践</w:t>
            </w:r>
            <w:r>
              <w:rPr>
                <w:rFonts w:ascii="宋体" w:hAnsi="宋体"/>
                <w:bCs/>
              </w:rPr>
              <w:t>部分</w:t>
            </w:r>
            <w:r>
              <w:rPr>
                <w:rFonts w:hint="eastAsia" w:ascii="宋体" w:hAnsi="宋体"/>
                <w:bCs/>
                <w:lang w:val="en-US" w:eastAsia="zh-CN"/>
              </w:rPr>
              <w:t>教学</w:t>
            </w:r>
            <w:r>
              <w:rPr>
                <w:rFonts w:hint="eastAsia" w:ascii="宋体" w:hAnsi="宋体"/>
                <w:bCs/>
              </w:rPr>
              <w:t>案例分析、比较和反思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</w:t>
            </w:r>
            <w:r>
              <w:rPr>
                <w:rFonts w:ascii="宋体" w:hAnsi="宋体"/>
                <w:bCs/>
              </w:rPr>
              <w:tab/>
            </w:r>
          </w:p>
          <w:p w14:paraId="60615F1E">
            <w:pPr>
              <w:pStyle w:val="14"/>
              <w:widowControl w:val="0"/>
              <w:numPr>
                <w:ilvl w:val="0"/>
                <w:numId w:val="15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撰写和分析小学教师的案例的观察与分析报告</w:t>
            </w:r>
          </w:p>
          <w:p w14:paraId="0ECD545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</w:t>
            </w:r>
          </w:p>
          <w:p w14:paraId="15E3FFDD">
            <w:pPr>
              <w:pStyle w:val="14"/>
              <w:widowControl w:val="0"/>
              <w:numPr>
                <w:ilvl w:val="0"/>
                <w:numId w:val="16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ascii="宋体" w:hAnsi="宋体"/>
                <w:bCs/>
              </w:rPr>
              <w:t>针对课标中的教学要求，对教学案例片段进行分析和反思</w:t>
            </w:r>
          </w:p>
          <w:p w14:paraId="56F4980A">
            <w:pPr>
              <w:pStyle w:val="14"/>
              <w:widowControl w:val="0"/>
              <w:numPr>
                <w:ilvl w:val="0"/>
                <w:numId w:val="16"/>
              </w:num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能够撰写和分析小学教师的案例的观察与分析报告</w:t>
            </w:r>
          </w:p>
        </w:tc>
      </w:tr>
      <w:bookmarkEnd w:id="0"/>
      <w:bookmarkEnd w:id="1"/>
    </w:tbl>
    <w:p w14:paraId="051DD2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5"/>
        <w:gridCol w:w="1099"/>
        <w:gridCol w:w="1099"/>
        <w:gridCol w:w="1099"/>
        <w:gridCol w:w="1098"/>
      </w:tblGrid>
      <w:tr w14:paraId="4380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4FBC86C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53602AD">
            <w:pPr>
              <w:pStyle w:val="13"/>
              <w:ind w:right="210"/>
              <w:jc w:val="left"/>
              <w:rPr>
                <w:szCs w:val="16"/>
              </w:rPr>
            </w:pPr>
          </w:p>
          <w:p w14:paraId="145D252F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4EF8EA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F5FE19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0194BE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3EEC8C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2E84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1EEFA0FC">
            <w:pPr>
              <w:pStyle w:val="14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074" w:type="dxa"/>
          </w:tcPr>
          <w:p w14:paraId="06D55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8D3C7FC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5485FFC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93B1566">
            <w:pPr>
              <w:pStyle w:val="14"/>
            </w:pPr>
            <w:r>
              <w:rPr>
                <w:rFonts w:hint="eastAsia" w:ascii="Heiti TC Light" w:hAnsi="Heiti TC Light" w:eastAsia="Heiti TC Light"/>
              </w:rPr>
              <w:t>√</w:t>
            </w:r>
          </w:p>
        </w:tc>
      </w:tr>
      <w:tr w14:paraId="4531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791996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</w:tc>
        <w:tc>
          <w:tcPr>
            <w:tcW w:w="1074" w:type="dxa"/>
          </w:tcPr>
          <w:p w14:paraId="78CA70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7A8DC49E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3D10AA8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1AE49FC">
            <w:pPr>
              <w:pStyle w:val="14"/>
            </w:pPr>
          </w:p>
        </w:tc>
      </w:tr>
      <w:tr w14:paraId="4E20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49ED24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</w:tc>
        <w:tc>
          <w:tcPr>
            <w:tcW w:w="1074" w:type="dxa"/>
          </w:tcPr>
          <w:p w14:paraId="4DA7F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017912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726120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7C83348D">
            <w:pPr>
              <w:pStyle w:val="14"/>
            </w:pPr>
          </w:p>
        </w:tc>
      </w:tr>
      <w:tr w14:paraId="4D65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4A27C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</w:tc>
        <w:tc>
          <w:tcPr>
            <w:tcW w:w="1074" w:type="dxa"/>
          </w:tcPr>
          <w:p w14:paraId="199B7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06E7C6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4F8E21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7966E1E1">
            <w:pPr>
              <w:pStyle w:val="14"/>
            </w:pPr>
          </w:p>
        </w:tc>
      </w:tr>
      <w:tr w14:paraId="506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715FB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</w:p>
        </w:tc>
        <w:tc>
          <w:tcPr>
            <w:tcW w:w="1074" w:type="dxa"/>
          </w:tcPr>
          <w:p w14:paraId="5EBB7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78533EE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C125AB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2013F1F">
            <w:pPr>
              <w:pStyle w:val="14"/>
            </w:pPr>
            <w:r>
              <w:rPr>
                <w:rFonts w:hint="eastAsia" w:ascii="Heiti TC Light" w:hAnsi="Heiti TC Light" w:eastAsia="Heiti TC Light"/>
              </w:rPr>
              <w:t>√</w:t>
            </w:r>
          </w:p>
        </w:tc>
      </w:tr>
      <w:tr w14:paraId="5896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28CA3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</w:p>
        </w:tc>
        <w:tc>
          <w:tcPr>
            <w:tcW w:w="1074" w:type="dxa"/>
          </w:tcPr>
          <w:p w14:paraId="06E08F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7D4DDCF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BFA5CD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4D5C389">
            <w:pPr>
              <w:pStyle w:val="14"/>
            </w:pPr>
          </w:p>
        </w:tc>
      </w:tr>
      <w:tr w14:paraId="4006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6B0D91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第七单元</w:t>
            </w:r>
          </w:p>
        </w:tc>
        <w:tc>
          <w:tcPr>
            <w:tcW w:w="1074" w:type="dxa"/>
          </w:tcPr>
          <w:p w14:paraId="04A5B3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31942D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20B97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57B6F62B">
            <w:pPr>
              <w:pStyle w:val="14"/>
            </w:pPr>
          </w:p>
        </w:tc>
      </w:tr>
      <w:tr w14:paraId="398E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689CA0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第八单元</w:t>
            </w:r>
          </w:p>
        </w:tc>
        <w:tc>
          <w:tcPr>
            <w:tcW w:w="1074" w:type="dxa"/>
            <w:vAlign w:val="center"/>
          </w:tcPr>
          <w:p w14:paraId="1773FABB">
            <w:pPr>
              <w:pStyle w:val="14"/>
            </w:pPr>
          </w:p>
        </w:tc>
        <w:tc>
          <w:tcPr>
            <w:tcW w:w="1074" w:type="dxa"/>
          </w:tcPr>
          <w:p w14:paraId="62EA66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310F6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63CCB684">
            <w:pPr>
              <w:pStyle w:val="14"/>
            </w:pPr>
          </w:p>
        </w:tc>
      </w:tr>
      <w:tr w14:paraId="355E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7B343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第九单元</w:t>
            </w:r>
          </w:p>
        </w:tc>
        <w:tc>
          <w:tcPr>
            <w:tcW w:w="1074" w:type="dxa"/>
            <w:vAlign w:val="center"/>
          </w:tcPr>
          <w:p w14:paraId="7885B56F">
            <w:pPr>
              <w:pStyle w:val="14"/>
            </w:pPr>
          </w:p>
        </w:tc>
        <w:tc>
          <w:tcPr>
            <w:tcW w:w="1074" w:type="dxa"/>
          </w:tcPr>
          <w:p w14:paraId="4083E2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5100D8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3F000FEE">
            <w:pPr>
              <w:pStyle w:val="14"/>
            </w:pPr>
          </w:p>
        </w:tc>
      </w:tr>
      <w:tr w14:paraId="3FE2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7924FE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第十单元</w:t>
            </w:r>
          </w:p>
        </w:tc>
        <w:tc>
          <w:tcPr>
            <w:tcW w:w="1074" w:type="dxa"/>
            <w:vAlign w:val="center"/>
          </w:tcPr>
          <w:p w14:paraId="46E72993">
            <w:pPr>
              <w:pStyle w:val="14"/>
            </w:pPr>
          </w:p>
        </w:tc>
        <w:tc>
          <w:tcPr>
            <w:tcW w:w="1074" w:type="dxa"/>
          </w:tcPr>
          <w:p w14:paraId="0906B8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</w:tcPr>
          <w:p w14:paraId="7BF556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4E36F65B">
            <w:pPr>
              <w:pStyle w:val="14"/>
            </w:pPr>
          </w:p>
        </w:tc>
      </w:tr>
      <w:tr w14:paraId="731F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53C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第十一单元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77AE7CC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</w:tcPr>
          <w:p w14:paraId="344EF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</w:tcPr>
          <w:p w14:paraId="08A56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Heiti TC Light" w:hAnsi="Heiti TC Light" w:eastAsia="Heiti TC Light"/>
                <w:sz w:val="21"/>
                <w:szCs w:val="21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78A17170">
            <w:pPr>
              <w:pStyle w:val="14"/>
            </w:pPr>
          </w:p>
        </w:tc>
      </w:tr>
    </w:tbl>
    <w:p w14:paraId="1F32535D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84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A5FBD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00CC652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AB9F77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51E80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476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BDFDC3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D57317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46E27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9543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AF7C1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57EA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92B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FC90D0F">
            <w:pPr>
              <w:pStyle w:val="14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6D34E2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033BD8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AED88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6CCB0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CBEC8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1D7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9BF4DB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41143B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348F68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13A56D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11DBF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39FF2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5D8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CFA6D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7A1FB8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49476C46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95B6C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79795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E4A51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BD0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03E56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2F3083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60E3D621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44794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7B62D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8157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BDF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8D1E2A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A2EB6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7592FA8D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402CEF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EA6FC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913A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494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75B3F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7F14E7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257B1ABF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6CED04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1B6B1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E127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9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B13E8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第七单元</w:t>
            </w:r>
          </w:p>
        </w:tc>
        <w:tc>
          <w:tcPr>
            <w:tcW w:w="2690" w:type="dxa"/>
            <w:vAlign w:val="center"/>
          </w:tcPr>
          <w:p w14:paraId="17DAB1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7EFB12A3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E5478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2CCDF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5459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5C0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9633CC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第八单元</w:t>
            </w:r>
          </w:p>
        </w:tc>
        <w:tc>
          <w:tcPr>
            <w:tcW w:w="2690" w:type="dxa"/>
          </w:tcPr>
          <w:p w14:paraId="42ED8E1A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457D86C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398DD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35640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9BB4B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C69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BAA4E7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第九单元</w:t>
            </w:r>
          </w:p>
        </w:tc>
        <w:tc>
          <w:tcPr>
            <w:tcW w:w="2690" w:type="dxa"/>
          </w:tcPr>
          <w:p w14:paraId="476ADF06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35E4FD00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644BC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2EC64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24D6D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09A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DADBEA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第十单元</w:t>
            </w:r>
          </w:p>
        </w:tc>
        <w:tc>
          <w:tcPr>
            <w:tcW w:w="2690" w:type="dxa"/>
          </w:tcPr>
          <w:p w14:paraId="3D404B5E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77A66364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1349CB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FB6B0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FC68C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6CD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4352CF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第十一单元</w:t>
            </w:r>
          </w:p>
        </w:tc>
        <w:tc>
          <w:tcPr>
            <w:tcW w:w="2690" w:type="dxa"/>
          </w:tcPr>
          <w:p w14:paraId="695A5ACA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0408D4E9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4463F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6819B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EEBE2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AD4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9DB7EF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39D1A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801D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8FB2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0806E714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57CA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CF1B5DD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指标点：</w:t>
            </w:r>
          </w:p>
          <w:p w14:paraId="7A4358ED">
            <w:pPr>
              <w:pStyle w:val="14"/>
              <w:widowControl w:val="0"/>
              <w:jc w:val="left"/>
            </w:pPr>
            <w: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F0CBB6D">
            <w:pPr>
              <w:pStyle w:val="14"/>
              <w:widowControl w:val="0"/>
              <w:jc w:val="left"/>
            </w:pPr>
            <w:r>
              <w:rPr>
                <w:rFonts w:ascii="Cambria Math" w:hAnsi="Cambria Math" w:cs="Cambria Math"/>
              </w:rPr>
              <w:t>⑤</w:t>
            </w:r>
            <w:r>
              <w:t>爱岗敬业，热爱所学专业，勤学多练，锤炼技能。熟悉本专业相关的法律法规，在实习实践中自觉遵守职业规范，具备职业道德操守。</w:t>
            </w:r>
          </w:p>
          <w:p w14:paraId="1063DB6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7AB3BF9F">
            <w:pPr>
              <w:pStyle w:val="14"/>
              <w:widowControl/>
              <w:numPr>
                <w:ilvl w:val="0"/>
                <w:numId w:val="17"/>
              </w:numPr>
              <w:jc w:val="left"/>
            </w:pPr>
            <w:r>
              <w:rPr>
                <w:rFonts w:hint="eastAsia"/>
              </w:rPr>
              <w:t>通过案例观察和分析，融合教师职业道德，使学生树立良好的教育育人理念和职业操守</w:t>
            </w:r>
          </w:p>
          <w:p w14:paraId="0EBF5A5A">
            <w:pPr>
              <w:pStyle w:val="14"/>
              <w:widowControl/>
              <w:numPr>
                <w:ilvl w:val="0"/>
                <w:numId w:val="17"/>
              </w:numPr>
              <w:jc w:val="left"/>
            </w:pPr>
            <w:r>
              <w:t>结合</w:t>
            </w:r>
            <w:r>
              <w:rPr>
                <w:rFonts w:hint="eastAsia"/>
              </w:rPr>
              <w:t>具体教学</w:t>
            </w:r>
            <w:r>
              <w:t>情境，融入</w:t>
            </w:r>
            <w:r>
              <w:rPr>
                <w:rFonts w:hint="eastAsia"/>
                <w:lang w:val="en-US" w:eastAsia="zh-CN"/>
              </w:rPr>
              <w:t>语文</w:t>
            </w:r>
            <w:r>
              <w:t>教材中的</w:t>
            </w:r>
            <w:r>
              <w:rPr>
                <w:rFonts w:hint="eastAsia"/>
              </w:rPr>
              <w:t>思政内容</w:t>
            </w:r>
          </w:p>
          <w:p w14:paraId="78390A11">
            <w:pPr>
              <w:pStyle w:val="14"/>
              <w:widowControl/>
              <w:numPr>
                <w:ilvl w:val="0"/>
                <w:numId w:val="17"/>
              </w:numPr>
              <w:jc w:val="left"/>
            </w:pPr>
            <w:r>
              <w:rPr>
                <w:rFonts w:hint="eastAsia"/>
              </w:rPr>
              <w:t>通过实践，培养学生的教学技能，养成良好的学习习惯</w:t>
            </w:r>
          </w:p>
        </w:tc>
      </w:tr>
    </w:tbl>
    <w:p w14:paraId="703C0D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1510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28A9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60C6E5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8717428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6CFAB6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21027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338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17F83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AD3299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D27700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2E10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EC9BCB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22CA7A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7F94DBA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33165B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484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A2148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67BF1CF0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46BBD8C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期末综合作业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E8A0888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FEE1D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B6CB133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4FCD43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BD8DC1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0C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3C4D34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17D6F405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AB18C8A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课堂小组展示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D8789D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A191B36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6BFC98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27895E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547B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8E6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BCAA9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2DE61565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C4DF0B3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2FA09D7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78764B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4DD98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D979AF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24648B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6A9FFF3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Heiti TC Light">
    <w:altName w:val="Source Han Serif SC Heavy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B9AA8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3C601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13C601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175AD"/>
    <w:multiLevelType w:val="multilevel"/>
    <w:tmpl w:val="186175A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2E61566"/>
    <w:multiLevelType w:val="multilevel"/>
    <w:tmpl w:val="22E61566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29234EAB"/>
    <w:multiLevelType w:val="multilevel"/>
    <w:tmpl w:val="29234EA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A03779C"/>
    <w:multiLevelType w:val="multilevel"/>
    <w:tmpl w:val="2A03779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E5B10E6"/>
    <w:multiLevelType w:val="multilevel"/>
    <w:tmpl w:val="2E5B10E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0637121"/>
    <w:multiLevelType w:val="multilevel"/>
    <w:tmpl w:val="3063712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7B85E9E"/>
    <w:multiLevelType w:val="multilevel"/>
    <w:tmpl w:val="37B85E9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E42363F"/>
    <w:multiLevelType w:val="multilevel"/>
    <w:tmpl w:val="3E42363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F822DB9"/>
    <w:multiLevelType w:val="multilevel"/>
    <w:tmpl w:val="3F822DB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455B6D83"/>
    <w:multiLevelType w:val="multilevel"/>
    <w:tmpl w:val="455B6D8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0">
    <w:nsid w:val="4D656314"/>
    <w:multiLevelType w:val="multilevel"/>
    <w:tmpl w:val="4D65631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4EC231E8"/>
    <w:multiLevelType w:val="multilevel"/>
    <w:tmpl w:val="4EC231E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72900A1"/>
    <w:multiLevelType w:val="multilevel"/>
    <w:tmpl w:val="572900A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5F6317C4"/>
    <w:multiLevelType w:val="multilevel"/>
    <w:tmpl w:val="5F6317C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5F994985"/>
    <w:multiLevelType w:val="multilevel"/>
    <w:tmpl w:val="5F99498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65F93F95"/>
    <w:multiLevelType w:val="multilevel"/>
    <w:tmpl w:val="65F93F9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6">
    <w:nsid w:val="79191555"/>
    <w:multiLevelType w:val="multilevel"/>
    <w:tmpl w:val="7919155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15"/>
  </w:num>
  <w:num w:numId="15">
    <w:abstractNumId w:val="14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2F95"/>
    <w:rsid w:val="00066041"/>
    <w:rsid w:val="000766DC"/>
    <w:rsid w:val="00076794"/>
    <w:rsid w:val="0008122A"/>
    <w:rsid w:val="00086354"/>
    <w:rsid w:val="00087488"/>
    <w:rsid w:val="0009050A"/>
    <w:rsid w:val="00096FA3"/>
    <w:rsid w:val="0009721F"/>
    <w:rsid w:val="000A4E73"/>
    <w:rsid w:val="000B1BD2"/>
    <w:rsid w:val="000B2430"/>
    <w:rsid w:val="000C0F0D"/>
    <w:rsid w:val="000C13BC"/>
    <w:rsid w:val="000C321C"/>
    <w:rsid w:val="000C3D0A"/>
    <w:rsid w:val="000D28E5"/>
    <w:rsid w:val="000D34D7"/>
    <w:rsid w:val="000D4E8A"/>
    <w:rsid w:val="000E3E1E"/>
    <w:rsid w:val="000F287C"/>
    <w:rsid w:val="00100572"/>
    <w:rsid w:val="00100633"/>
    <w:rsid w:val="001072BC"/>
    <w:rsid w:val="00114BD6"/>
    <w:rsid w:val="0012154D"/>
    <w:rsid w:val="00124E26"/>
    <w:rsid w:val="00130F6D"/>
    <w:rsid w:val="00133554"/>
    <w:rsid w:val="00144082"/>
    <w:rsid w:val="001616C6"/>
    <w:rsid w:val="0016381F"/>
    <w:rsid w:val="00163A48"/>
    <w:rsid w:val="00163B61"/>
    <w:rsid w:val="001646F5"/>
    <w:rsid w:val="00164E36"/>
    <w:rsid w:val="001678A2"/>
    <w:rsid w:val="00183AA1"/>
    <w:rsid w:val="001841AD"/>
    <w:rsid w:val="0018767C"/>
    <w:rsid w:val="001A135C"/>
    <w:rsid w:val="001A4EBF"/>
    <w:rsid w:val="001B0D49"/>
    <w:rsid w:val="001B546F"/>
    <w:rsid w:val="001B5CC8"/>
    <w:rsid w:val="001C16FC"/>
    <w:rsid w:val="001C2E3E"/>
    <w:rsid w:val="001C388D"/>
    <w:rsid w:val="001D16C4"/>
    <w:rsid w:val="001E0494"/>
    <w:rsid w:val="001E1D2D"/>
    <w:rsid w:val="001E5A17"/>
    <w:rsid w:val="001F284E"/>
    <w:rsid w:val="001F332E"/>
    <w:rsid w:val="002165C2"/>
    <w:rsid w:val="00217861"/>
    <w:rsid w:val="002204E4"/>
    <w:rsid w:val="002211BF"/>
    <w:rsid w:val="00233F15"/>
    <w:rsid w:val="002420F1"/>
    <w:rsid w:val="00245D24"/>
    <w:rsid w:val="00245FBD"/>
    <w:rsid w:val="00253AC8"/>
    <w:rsid w:val="00256B39"/>
    <w:rsid w:val="0026033C"/>
    <w:rsid w:val="002661A3"/>
    <w:rsid w:val="00266367"/>
    <w:rsid w:val="002710EF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4773"/>
    <w:rsid w:val="002A6BDA"/>
    <w:rsid w:val="002A7227"/>
    <w:rsid w:val="002B0773"/>
    <w:rsid w:val="002B0C48"/>
    <w:rsid w:val="002B13CA"/>
    <w:rsid w:val="002B3650"/>
    <w:rsid w:val="002B37B7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588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094"/>
    <w:rsid w:val="003A1680"/>
    <w:rsid w:val="003A373C"/>
    <w:rsid w:val="003A5874"/>
    <w:rsid w:val="003B1258"/>
    <w:rsid w:val="003B4A81"/>
    <w:rsid w:val="003C1F8D"/>
    <w:rsid w:val="003C61A5"/>
    <w:rsid w:val="003D1968"/>
    <w:rsid w:val="003D4384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9E6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031"/>
    <w:rsid w:val="00464CA2"/>
    <w:rsid w:val="0046549D"/>
    <w:rsid w:val="00471668"/>
    <w:rsid w:val="00480125"/>
    <w:rsid w:val="00481F98"/>
    <w:rsid w:val="004852BF"/>
    <w:rsid w:val="00487A46"/>
    <w:rsid w:val="00487E95"/>
    <w:rsid w:val="00493504"/>
    <w:rsid w:val="00494579"/>
    <w:rsid w:val="00497334"/>
    <w:rsid w:val="004A4645"/>
    <w:rsid w:val="004A6F3A"/>
    <w:rsid w:val="004B408D"/>
    <w:rsid w:val="004B6942"/>
    <w:rsid w:val="004B6F68"/>
    <w:rsid w:val="004B73F7"/>
    <w:rsid w:val="004D4FB3"/>
    <w:rsid w:val="004D5D6C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DC2"/>
    <w:rsid w:val="0059045B"/>
    <w:rsid w:val="0059072C"/>
    <w:rsid w:val="00597EC2"/>
    <w:rsid w:val="005A13AB"/>
    <w:rsid w:val="005B1150"/>
    <w:rsid w:val="005B1FFC"/>
    <w:rsid w:val="005B2B6D"/>
    <w:rsid w:val="005B4B4E"/>
    <w:rsid w:val="005C2AAB"/>
    <w:rsid w:val="005C3A76"/>
    <w:rsid w:val="005D5B6F"/>
    <w:rsid w:val="005E38A5"/>
    <w:rsid w:val="005F501E"/>
    <w:rsid w:val="005F5185"/>
    <w:rsid w:val="005F51C8"/>
    <w:rsid w:val="00613D4E"/>
    <w:rsid w:val="00614F5D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0690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6BC8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9AE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282B"/>
    <w:rsid w:val="007C3566"/>
    <w:rsid w:val="007C794A"/>
    <w:rsid w:val="007D5326"/>
    <w:rsid w:val="007D5A33"/>
    <w:rsid w:val="007E4F3A"/>
    <w:rsid w:val="007E5259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68F4"/>
    <w:rsid w:val="008353A5"/>
    <w:rsid w:val="0083705D"/>
    <w:rsid w:val="00841F86"/>
    <w:rsid w:val="0084242F"/>
    <w:rsid w:val="00845795"/>
    <w:rsid w:val="00847437"/>
    <w:rsid w:val="00847F54"/>
    <w:rsid w:val="00882E15"/>
    <w:rsid w:val="00883C73"/>
    <w:rsid w:val="008901A2"/>
    <w:rsid w:val="00891E65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3D55"/>
    <w:rsid w:val="00925F8C"/>
    <w:rsid w:val="00927324"/>
    <w:rsid w:val="00932ED7"/>
    <w:rsid w:val="009332E4"/>
    <w:rsid w:val="00933990"/>
    <w:rsid w:val="00941533"/>
    <w:rsid w:val="00941B89"/>
    <w:rsid w:val="00941DEA"/>
    <w:rsid w:val="009656CC"/>
    <w:rsid w:val="00970A0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4D5"/>
    <w:rsid w:val="00A04523"/>
    <w:rsid w:val="00A16159"/>
    <w:rsid w:val="00A161E6"/>
    <w:rsid w:val="00A17885"/>
    <w:rsid w:val="00A2337D"/>
    <w:rsid w:val="00A25A31"/>
    <w:rsid w:val="00A27445"/>
    <w:rsid w:val="00A31BBE"/>
    <w:rsid w:val="00A31D34"/>
    <w:rsid w:val="00A333EF"/>
    <w:rsid w:val="00A33F85"/>
    <w:rsid w:val="00A40645"/>
    <w:rsid w:val="00A6016C"/>
    <w:rsid w:val="00A63B1A"/>
    <w:rsid w:val="00A70CB9"/>
    <w:rsid w:val="00A71F81"/>
    <w:rsid w:val="00A722AA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7F2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558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474D"/>
    <w:rsid w:val="00C15061"/>
    <w:rsid w:val="00C1713D"/>
    <w:rsid w:val="00C20D9D"/>
    <w:rsid w:val="00C2134F"/>
    <w:rsid w:val="00C24718"/>
    <w:rsid w:val="00C2675D"/>
    <w:rsid w:val="00C30AEE"/>
    <w:rsid w:val="00C312EB"/>
    <w:rsid w:val="00C33362"/>
    <w:rsid w:val="00C353AE"/>
    <w:rsid w:val="00C4194E"/>
    <w:rsid w:val="00C516B1"/>
    <w:rsid w:val="00C5350C"/>
    <w:rsid w:val="00C56E09"/>
    <w:rsid w:val="00C6054D"/>
    <w:rsid w:val="00C61B1B"/>
    <w:rsid w:val="00C635F5"/>
    <w:rsid w:val="00C64309"/>
    <w:rsid w:val="00C663F6"/>
    <w:rsid w:val="00C66AB7"/>
    <w:rsid w:val="00C673D1"/>
    <w:rsid w:val="00C746CB"/>
    <w:rsid w:val="00C77BBF"/>
    <w:rsid w:val="00C77D64"/>
    <w:rsid w:val="00C81564"/>
    <w:rsid w:val="00C863C9"/>
    <w:rsid w:val="00C9080C"/>
    <w:rsid w:val="00C94429"/>
    <w:rsid w:val="00CA18FD"/>
    <w:rsid w:val="00CA27E5"/>
    <w:rsid w:val="00CA4897"/>
    <w:rsid w:val="00CA6928"/>
    <w:rsid w:val="00CB1A92"/>
    <w:rsid w:val="00CB3D3F"/>
    <w:rsid w:val="00CB5A1A"/>
    <w:rsid w:val="00CB611A"/>
    <w:rsid w:val="00CC1E6E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3E5"/>
    <w:rsid w:val="00D24FFD"/>
    <w:rsid w:val="00D32544"/>
    <w:rsid w:val="00D343A8"/>
    <w:rsid w:val="00D35A26"/>
    <w:rsid w:val="00D37832"/>
    <w:rsid w:val="00D41DCD"/>
    <w:rsid w:val="00D44860"/>
    <w:rsid w:val="00D47689"/>
    <w:rsid w:val="00D50C42"/>
    <w:rsid w:val="00D54B3A"/>
    <w:rsid w:val="00D57CF5"/>
    <w:rsid w:val="00D612BC"/>
    <w:rsid w:val="00D62F98"/>
    <w:rsid w:val="00D64212"/>
    <w:rsid w:val="00D653B7"/>
    <w:rsid w:val="00D66FD6"/>
    <w:rsid w:val="00D70DC5"/>
    <w:rsid w:val="00D8285B"/>
    <w:rsid w:val="00D862EB"/>
    <w:rsid w:val="00D86619"/>
    <w:rsid w:val="00D928E9"/>
    <w:rsid w:val="00D93E7C"/>
    <w:rsid w:val="00DB2BE6"/>
    <w:rsid w:val="00DB76B3"/>
    <w:rsid w:val="00DC56ED"/>
    <w:rsid w:val="00DD1052"/>
    <w:rsid w:val="00DD3A6E"/>
    <w:rsid w:val="00DD3C7B"/>
    <w:rsid w:val="00DD608F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17CBB"/>
    <w:rsid w:val="00E3042E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76466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130D"/>
    <w:rsid w:val="00EC70A9"/>
    <w:rsid w:val="00ED4C3A"/>
    <w:rsid w:val="00EE1C85"/>
    <w:rsid w:val="00EF21D9"/>
    <w:rsid w:val="00EF2A94"/>
    <w:rsid w:val="00EF32FB"/>
    <w:rsid w:val="00EF44B1"/>
    <w:rsid w:val="00EF4865"/>
    <w:rsid w:val="00EF4A47"/>
    <w:rsid w:val="00EF5954"/>
    <w:rsid w:val="00F100D2"/>
    <w:rsid w:val="00F12942"/>
    <w:rsid w:val="00F1343C"/>
    <w:rsid w:val="00F13C41"/>
    <w:rsid w:val="00F14886"/>
    <w:rsid w:val="00F16421"/>
    <w:rsid w:val="00F201EE"/>
    <w:rsid w:val="00F351E6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A2C22"/>
    <w:rsid w:val="00FB693D"/>
    <w:rsid w:val="00FB7768"/>
    <w:rsid w:val="00FC7489"/>
    <w:rsid w:val="00FD0C50"/>
    <w:rsid w:val="00FD1BA8"/>
    <w:rsid w:val="00FD218F"/>
    <w:rsid w:val="00FD5663"/>
    <w:rsid w:val="00FD56C6"/>
    <w:rsid w:val="00FE2A0B"/>
    <w:rsid w:val="00FE3221"/>
    <w:rsid w:val="00FE48EA"/>
    <w:rsid w:val="00FE571F"/>
    <w:rsid w:val="00FF47F6"/>
    <w:rsid w:val="016E63C2"/>
    <w:rsid w:val="024B0C39"/>
    <w:rsid w:val="0A04273A"/>
    <w:rsid w:val="0A8128A6"/>
    <w:rsid w:val="0BF32A1B"/>
    <w:rsid w:val="0E7A50B9"/>
    <w:rsid w:val="10BD2C22"/>
    <w:rsid w:val="22987C80"/>
    <w:rsid w:val="24192CCC"/>
    <w:rsid w:val="26F4679D"/>
    <w:rsid w:val="39A66CD4"/>
    <w:rsid w:val="3CD52CE1"/>
    <w:rsid w:val="410F2E6A"/>
    <w:rsid w:val="4430136C"/>
    <w:rsid w:val="47E05A68"/>
    <w:rsid w:val="4AB0382B"/>
    <w:rsid w:val="505A77E4"/>
    <w:rsid w:val="569868B5"/>
    <w:rsid w:val="611F6817"/>
    <w:rsid w:val="66CA1754"/>
    <w:rsid w:val="6F1E65D4"/>
    <w:rsid w:val="6F266C86"/>
    <w:rsid w:val="6F5042C2"/>
    <w:rsid w:val="74316312"/>
    <w:rsid w:val="780F13C8"/>
    <w:rsid w:val="7AC8341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1346</Words>
  <Characters>1407</Characters>
  <Lines>28</Lines>
  <Paragraphs>8</Paragraphs>
  <TotalTime>107</TotalTime>
  <ScaleCrop>false</ScaleCrop>
  <LinksUpToDate>false</LinksUpToDate>
  <CharactersWithSpaces>1419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2024-01-01T06:03:00Z</dcterms:created>
  <dc:creator>juvg</dc:creator>
  <cp:lastModifiedBy>潘潘xiuer</cp:lastModifiedBy>
  <cp:lastPrinted>2023-11-21T00:52:00Z</cp:lastPrinted>
  <dcterms:modified xsi:type="dcterms:W3CDTF">2026-02-12T07:30:52Z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eyJoZGlkIjoiYzJjMWU4NGQzZDhhZTMyODdiMTg1MzFjYzRkZThjZjYiLCJ1c2VySWQiOiI1OTQyNzMzODYifQ==</vt:lpwstr>
  </property>
</Properties>
</file>