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SimHei" w:hAnsi="SimHei" w:eastAsia="SimHei"/>
          <w:bCs/>
          <w:sz w:val="32"/>
          <w:szCs w:val="32"/>
        </w:rPr>
      </w:pPr>
      <w:r>
        <w:rPr>
          <w:rFonts w:hint="eastAsia" w:ascii="SimHei" w:hAnsi="SimHei" w:eastAsia="SimHei"/>
          <w:bCs/>
          <w:sz w:val="32"/>
          <w:szCs w:val="32"/>
        </w:rPr>
        <w:t>《</w:t>
      </w:r>
      <w:r>
        <w:rPr>
          <w:rFonts w:hint="eastAsia"/>
          <w:b/>
          <w:sz w:val="28"/>
          <w:szCs w:val="30"/>
        </w:rPr>
        <w:t>围棋启蒙教学</w:t>
      </w:r>
      <w:r>
        <w:rPr>
          <w:rFonts w:hint="eastAsia" w:ascii="SimHei" w:hAnsi="SimHei" w:eastAsia="SimHei"/>
          <w:bCs/>
          <w:sz w:val="32"/>
          <w:szCs w:val="32"/>
        </w:rPr>
        <w:t>》本科课程教学大纲</w:t>
      </w:r>
    </w:p>
    <w:p>
      <w:pPr>
        <w:pStyle w:val="16"/>
        <w:spacing w:before="326" w:beforeLines="100" w:line="360" w:lineRule="auto"/>
        <w:rPr>
          <w:rFonts w:ascii="SimHei" w:hAnsi="宋体"/>
        </w:rPr>
      </w:pPr>
      <w:r>
        <w:rPr>
          <w:rFonts w:ascii="SimHei" w:hAnsi="宋体"/>
        </w:rPr>
        <w:t>一</w:t>
      </w:r>
      <w:r>
        <w:rPr>
          <w:rFonts w:hint="eastAsia" w:ascii="SimHei" w:hAnsi="宋体"/>
        </w:rPr>
        <w:t>、课程</w:t>
      </w:r>
      <w:r>
        <w:rPr>
          <w:rFonts w:ascii="SimHei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default" w:eastAsia="SimHe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（中文）围棋启蒙教学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（英文）The Surrounding Game for Kids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2135045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72" w:type="dxa"/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default" w:ascii="SimHei" w:hAnsi="SimHei" w:eastAsia="SimHe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学前教育2、3年级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i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A Go Guide from a Beginner（电子版，自编） 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ind w:left="120" w:leftChars="50"/>
              <w:jc w:val="left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9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>
            <w:pPr>
              <w:snapToGrid w:val="0"/>
              <w:spacing w:line="288" w:lineRule="auto"/>
            </w:pPr>
            <w:r>
              <w:rPr>
                <w:rFonts w:hint="eastAsia"/>
                <w:color w:val="000000"/>
                <w:sz w:val="20"/>
                <w:szCs w:val="20"/>
              </w:rPr>
              <w:t>围棋起源于中国，是流传至今的、世界上最古老的益智游戏。它规则极其简单，但是变化极其复杂。它是一门易学难精的学问。古人称为“小数”，有许多成语与围棋有关，比如专心致志、举一反三、举棋不定等等。在中华传统文化中，围棋的黑白象征阴阳，蕴含了自然之道和许多人生哲理，它是优秀传统文化的典型代表之一。琴棋书画在古代，被认为是人们修身养性的基本方式，其中棋指围棋。围棋正在世界范围内流行，中华围棋文化走出去的时代要求需要有懂启蒙教育，又懂英语的围棋教师。因此我们开设该门课程，目的是带领大家初步体验这一古老而全新的游戏、增加一门教学技能，增强职业文化自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667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>
            <w:pPr>
              <w:widowControl/>
              <w:spacing w:before="156" w:beforeLines="50" w:after="156" w:afterLines="50" w:line="288" w:lineRule="auto"/>
              <w:jc w:val="left"/>
            </w:pPr>
            <w:r>
              <w:rPr>
                <w:rFonts w:hint="eastAsia"/>
                <w:color w:val="000000"/>
                <w:sz w:val="20"/>
                <w:szCs w:val="20"/>
              </w:rPr>
              <w:t>围棋有易学难精，充满智慧的特点，即能娱乐，又可提高素质，锻炼智力，是幼儿园大班孩子十分喜欢的游戏项目之一。围棋文化走出去的时代要求，需要大量即懂围棋启蒙教学，又懂英语的人才。中宣部，国家体育总局、中国围棋协会等于2020年11月专门开展《中国围棋文化走出去工作会议》，部署研究各项战略和项目。掌握好用英语教围棋的技能，可以广泛结识世界各地的棋友和小朋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孙德常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2024-03-02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>
            <w:pPr>
              <w:widowControl w:val="0"/>
              <w:jc w:val="right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right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>
      <w:pPr>
        <w:spacing w:line="100" w:lineRule="exact"/>
        <w:rPr>
          <w:rFonts w:ascii="Arial" w:hAnsi="Arial" w:eastAsia="SimHei"/>
        </w:rPr>
      </w:pPr>
      <w:r>
        <w:br w:type="page"/>
      </w:r>
    </w:p>
    <w:p>
      <w:pPr>
        <w:pStyle w:val="16"/>
        <w:spacing w:before="326" w:beforeLines="100" w:line="360" w:lineRule="auto"/>
        <w:rPr>
          <w:rFonts w:ascii="SimHei" w:hAnsi="宋体"/>
        </w:rPr>
      </w:pPr>
      <w:r>
        <w:rPr>
          <w:rFonts w:hint="eastAsia" w:ascii="SimHei" w:hAnsi="宋体"/>
        </w:rPr>
        <w:t>二、课程目标与毕业要求</w:t>
      </w:r>
    </w:p>
    <w:p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color w:val="000000"/>
                <w:sz w:val="20"/>
              </w:rPr>
              <w:t>掌握</w:t>
            </w:r>
            <w:r>
              <w:rPr>
                <w:rFonts w:hint="eastAsia"/>
                <w:color w:val="000000"/>
                <w:sz w:val="20"/>
                <w:lang w:val="en-US" w:eastAsia="zh-CN"/>
              </w:rPr>
              <w:t>围棋的规则，了解围棋的起源和下法</w:t>
            </w:r>
            <w:r>
              <w:rPr>
                <w:rFonts w:hint="default"/>
                <w:color w:val="000000"/>
                <w:sz w:val="20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了解棋子的价值和不同位置的差别。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掌握对弈基本技巧，理解围棋的生存条件与围地的基本方法。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掌握基本基本的围棋英语术语、棋道和礼仪，能够开展国际交流。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素养目标</w:t>
            </w:r>
          </w:p>
          <w:p>
            <w:pPr>
              <w:snapToGrid w:val="0"/>
              <w:jc w:val="center"/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jc w:val="left"/>
              <w:rPr>
                <w:rFonts w:hint="default" w:ascii="宋体" w:hAnsi="宋体"/>
                <w:bCs/>
                <w:lang w:val="en-US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学会尊重对手，坦然面对失败。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了解世界围棋传播简史和部分经典棋局，具有反思意识和国际视野。</w:t>
            </w: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tabs>
                <w:tab w:val="left" w:pos="4200"/>
              </w:tabs>
              <w:adjustRightInd w:val="0"/>
              <w:snapToGrid w:val="0"/>
              <w:spacing w:line="440" w:lineRule="exact"/>
              <w:outlineLvl w:val="1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hAnsi="KaiTi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Ansi="KaiTi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O7</w:t>
            </w:r>
            <w:r>
              <w:rPr>
                <w:rFonts w:hint="eastAsia" w:hAnsi="KaiTi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：自主学习</w:t>
            </w:r>
            <w:r>
              <w:rPr>
                <w:rFonts w:hint="eastAsia" w:hAnsi="KaiTi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hAnsi="KaiTi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具有终身学习与专业发展意识，具备一定的信息素养，并能在工作中应用信息技术和工具解决问题。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tabs>
                <w:tab w:val="left" w:pos="4200"/>
              </w:tabs>
              <w:adjustRightInd w:val="0"/>
              <w:snapToGrid w:val="0"/>
              <w:spacing w:line="440" w:lineRule="exact"/>
              <w:outlineLvl w:val="1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hAnsi="KaiTi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Ansi="KaiTi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O8</w:t>
            </w:r>
            <w:r>
              <w:rPr>
                <w:rFonts w:hint="eastAsia" w:hAnsi="KaiTi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：国际视野</w:t>
            </w:r>
            <w:r>
              <w:rPr>
                <w:rFonts w:hint="eastAsia" w:hAnsi="KaiTi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hAnsi="KaiTi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具有全球意识和开放心态，具备外语表达沟通能力，达到本专业的要求，了解国外学前教育改革发展的趋势和前沿动态。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tabs>
                <w:tab w:val="left" w:pos="4200"/>
              </w:tabs>
              <w:adjustRightInd w:val="0"/>
              <w:snapToGrid w:val="0"/>
              <w:spacing w:line="440" w:lineRule="exact"/>
              <w:outlineLvl w:val="1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hAnsi="KaiTi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Ansi="KaiTi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O9</w:t>
            </w:r>
            <w:r>
              <w:rPr>
                <w:rFonts w:hint="eastAsia" w:hAnsi="KaiTi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：反思研究</w:t>
            </w:r>
            <w:r>
              <w:rPr>
                <w:rFonts w:hint="eastAsia" w:hAnsi="KaiTi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hAnsi="KaiTi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掌握研究幼儿行为和教育教学的方法，具有一定的创新意识和教育教学研究能力。</w:t>
            </w: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 w:ascii="SimHei" w:hAnsi="SimHei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自主学习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L07-1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651" w:type="dxa"/>
            <w:vAlign w:val="center"/>
          </w:tcPr>
          <w:p>
            <w:pPr>
              <w:pStyle w:val="14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default" w:ascii="宋体" w:hAnsi="宋体"/>
                <w:bCs/>
              </w:rPr>
              <w:t>1.掌握围棋的规则，了解围棋的起源和下法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default" w:ascii="宋体" w:hAnsi="宋体"/>
                <w:bCs/>
              </w:rPr>
              <w:t>了解棋子的价值和不同位置的差别</w:t>
            </w:r>
            <w:r>
              <w:rPr>
                <w:rFonts w:hint="eastAsia" w:ascii="宋体" w:hAnsi="宋体"/>
                <w:bCs/>
                <w:lang w:eastAsia="zh-CN"/>
              </w:rPr>
              <w:t>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b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</w:t>
            </w:r>
            <w:r>
              <w:rPr>
                <w:rFonts w:hint="default" w:ascii="宋体" w:hAnsi="宋体"/>
                <w:bCs/>
              </w:rPr>
              <w:t>.基本棋道和礼仪，让孩子尊重对手，懂得行棋的次序和方向。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国际视野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L08-1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651" w:type="dxa"/>
            <w:vAlign w:val="center"/>
          </w:tcPr>
          <w:p>
            <w:pPr>
              <w:pStyle w:val="14"/>
              <w:jc w:val="both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</w:t>
            </w:r>
            <w:r>
              <w:rPr>
                <w:rFonts w:hint="default" w:ascii="宋体" w:hAnsi="宋体"/>
                <w:bCs/>
              </w:rPr>
              <w:t>.了解世界围棋传播简史和经典棋局回顾</w:t>
            </w:r>
            <w:r>
              <w:rPr>
                <w:rFonts w:hint="eastAsia" w:ascii="宋体" w:hAnsi="宋体"/>
                <w:bCs/>
                <w:lang w:eastAsia="zh-CN"/>
              </w:rPr>
              <w:t>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>
            <w:pPr>
              <w:pStyle w:val="14"/>
              <w:jc w:val="both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4.</w:t>
            </w:r>
            <w:r>
              <w:rPr>
                <w:rFonts w:hint="default" w:ascii="宋体" w:hAnsi="宋体"/>
                <w:bCs/>
              </w:rPr>
              <w:t>掌握</w:t>
            </w:r>
            <w:r>
              <w:rPr>
                <w:rFonts w:hint="eastAsia" w:ascii="宋体" w:hAnsi="宋体"/>
                <w:bCs/>
                <w:lang w:val="en-US" w:eastAsia="zh-CN"/>
              </w:rPr>
              <w:t>基本的</w:t>
            </w:r>
            <w:r>
              <w:rPr>
                <w:rFonts w:hint="default" w:ascii="宋体" w:hAnsi="宋体"/>
                <w:bCs/>
              </w:rPr>
              <w:t>围棋英语术语</w:t>
            </w:r>
            <w:r>
              <w:rPr>
                <w:rFonts w:hint="eastAsia" w:ascii="宋体" w:hAnsi="宋体"/>
                <w:bCs/>
                <w:lang w:val="en-US" w:eastAsia="zh-CN"/>
              </w:rPr>
              <w:t>何国际交流策略。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反思研究</w:t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L09-3</w:t>
            </w: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5.</w:t>
            </w:r>
            <w:r>
              <w:rPr>
                <w:rFonts w:hint="default" w:ascii="宋体" w:hAnsi="宋体"/>
                <w:bCs/>
              </w:rPr>
              <w:t>了解围棋的生存条件与围地的基本方法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lang w:val="en-US" w:eastAsia="zh-CN"/>
              </w:rPr>
              <w:t>在围棋复盘中</w:t>
            </w:r>
            <w:r>
              <w:rPr>
                <w:rFonts w:hint="default" w:ascii="宋体" w:hAnsi="宋体"/>
                <w:bCs/>
              </w:rPr>
              <w:t>培养反思意识。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高</w:t>
            </w:r>
          </w:p>
        </w:tc>
      </w:tr>
    </w:tbl>
    <w:p>
      <w:pPr>
        <w:pStyle w:val="16"/>
        <w:spacing w:before="326" w:beforeLines="100" w:line="360" w:lineRule="auto"/>
        <w:rPr>
          <w:rFonts w:ascii="SimHei" w:hAnsi="宋体"/>
        </w:rPr>
      </w:pPr>
      <w:r>
        <w:rPr>
          <w:rFonts w:hint="eastAsia" w:ascii="SimHei" w:hAnsi="宋体"/>
        </w:rPr>
        <w:t>三、</w:t>
      </w:r>
      <w:r>
        <w:rPr>
          <w:rFonts w:ascii="SimHei" w:hAnsi="宋体"/>
        </w:rPr>
        <w:t>课程内容</w:t>
      </w:r>
      <w:r>
        <w:rPr>
          <w:rFonts w:hint="eastAsia" w:ascii="SimHei" w:hAnsi="宋体"/>
        </w:rPr>
        <w:t>与教学设计</w:t>
      </w:r>
    </w:p>
    <w:p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napToGrid w:val="0"/>
              <w:spacing w:line="480" w:lineRule="auto"/>
              <w:ind w:firstLine="392" w:firstLineChars="196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bookmarkStart w:id="0" w:name="OLE_LINK5"/>
            <w:bookmarkStart w:id="1" w:name="OLE_LINK6"/>
            <w:r>
              <w:rPr>
                <w:rFonts w:hint="eastAsia" w:ascii="宋体" w:hAnsi="宋体"/>
                <w:color w:val="000000"/>
                <w:sz w:val="20"/>
                <w:szCs w:val="20"/>
              </w:rPr>
              <w:t>第一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单元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围棋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规则（the rules of go）</w:t>
            </w:r>
          </w:p>
          <w:p>
            <w:pPr>
              <w:snapToGrid w:val="0"/>
              <w:spacing w:line="480" w:lineRule="auto"/>
              <w:ind w:firstLine="792" w:firstLineChars="396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教学目标：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Learning aims</w:t>
            </w:r>
          </w:p>
          <w:p>
            <w:pPr>
              <w:snapToGrid w:val="0"/>
              <w:spacing w:line="480" w:lineRule="auto"/>
              <w:ind w:firstLine="792" w:firstLineChars="396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初识围棋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to know the surrounding game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）</w:t>
            </w:r>
          </w:p>
          <w:p>
            <w:pPr>
              <w:snapToGrid w:val="0"/>
              <w:spacing w:line="480" w:lineRule="auto"/>
              <w:ind w:firstLine="792" w:firstLineChars="396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掌握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围棋规则（to master the rules of go）</w:t>
            </w:r>
          </w:p>
          <w:p>
            <w:pPr>
              <w:snapToGrid w:val="0"/>
              <w:spacing w:line="480" w:lineRule="auto"/>
              <w:ind w:firstLine="792" w:firstLineChars="396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教学重点：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Key points</w:t>
            </w:r>
          </w:p>
          <w:p>
            <w:pPr>
              <w:numPr>
                <w:ilvl w:val="0"/>
                <w:numId w:val="1"/>
              </w:numPr>
              <w:snapToGrid w:val="0"/>
              <w:spacing w:line="480" w:lineRule="auto"/>
              <w:ind w:firstLine="792" w:firstLineChars="396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规则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the rules</w:t>
            </w:r>
          </w:p>
          <w:p>
            <w:pPr>
              <w:numPr>
                <w:ilvl w:val="0"/>
                <w:numId w:val="1"/>
              </w:numPr>
              <w:snapToGrid w:val="0"/>
              <w:spacing w:line="480" w:lineRule="auto"/>
              <w:ind w:firstLine="792" w:firstLineChars="396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儿童棋具介绍 Basic Equipment for Kids</w:t>
            </w:r>
          </w:p>
          <w:p>
            <w:pPr>
              <w:numPr>
                <w:ilvl w:val="0"/>
                <w:numId w:val="1"/>
              </w:numPr>
              <w:snapToGrid w:val="0"/>
              <w:spacing w:line="480" w:lineRule="auto"/>
              <w:ind w:firstLine="792" w:firstLineChars="396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吃子技巧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capturing technologies</w:t>
            </w:r>
          </w:p>
          <w:p>
            <w:pPr>
              <w:numPr>
                <w:ilvl w:val="0"/>
                <w:numId w:val="0"/>
              </w:numPr>
              <w:snapToGrid w:val="0"/>
              <w:spacing w:line="480" w:lineRule="auto"/>
              <w:ind w:firstLine="400" w:firstLineChars="200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第二单元 围棋行棋常规</w:t>
            </w:r>
          </w:p>
          <w:p>
            <w:pPr>
              <w:numPr>
                <w:ilvl w:val="0"/>
                <w:numId w:val="2"/>
              </w:numPr>
              <w:snapToGrid w:val="0"/>
              <w:spacing w:line="480" w:lineRule="auto"/>
              <w:ind w:firstLine="800" w:firstLineChars="400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死活基础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life and death problem（puzzles）</w:t>
            </w:r>
          </w:p>
          <w:p>
            <w:pPr>
              <w:numPr>
                <w:ilvl w:val="0"/>
                <w:numId w:val="2"/>
              </w:numPr>
              <w:snapToGrid w:val="0"/>
              <w:spacing w:line="480" w:lineRule="auto"/>
              <w:ind w:firstLine="800" w:firstLineChars="400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围棋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布局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opening styles</w:t>
            </w:r>
          </w:p>
          <w:p>
            <w:pPr>
              <w:numPr>
                <w:ilvl w:val="0"/>
                <w:numId w:val="2"/>
              </w:numPr>
              <w:snapToGrid w:val="0"/>
              <w:spacing w:line="480" w:lineRule="auto"/>
              <w:ind w:firstLine="800" w:firstLineChars="400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中盘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战法  fighting </w:t>
            </w:r>
          </w:p>
          <w:p>
            <w:pPr>
              <w:numPr>
                <w:ilvl w:val="0"/>
                <w:numId w:val="2"/>
              </w:numPr>
              <w:snapToGrid w:val="0"/>
              <w:spacing w:line="480" w:lineRule="auto"/>
              <w:ind w:firstLine="800" w:firstLineChars="400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围棋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官子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endgame</w:t>
            </w:r>
          </w:p>
          <w:p>
            <w:pPr>
              <w:snapToGrid w:val="0"/>
              <w:spacing w:line="480" w:lineRule="auto"/>
              <w:ind w:firstLine="392" w:firstLineChars="196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三单元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围棋历史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the brief history of go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）</w:t>
            </w:r>
          </w:p>
          <w:p>
            <w:pPr>
              <w:snapToGrid w:val="0"/>
              <w:spacing w:line="480" w:lineRule="auto"/>
              <w:ind w:firstLine="792" w:firstLineChars="396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教学目标：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Learning Aims</w:t>
            </w:r>
          </w:p>
          <w:p>
            <w:pPr>
              <w:snapToGrid w:val="0"/>
              <w:spacing w:line="480" w:lineRule="auto"/>
              <w:ind w:firstLine="800" w:firstLineChars="400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认识各国围棋发展历史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（to know the brief history of go）</w:t>
            </w:r>
          </w:p>
          <w:p>
            <w:pPr>
              <w:snapToGrid w:val="0"/>
              <w:spacing w:line="480" w:lineRule="auto"/>
              <w:ind w:firstLine="792" w:firstLineChars="396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教学重点：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Key Points</w:t>
            </w:r>
          </w:p>
          <w:p>
            <w:pPr>
              <w:numPr>
                <w:ilvl w:val="0"/>
                <w:numId w:val="3"/>
              </w:numPr>
              <w:snapToGrid w:val="0"/>
              <w:spacing w:line="480" w:lineRule="auto"/>
              <w:ind w:firstLine="800" w:firstLineChars="400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中国历代围棋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Chinese Go History </w:t>
            </w:r>
          </w:p>
          <w:p>
            <w:pPr>
              <w:numPr>
                <w:ilvl w:val="0"/>
                <w:numId w:val="3"/>
              </w:numPr>
              <w:snapToGrid w:val="0"/>
              <w:spacing w:line="480" w:lineRule="auto"/>
              <w:ind w:firstLine="800" w:firstLineChars="400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日本围棋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Japanese Go History</w:t>
            </w:r>
          </w:p>
          <w:p>
            <w:pPr>
              <w:numPr>
                <w:ilvl w:val="0"/>
                <w:numId w:val="3"/>
              </w:numPr>
              <w:snapToGrid w:val="0"/>
              <w:spacing w:line="480" w:lineRule="auto"/>
              <w:ind w:firstLine="800" w:firstLineChars="400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韩国围棋 Korean Go History</w:t>
            </w:r>
          </w:p>
          <w:p>
            <w:pPr>
              <w:numPr>
                <w:ilvl w:val="0"/>
                <w:numId w:val="3"/>
              </w:numPr>
              <w:snapToGrid w:val="0"/>
              <w:spacing w:line="480" w:lineRule="auto"/>
              <w:ind w:firstLine="800" w:firstLineChars="400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世界围棋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Go Promotion Worldwide</w:t>
            </w:r>
          </w:p>
          <w:p>
            <w:pPr>
              <w:snapToGrid w:val="0"/>
              <w:spacing w:line="480" w:lineRule="auto"/>
              <w:ind w:firstLine="392" w:firstLineChars="196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四单元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围棋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启蒙教学（Teaching the Game for Kids）</w:t>
            </w:r>
          </w:p>
          <w:p>
            <w:pPr>
              <w:snapToGrid w:val="0"/>
              <w:spacing w:line="480" w:lineRule="auto"/>
              <w:ind w:firstLine="792" w:firstLineChars="396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教学目标：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Learning Aims</w:t>
            </w:r>
          </w:p>
          <w:p>
            <w:pPr>
              <w:snapToGrid w:val="0"/>
              <w:spacing w:line="480" w:lineRule="auto"/>
              <w:ind w:firstLine="792" w:firstLineChars="396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了解启蒙教学的基本原则 the principles of learning</w:t>
            </w:r>
          </w:p>
          <w:p>
            <w:pPr>
              <w:snapToGrid w:val="0"/>
              <w:spacing w:line="480" w:lineRule="auto"/>
              <w:ind w:firstLine="792" w:firstLineChars="396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掌握启蒙教学的基本方法 the methods of playing together</w:t>
            </w:r>
          </w:p>
          <w:p>
            <w:pPr>
              <w:snapToGrid w:val="0"/>
              <w:spacing w:line="480" w:lineRule="auto"/>
              <w:ind w:firstLine="792" w:firstLineChars="396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教学重点：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key points</w:t>
            </w:r>
          </w:p>
          <w:p>
            <w:pPr>
              <w:numPr>
                <w:ilvl w:val="0"/>
                <w:numId w:val="4"/>
              </w:numPr>
              <w:snapToGrid w:val="0"/>
              <w:spacing w:line="480" w:lineRule="auto"/>
              <w:ind w:firstLine="792" w:firstLineChars="396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How to prepare the game before starting</w:t>
            </w:r>
          </w:p>
          <w:p>
            <w:pPr>
              <w:numPr>
                <w:ilvl w:val="0"/>
                <w:numId w:val="4"/>
              </w:numPr>
              <w:snapToGrid w:val="0"/>
              <w:spacing w:line="480" w:lineRule="auto"/>
              <w:ind w:firstLine="792" w:firstLineChars="396"/>
              <w:rPr>
                <w:rFonts w:ascii="FangSong" w:hAnsi="FangSong" w:eastAsia="FangSong" w:cs="FangSong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Learning the game in a natural way</w:t>
            </w:r>
          </w:p>
        </w:tc>
      </w:tr>
      <w:bookmarkEnd w:id="0"/>
      <w:bookmarkEnd w:id="1"/>
    </w:tbl>
    <w:p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SimHei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SimHei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SimHei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SimHei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SimHei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47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>
            <w:pPr>
              <w:snapToGrid w:val="0"/>
              <w:spacing w:line="480" w:lineRule="auto"/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第一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单元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围棋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规则</w:t>
            </w:r>
          </w:p>
        </w:tc>
        <w:tc>
          <w:tcPr>
            <w:tcW w:w="1074" w:type="dxa"/>
            <w:vAlign w:val="center"/>
          </w:tcPr>
          <w:p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74" w:type="dxa"/>
            <w:vAlign w:val="center"/>
          </w:tcPr>
          <w:p>
            <w:pPr>
              <w:pStyle w:val="14"/>
            </w:pPr>
          </w:p>
        </w:tc>
        <w:tc>
          <w:tcPr>
            <w:tcW w:w="1074" w:type="dxa"/>
            <w:vAlign w:val="center"/>
          </w:tcPr>
          <w:p>
            <w:pPr>
              <w:pStyle w:val="14"/>
            </w:pPr>
          </w:p>
        </w:tc>
        <w:tc>
          <w:tcPr>
            <w:tcW w:w="1073" w:type="dxa"/>
            <w:vAlign w:val="center"/>
          </w:tcPr>
          <w:p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73" w:type="dxa"/>
            <w:vAlign w:val="center"/>
          </w:tcPr>
          <w:p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6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>
            <w:pPr>
              <w:numPr>
                <w:ilvl w:val="0"/>
                <w:numId w:val="0"/>
              </w:numPr>
              <w:snapToGrid w:val="0"/>
              <w:spacing w:line="480" w:lineRule="auto"/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第二单元行棋常规</w:t>
            </w:r>
          </w:p>
        </w:tc>
        <w:tc>
          <w:tcPr>
            <w:tcW w:w="1074" w:type="dxa"/>
            <w:vAlign w:val="center"/>
          </w:tcPr>
          <w:p>
            <w:pPr>
              <w:pStyle w:val="14"/>
            </w:pPr>
          </w:p>
        </w:tc>
        <w:tc>
          <w:tcPr>
            <w:tcW w:w="1074" w:type="dxa"/>
            <w:vAlign w:val="center"/>
          </w:tcPr>
          <w:p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74" w:type="dxa"/>
            <w:vAlign w:val="center"/>
          </w:tcPr>
          <w:p>
            <w:pPr>
              <w:pStyle w:val="14"/>
            </w:pPr>
          </w:p>
        </w:tc>
        <w:tc>
          <w:tcPr>
            <w:tcW w:w="1073" w:type="dxa"/>
            <w:vAlign w:val="center"/>
          </w:tcPr>
          <w:p>
            <w:pPr>
              <w:pStyle w:val="14"/>
            </w:pPr>
          </w:p>
        </w:tc>
        <w:tc>
          <w:tcPr>
            <w:tcW w:w="1073" w:type="dxa"/>
            <w:vAlign w:val="center"/>
          </w:tcPr>
          <w:p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>
            <w:pPr>
              <w:pStyle w:val="14"/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三单元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围棋历史</w:t>
            </w:r>
          </w:p>
        </w:tc>
        <w:tc>
          <w:tcPr>
            <w:tcW w:w="1074" w:type="dxa"/>
            <w:tcBorders/>
            <w:vAlign w:val="center"/>
          </w:tcPr>
          <w:p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74" w:type="dxa"/>
            <w:tcBorders/>
            <w:vAlign w:val="center"/>
          </w:tcPr>
          <w:p>
            <w:pPr>
              <w:pStyle w:val="14"/>
            </w:pPr>
          </w:p>
        </w:tc>
        <w:tc>
          <w:tcPr>
            <w:tcW w:w="1074" w:type="dxa"/>
            <w:tcBorders/>
            <w:vAlign w:val="center"/>
          </w:tcPr>
          <w:p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73" w:type="dxa"/>
            <w:tcBorders/>
            <w:vAlign w:val="center"/>
          </w:tcPr>
          <w:p>
            <w:pPr>
              <w:pStyle w:val="14"/>
            </w:pPr>
          </w:p>
        </w:tc>
        <w:tc>
          <w:tcPr>
            <w:tcW w:w="1073" w:type="dxa"/>
            <w:tcBorders/>
            <w:vAlign w:val="center"/>
          </w:tcPr>
          <w:p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pStyle w:val="14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四单元启蒙教学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</w:tbl>
    <w:p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3529"/>
        <w:gridCol w:w="964"/>
        <w:gridCol w:w="725"/>
        <w:gridCol w:w="669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教学单元</w:t>
            </w:r>
          </w:p>
        </w:tc>
        <w:tc>
          <w:tcPr>
            <w:tcW w:w="352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教与学方式</w:t>
            </w:r>
          </w:p>
        </w:tc>
        <w:tc>
          <w:tcPr>
            <w:tcW w:w="96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rFonts w:ascii="SimHei" w:hAnsi="SimHei"/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rFonts w:ascii="SimHei" w:hAnsi="SimHei"/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学时</w:t>
            </w:r>
            <w:r>
              <w:rPr>
                <w:rFonts w:hint="eastAsia" w:ascii="SimHei" w:hAnsi="SimHei"/>
                <w:bCs w:val="0"/>
                <w:szCs w:val="21"/>
              </w:rPr>
              <w:t>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3529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>
            <w:pPr>
              <w:snapToGrid w:val="0"/>
              <w:spacing w:line="480" w:lineRule="auto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第一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单元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围棋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规则</w:t>
            </w:r>
          </w:p>
        </w:tc>
        <w:tc>
          <w:tcPr>
            <w:tcW w:w="3529" w:type="dxa"/>
            <w:vAlign w:val="center"/>
          </w:tcPr>
          <w:p>
            <w:pPr>
              <w:rPr>
                <w:rFonts w:hint="eastAsia" w:ascii="Calibri" w:hAnsi="Calibri" w:eastAsia="宋体" w:cs="Times New Roman"/>
                <w:color w:val="000000"/>
                <w:kern w:val="2"/>
                <w:sz w:val="20"/>
                <w:szCs w:val="20"/>
                <w:lang w:val="en-US" w:eastAsia="zh-Hans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现场演示及</w:t>
            </w:r>
            <w:r>
              <w:rPr>
                <w:rFonts w:hint="eastAsia"/>
                <w:color w:val="000000"/>
                <w:sz w:val="20"/>
              </w:rPr>
              <w:t>课堂讲授</w:t>
            </w:r>
          </w:p>
        </w:tc>
        <w:tc>
          <w:tcPr>
            <w:tcW w:w="96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>
            <w:pPr>
              <w:numPr>
                <w:ilvl w:val="0"/>
                <w:numId w:val="0"/>
              </w:numPr>
              <w:snapToGrid w:val="0"/>
              <w:spacing w:line="480" w:lineRule="auto"/>
              <w:ind w:left="0" w:leftChars="0" w:firstLine="0" w:firstLineChars="0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第二单元行棋常规</w:t>
            </w:r>
          </w:p>
        </w:tc>
        <w:tc>
          <w:tcPr>
            <w:tcW w:w="3529" w:type="dxa"/>
            <w:vAlign w:val="center"/>
          </w:tcPr>
          <w:p>
            <w:pPr>
              <w:rPr>
                <w:rFonts w:ascii="Calibri" w:hAnsi="Calibri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分组对弈练习和讲解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96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三单元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围棋历史</w:t>
            </w:r>
          </w:p>
        </w:tc>
        <w:tc>
          <w:tcPr>
            <w:tcW w:w="3529" w:type="dxa"/>
            <w:vAlign w:val="center"/>
          </w:tcPr>
          <w:p>
            <w:pPr>
              <w:rPr>
                <w:rFonts w:ascii="Calibri" w:hAnsi="Calibri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围棋礼仪展示，课堂试讲练习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96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>
            <w:pPr>
              <w:pStyle w:val="14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四单元启蒙教学</w:t>
            </w:r>
          </w:p>
        </w:tc>
        <w:tc>
          <w:tcPr>
            <w:tcW w:w="3529" w:type="dxa"/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/>
                <w:bCs/>
                <w:sz w:val="21"/>
                <w:szCs w:val="21"/>
              </w:rPr>
              <w:t>经典棋局赏析，小组复盘交流。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练习</w:t>
            </w:r>
            <w:r>
              <w:rPr>
                <w:rFonts w:hint="default" w:ascii="Times New Roman" w:hAnsi="Times New Roman"/>
                <w:bCs/>
                <w:sz w:val="21"/>
                <w:szCs w:val="21"/>
              </w:rPr>
              <w:t>运用英语讲解围棋。</w:t>
            </w:r>
          </w:p>
        </w:tc>
        <w:tc>
          <w:tcPr>
            <w:tcW w:w="96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>
      <w:pPr>
        <w:pStyle w:val="17"/>
        <w:spacing w:before="326" w:beforeLines="100" w:after="163"/>
      </w:pPr>
      <w:r>
        <w:rPr>
          <w:rFonts w:hint="eastAsia"/>
        </w:rPr>
        <w:t>（四）课内实</w:t>
      </w:r>
      <w:r>
        <w:rPr>
          <w:rFonts w:hint="eastAsia"/>
          <w:lang w:val="en-US" w:eastAsia="zh-CN"/>
        </w:rPr>
        <w:t>训</w:t>
      </w:r>
      <w:r>
        <w:rPr>
          <w:rFonts w:hint="eastAsia"/>
        </w:rPr>
        <w:t>项目与基本要求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 w:ascii="SimHei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cs="宋体" w:asciiTheme="minorEastAsia" w:hAnsiTheme="minorEastAsia" w:eastAsiaTheme="minorEastAsia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围棋礼仪和规则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0" w:rightChars="0"/>
              <w:jc w:val="both"/>
              <w:rPr>
                <w:rFonts w:cs="宋体" w:asciiTheme="minorEastAsia" w:hAnsiTheme="minorEastAsia" w:eastAsiaTheme="minorEastAsia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围棋执子手势和坐姿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训练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演示型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cs="宋体" w:asciiTheme="minorEastAsia" w:hAnsiTheme="minorEastAsia" w:eastAsiaTheme="minorEastAsia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9路棋盘对弈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练习基本的行棋方法和死活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实战训练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cs="宋体" w:asciiTheme="minorEastAsia" w:hAnsiTheme="minorEastAsia" w:eastAsiaTheme="minorEastAsia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围棋历史文化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cs="宋体" w:asciiTheme="minorEastAsia" w:hAnsiTheme="minorEastAsia" w:eastAsiaTheme="minorEastAsia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学生课堂活动设计与展示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both"/>
              <w:rPr>
                <w:rFonts w:cs="宋体" w:asciiTheme="minorEastAsia" w:hAnsiTheme="minorEastAsia" w:eastAsiaTheme="minorEastAsia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试讲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Hans"/>
              </w:rPr>
              <w:t>训练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both"/>
              <w:rPr>
                <w:rFonts w:hint="default" w:cs="宋体" w:asciiTheme="minorEastAsia" w:hAnsiTheme="minorEastAsia" w:eastAsiaTheme="minorEastAsia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围棋入门课的试讲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演示型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实</w:t>
            </w:r>
            <w:r>
              <w:rPr>
                <w:rFonts w:hint="eastAsia"/>
                <w:lang w:val="en-US" w:eastAsia="zh-CN"/>
              </w:rPr>
              <w:t>训</w:t>
            </w:r>
            <w:r>
              <w:rPr>
                <w:rFonts w:hint="eastAsia"/>
              </w:rPr>
              <w:t xml:space="preserve">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>
      <w:pPr>
        <w:pStyle w:val="16"/>
        <w:spacing w:before="326" w:beforeLines="100" w:line="360" w:lineRule="auto"/>
        <w:ind w:firstLine="140" w:firstLineChars="50"/>
        <w:rPr>
          <w:rFonts w:ascii="SimHei" w:hAnsi="宋体"/>
        </w:rPr>
      </w:pPr>
      <w:bookmarkStart w:id="2" w:name="OLE_LINK2"/>
      <w:bookmarkStart w:id="3" w:name="OLE_LINK1"/>
      <w:r>
        <w:rPr>
          <w:rFonts w:hint="eastAsia" w:ascii="SimHei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>
            <w:pPr>
              <w:widowControl/>
              <w:spacing w:line="276" w:lineRule="auto"/>
              <w:ind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《棋经十三篇》自序中，张靖引用桓谭《新论》：“世有围棋之戏，或言是兵法之类。上者，远其疏张，置以会围，因而成得道之胜；中者，则务相绝遮要，以争便求利，故胜负狐疑，须计数以定；下者，则守边隅，趍作罫以自生于小地。”可谓旗帜鲜明地强调围棋的全局和大局，重视围棋的中腹。桓谭是东汉哲学家。他通音律，善鼓琴，博学多通，遍习五经。从语言学的角度看，语篇的首句和末句往往都是关键句。将所引用的经典话语放在段落最后一句，往往是为了突出主题和思想。</w:t>
            </w:r>
          </w:p>
          <w:p>
            <w:pPr>
              <w:widowControl/>
              <w:spacing w:line="276" w:lineRule="auto"/>
              <w:ind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《新论》道賦第十二諺曰：侏儒見一節，而長短可知。孔子言：“舉一隅足以三隅反”。可见把孔子这句话用在围棋上，也特别合适。《棋经十三篇》中所引用的儒家经典，说明宋代儒学对围棋的理解和态度。值得注意的是，琴道第十六有“昔神農氏繼宓義而王天下，亦上觀法於天，下取法於地，近取諸身，遠取諸物，於是始削桐為琴，繩絲為弦，以通神明之德，合天地之和焉。（琴長）三尺六寸有六分，象期之數。厚寸有八，象三六數。廣六寸，象六律。上圓而斂，法天。下方而平，法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perscript"/>
                <w:lang w:val="en"/>
              </w:rPr>
              <w:footnoteReference w:id="0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”。这里描述古琴的说法与围棋的象征极为一致，用棋盘模拟世界。可以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大胆推测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围棋棋盘19路至少不晚于这个时期。</w:t>
            </w:r>
          </w:p>
          <w:p>
            <w:pPr>
              <w:widowControl/>
              <w:spacing w:line="276" w:lineRule="auto"/>
              <w:ind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“日日新”是棋局篇中篇未引用的典故，此句出自《礼记》第四十二篇。宋代二程兄弟从《礼记》中把《大学》单独选出来。宋代《大学》、《论语》、《孟子》、《中庸》为“四书”，必读教科书。作者曾参(前505年-435年) 十六岁拜孔子为师。他的修齐治平的政治观，省身慎独的修养观，以孝为本的孝道观有广泛而深远的影响。</w:t>
            </w:r>
          </w:p>
          <w:p>
            <w:pPr>
              <w:widowControl/>
              <w:spacing w:line="276" w:lineRule="auto"/>
              <w:ind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原句为：汤之盘铭曰：“苟日新，日日新，又日新”。意思是：商汤王刻在洗澡盆上的箴言说“如果能够一天新，就应保持天天新，新了还要更新”。从日常生活中的洗澡引申到精神和品德上的修炼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perscript"/>
                <w:lang w:val="en"/>
              </w:rPr>
              <w:footnoteReference w:id="1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。这里可以看出作者引用“日日新”绝不是简单讲围棋的复杂变化和千古无同局的一层含义。修身养性更是围棋之道。正如当今中国，是正在发生深刻变革的国家。我们的先人早就提出了“天行健，君子以自强不息”的思想，强调要“苟日新，日日新，又日新”。在激烈的国际竞争中前行，就如同逆水行舟，不进则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perscript"/>
                <w:lang w:val="en"/>
              </w:rPr>
              <w:footnoteReference w:id="2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。</w:t>
            </w:r>
          </w:p>
          <w:p>
            <w:pPr>
              <w:widowControl/>
              <w:spacing w:line="276" w:lineRule="auto"/>
              <w:ind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权舆篇第三引用“先于四隅分定势子”与《論語》子曰“不愤不启，不悱不发。举一隅不以三隅反，则不复也”。孔子认为：“培养学生，不到他想弄明白而不得的时候，不去开导他；不到他想出来却说不出来的时候，不去启发他。在围棋复盘中教给他一个角部的变化，他如果不能由此而推知其他三个角部，那就不要继续复盘了。”孔子注重启发教育，同时也强调学习者的主动性。运用棋盘上的道理，阐述他的教育理念。不仅说明孔子会下围棋，而且孔子的棋艺水平一定不低。从“尧造围棋”的传说中，我们可以理解为围棋是一种教育工具或教育活动。“举一隅不以三隅反”在围棋棋盘上更加显得生动。</w:t>
            </w:r>
          </w:p>
          <w:p>
            <w:pPr>
              <w:widowControl/>
              <w:spacing w:line="276" w:lineRule="auto"/>
              <w:ind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得算篇第二“少算不胜”出自《孙子兵法·始计第一》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perscript"/>
                <w:lang w:val="en"/>
              </w:rPr>
              <w:footnoteReference w:id="3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。孙子曰：夫未战而庙算胜者，得算多也；未战而庙算不胜者，得算少也。多算胜，少算不胜，而况于无算乎！吾以此观之，胜负见矣。《孙子兵法》被译成英文“The Art of War”，是中国古典军事文化遗产和中国优秀文化传统的重要组成部分，与克劳塞维茨《战争论》和宫本武藏《五轮书》合称世界三大兵书。句中“庙算”指古代兴师作战之前，通常要在庙堂里商议谋划，分析战争的利害得失，制定作战方略。当今日常生活居家过日子，也有流传甚广的古语：“吃不穷，花不穷，就怕算不到”。长远的规划和全球视野也是我们今天所缺的。眼下中国经济转型期，短期行为和急功近利还比较普遍。</w:t>
            </w:r>
          </w:p>
          <w:p>
            <w:pPr>
              <w:widowControl/>
              <w:spacing w:line="276" w:lineRule="auto"/>
              <w:ind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权舆篇未句用“靡不有初，鲜克有终 ”。中国古代第一部诗歌总集《诗经·大雅·荡》全诗八章，每章八句，每句四或五字。此句出自第一章“荡荡上帝，下民之辟。疾威上帝，其命多辟。天生烝民，其命匪谌。靡不有初，鲜克有终”。意思是：刚开始做的时候都能有一个好的开始，但很少有人能坚持到最后。多用以告诫人们为人要善始至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perscript"/>
                <w:lang w:val="en"/>
              </w:rPr>
              <w:footnoteReference w:id="4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。</w:t>
            </w:r>
          </w:p>
          <w:p>
            <w:pPr>
              <w:widowControl/>
              <w:spacing w:line="276" w:lineRule="auto"/>
              <w:ind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合战篇第四“惴惴小心，如临于谷”出自《诗经·小雅·小宛》。这是一首父母离世后劝告兄弟小心避祸的诗歌。全诗六章，每章六句，每句四字。此句出自第六章“温温恭人，如集于木。惴惴小心，如临于谷。战战兢兢，如履薄冰”。意思是：温和恭谨那些人，就像站在高树上。担心害怕真警惕，就像身临深谷旁。心惊胆战太不安，如踩薄冰恐沦丧。朱熹《集传》认为这是一首“大夫遭时之乱，而兄弟相戒以免祸之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perscript"/>
                <w:lang w:val="en"/>
              </w:rPr>
              <w:footnoteReference w:id="5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”。</w:t>
            </w:r>
          </w:p>
          <w:p>
            <w:pPr>
              <w:widowControl/>
              <w:spacing w:line="276" w:lineRule="auto"/>
              <w:ind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虚实篇第五“见可而行，知难而退，军之善政也。”出自《左传·宣公十二年》。春秋时期，晋国和楚国为争夺霸权相互进行战争，郑国处于他们之间，他依附晋国，楚国就派兵征服它。原指作战时根据机遇而行动，不要去做客观上是不可能的或很难完成的，但是后来被误解为是指因为遇到某些事情而不愿意去完成的借口，目前是经常是用后者含义。北宋时期军事上消极防御，照搬古代阵法，不能随机而动的弊端。虽在谈棋，但读者自然可以联想到时政的弊端。</w:t>
            </w:r>
          </w:p>
          <w:p>
            <w:pPr>
              <w:widowControl/>
              <w:spacing w:line="276" w:lineRule="auto"/>
              <w:ind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自知篇第六引用“自知者明”出自老子《道德经》第三十三章“知人者智，自知者明。胜人者有力，自胜者强。知足者富。强行者有志。不失其所者久。死而不亡者寿” 这也道出了修身养性的极高境界。</w:t>
            </w:r>
          </w:p>
          <w:p>
            <w:pPr>
              <w:widowControl/>
              <w:spacing w:line="276" w:lineRule="auto"/>
              <w:ind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审局篇第七的“穷则变，变则通，通则久”出自《周易·系辞下》。中国古代朴素唯物主义思想的发源地。其意思是指事物在时间上是不以人的意志为转移而发生变化的。即为“变通”。“变通”当今仍然极具通用性。告诫人们遇事不必死钻牛角，而应该懂得通融、屈伸。正如《敦煌棋经》中的“棋有弃一之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perscript"/>
                <w:lang w:val="en"/>
              </w:rPr>
              <w:footnoteReference w:id="6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”。</w:t>
            </w:r>
          </w:p>
          <w:p>
            <w:pPr>
              <w:widowControl/>
              <w:spacing w:line="276" w:lineRule="auto"/>
              <w:ind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度情篇第八“他人有心，予忖度之” 出自《诗经·小雅·巧言》别人有什麽心思，我能揣测出。讽刺周幽王听信谗言，小人厚颜无耻，搬弄是非，酿成祸乱。全诗六章，每章八句，每句四字。此句出自第四章“奕奕寝庙，君子作之。秩秩大猷，圣人莫之。他人有心，予忖度之。跃跃毚兔，遇犬获之。” 第五章为“荏染柔木，君子树之。往来行言，心焉数之。蛇蛇硕言，出自口矣。巧言如簧，颜之厚矣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perscript"/>
                <w:lang w:val="en"/>
              </w:rPr>
              <w:footnoteReference w:id="7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”。可喻忠良被奸臣所害，宋代“一朝天子一朝臣”的现象。</w:t>
            </w:r>
          </w:p>
          <w:p>
            <w:pPr>
              <w:widowControl/>
              <w:spacing w:line="276" w:lineRule="auto"/>
              <w:ind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斜正篇第九引用“正而不谲”出自孔子《论语·宪问》。子曰“晋文公谲而不正，齐桓公正而不谲”。晋文公（公元前636-前628年）和齐桓公（公元前685-前643年）都是春秋时期的政治家，著名的霸主。孔子主张“礼乐征伐自天子出”。晋文公称霸后违反礼制召见周天子，而齐桓公以“尊王”的旗号称霸符合礼制。孔子认为“谲”为欺诈和玩弄手段，是不可以被接受的。宋代士大夫们在围棋上也认为“正而不谲”是重要的。其实这是人类进步的表现。不仅注重目的的正当性，而且注重所用手段的正当性。这在当今看来，也是极具积极意义的。</w:t>
            </w:r>
          </w:p>
          <w:p>
            <w:pPr>
              <w:widowControl/>
              <w:spacing w:line="276" w:lineRule="auto"/>
              <w:ind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洞微篇第十“非天下之至精，其孰能与于此”出自《易经·系辞》五十六 “无有远近幽深遂知来物， 非天下之至精，其孰能与于此”。指精微的人或事物无论处在什么样的空间和时间、都将把求问的结果告知。因为《易经》所阐述的道，使人类对未知的世界有了预知的可能。“非天下之至精，其孰能与于此”者，围棋自然是道。如果不是道，精微如此，还有什么可以做到呢?</w:t>
            </w:r>
          </w:p>
          <w:p>
            <w:pPr>
              <w:widowControl/>
              <w:spacing w:line="276" w:lineRule="auto"/>
              <w:ind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名数篇第十一“必也，名正乎！”出于《论语.子路篇第十三》，子路曰“卫君待子而为政，子将奚先?”子曰“必也，正名乎！” 子路曰“有是哉?子之迂也！奚其正?”子曰“野哉，由也！君子于其所不知，盖阙如也。名不正,则言不顺；言不顺,则事不成；事不成,则礼乐不兴；礼乐不兴，则刑罚不中；刑罚不中，则民无所措手足。故君子名之必可言也，言之必可行也。君子于其言，无所苟而已矣！”</w:t>
            </w:r>
          </w:p>
          <w:p>
            <w:pPr>
              <w:widowControl/>
              <w:spacing w:line="276" w:lineRule="auto"/>
              <w:ind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品格篇第十二引用孔子的：“生而知之者，上也；学而知之者，次也；困而学之，又其次也；困而不学，民斯为下矣。” 孔子的意思是说：“天生就懂得的人最聪明，通过学习而懂得的人次一等，遇到困难才去学习的人又次一等。遇到困难还不学习，就是下等的愚民。” 但是他承认自己是经过学习之后才知道的。他希望人们勤奋好学，不要等遇到困难再去学习。</w:t>
            </w:r>
          </w:p>
          <w:p>
            <w:pPr>
              <w:widowControl/>
              <w:spacing w:line="276" w:lineRule="auto"/>
              <w:ind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杂说篇第十三引用《周易·系辞下》“君子安而不忘危，存而不忘亡，治而不忘乱，是以身安而国家可保业。”这句话就是说一个有道德有修养的人在安稳、安定的时候不能够忘记危险、危机的时刻。居安思危，在情况好的时候要随时想着不好的时候,这样才能让人随时保持一种警惕意识,和一种不断向前进的动力。</w:t>
            </w:r>
          </w:p>
          <w:p>
            <w:pPr>
              <w:widowControl/>
              <w:spacing w:line="276" w:lineRule="auto"/>
              <w:ind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跋用“犹盘中走圆，横斜曲直，系于临时，不尽可知。而必可知者，是圆不能出于盘也。”参考杜牧《樊川文集》卷十《注孙子序》“犹盘中走丸，横斜曲直，计于临时，不尽可知。其必可知者，是知丸不能出于盘也。”“走丸”比喻事势发展顺利而快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perscript"/>
                <w:lang w:val="en"/>
              </w:rPr>
              <w:footnoteReference w:id="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总之，围棋与修身养性密切联系在一起，围棋之道就是养生知性的方法。《棋经十三篇》不仅仅是一篇关于对弈理论的集大成者。正如其跋所说的那样，人人能诵此十三篇，并被历代棋家视为圭皋。因棋与修身养性有关，当今亦有十分深远的人生指导意义。</w:t>
            </w:r>
          </w:p>
          <w:p>
            <w:pPr>
              <w:pStyle w:val="14"/>
              <w:widowControl w:val="0"/>
              <w:jc w:val="left"/>
            </w:pPr>
          </w:p>
          <w:p>
            <w:pPr>
              <w:pStyle w:val="14"/>
              <w:widowControl w:val="0"/>
              <w:jc w:val="left"/>
            </w:pPr>
          </w:p>
          <w:p>
            <w:pPr>
              <w:pStyle w:val="14"/>
              <w:widowControl w:val="0"/>
              <w:jc w:val="left"/>
              <w:rPr>
                <w:rFonts w:hint="eastAsia"/>
              </w:rPr>
            </w:pPr>
          </w:p>
        </w:tc>
      </w:tr>
    </w:tbl>
    <w:p>
      <w:pPr>
        <w:pStyle w:val="16"/>
        <w:spacing w:before="326" w:beforeLines="100" w:line="360" w:lineRule="auto"/>
        <w:rPr>
          <w:rFonts w:ascii="SimHei" w:hAnsi="宋体"/>
        </w:rPr>
      </w:pPr>
      <w:r>
        <w:rPr>
          <w:rFonts w:hint="eastAsia" w:ascii="SimHei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SimHei" w:hAnsi="宋体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SimHei" w:hAnsi="宋体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pStyle w:val="16"/>
              <w:widowControl w:val="0"/>
              <w:jc w:val="both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>
            <w:pPr>
              <w:pStyle w:val="16"/>
              <w:widowControl w:val="0"/>
              <w:jc w:val="both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SimHei" w:hAnsi="SimHei" w:eastAsia="SimHei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SimHei" w:hAnsi="SimHei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SimHei" w:hAnsi="SimHei" w:eastAsia="SimHei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SimHei" w:hAnsi="SimHei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SimHei" w:hAnsi="SimHei" w:eastAsia="SimHei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SimHei" w:hAnsi="SimHei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SimHei" w:hAnsi="SimHei" w:eastAsia="SimHei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SimHei" w:hAnsi="SimHei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SimHei" w:hAnsi="SimHei" w:eastAsia="SimHei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SimHei" w:hAnsi="SimHei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SimHei" w:cs="Arial"/>
                <w:bCs/>
                <w:sz w:val="21"/>
                <w:szCs w:val="21"/>
                <w:lang w:val="en-US" w:eastAsia="zh-CN"/>
              </w:rPr>
              <w:t>X</w:t>
            </w:r>
            <w:r>
              <w:rPr>
                <w:rFonts w:ascii="Arial" w:hAnsi="Arial" w:eastAsia="SimHei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作业</w:t>
            </w:r>
            <w:r>
              <w:rPr>
                <w:rFonts w:hint="eastAsia"/>
                <w:bCs/>
                <w:color w:val="000000"/>
                <w:szCs w:val="20"/>
                <w:lang w:val="en-US" w:eastAsia="zh-CN"/>
              </w:rPr>
              <w:t>1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Arial" w:hAnsi="Arial" w:eastAsia="SimHei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SimHei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bCs/>
                <w:color w:val="000000"/>
                <w:szCs w:val="20"/>
                <w:lang w:val="en-US" w:eastAsia="zh-CN"/>
              </w:rPr>
              <w:t>作业2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Arial" w:hAnsi="Arial" w:eastAsia="SimHei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SimHei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bCs/>
                <w:color w:val="000000"/>
                <w:szCs w:val="20"/>
                <w:lang w:val="en-US" w:eastAsia="zh-CN"/>
              </w:rPr>
              <w:t>作业3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2353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70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</w:p>
        </w:tc>
      </w:tr>
    </w:tbl>
    <w:p>
      <w:pPr>
        <w:pStyle w:val="16"/>
        <w:spacing w:before="326" w:beforeLines="100" w:line="360" w:lineRule="auto"/>
        <w:rPr>
          <w:rFonts w:ascii="SimHei" w:hAnsi="宋体"/>
        </w:rPr>
      </w:pPr>
      <w:r>
        <w:rPr>
          <w:rFonts w:hint="eastAsia" w:ascii="SimHei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widowControl/>
              <w:numPr>
                <w:numId w:val="0"/>
              </w:numPr>
              <w:spacing w:line="276" w:lineRule="auto"/>
              <w:ind w:leftChars="0" w:firstLine="2530" w:firstLineChars="1200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kern w:val="0"/>
                <w:sz w:val="21"/>
                <w:szCs w:val="21"/>
                <w:lang w:val="en-US" w:eastAsia="zh-CN"/>
              </w:rPr>
              <w:t>关于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围棋的本质及其教育属性</w:t>
            </w:r>
          </w:p>
          <w:p>
            <w:pPr>
              <w:widowControl/>
              <w:numPr>
                <w:ilvl w:val="0"/>
                <w:numId w:val="0"/>
              </w:numPr>
              <w:spacing w:line="276" w:lineRule="auto"/>
              <w:ind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从本质上讲，围棋是一种探索世界与认识自己的工具和方式。这里的世界不仅仅指我们每个人之外的大千世界，而且包含自己的内部世界。这一工具可以帮助我们发现外部世界和内部世界的各种现象，以及他们之间的关系。有人说，人们在对弈的过程中，可以体会到七情六欲，可以感概世事无常，可以体会到矛盾无处不在，变化莫测。它模拟了一个我们的真实世界，并用最小的代价，帮我们认识自我、认识世界，从而学会从容面对未知世界的挑战。从这个意义上讲，围棋也是一种关于生命的教育。黑白轮流，是一种直观的昼夜更替，它是一个时间的维度。19路棋盘虽然是一个二维的平面，加上时间的维度，就构成了一个特殊的三维世界。对弈者的加入，这一重要维度，就完全模拟了一个我们所处的四维空间的世界。</w:t>
            </w:r>
          </w:p>
          <w:p>
            <w:pPr>
              <w:widowControl/>
              <w:numPr>
                <w:ilvl w:val="0"/>
                <w:numId w:val="0"/>
              </w:numPr>
              <w:spacing w:line="276" w:lineRule="auto"/>
              <w:ind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教育的过程就是教师与学生一起学习和进步的过程，而且彼此能够互相欣赏。这种境界是我们所追求的。其判段的标准应该是我们自身的修身境界的提高，也就是我们体悟的加深。面临一个新时代，慢慢学会真真了解自己的一切。这其实也就是我国传统教育理念所强调的教学相长。教师首先需要抱着一种欣赏的眼光参与到学生的学习活动中，哪怕是一种不符合规范的行为或者习惯，或者态度。教师坚持用一种欣赏的眼光和心境对待教育过程中的一切，正如我们传统所强调的“不宜执意”，不必过于看重胜负。怀有一种“无心”的境界，真心地投入这种学习的过程。然而这种道理说起来容易，做起来总是不知不觉随着棋局的进展，慢慢地忘记了自己的初衷，慢慢陷入棋局之中，而做不到旁观者清的境界。反复的陷入和跳出，这样的过程九可以让一个人更加认识自己。</w:t>
            </w:r>
          </w:p>
          <w:p>
            <w:pPr>
              <w:widowControl/>
              <w:numPr>
                <w:ilvl w:val="0"/>
                <w:numId w:val="0"/>
              </w:numPr>
              <w:spacing w:line="276" w:lineRule="auto"/>
              <w:ind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14"/>
              <w:widowControl w:val="0"/>
              <w:jc w:val="left"/>
              <w:rPr>
                <w:rFonts w:ascii="SimHei"/>
              </w:rPr>
            </w:pPr>
          </w:p>
        </w:tc>
      </w:tr>
    </w:tbl>
    <w:p>
      <w:pPr>
        <w:pStyle w:val="16"/>
        <w:rPr>
          <w:rFonts w:hint="eastAsia" w:ascii="SimHei" w:hAnsi="宋体"/>
          <w:sz w:val="18"/>
          <w:szCs w:val="16"/>
        </w:rPr>
      </w:pPr>
    </w:p>
    <w:sectPr>
      <w:headerReference r:id="rId4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方正小标宋简体">
    <w:altName w:val="FZShuTi"/>
    <w:panose1 w:val="02010601030101010101"/>
    <w:charset w:val="86"/>
    <w:family w:val="script"/>
    <w:pitch w:val="default"/>
    <w:sig w:usb0="00000000" w:usb1="00000000" w:usb2="00000010" w:usb3="00000000" w:csb0="00040001" w:csb1="00000000"/>
  </w:font>
  <w:font w:name="FZShuTi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aiT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KaiTi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8">
    <w:p>
      <w:r>
        <w:separator/>
      </w:r>
    </w:p>
  </w:footnote>
  <w:footnote w:type="continuationSeparator" w:id="19">
    <w:p>
      <w:r>
        <w:continuationSeparator/>
      </w:r>
    </w:p>
  </w:footnote>
  <w:footnote w:id="0">
    <w:p>
      <w:pPr>
        <w:rPr>
          <w:rFonts w:cs="Times New Roman" w:asciiTheme="minorEastAsia" w:hAnsiTheme="minorEastAsia"/>
          <w:szCs w:val="21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cs="Gungsuh" w:asciiTheme="minorEastAsia" w:hAnsiTheme="minorEastAsia"/>
          <w:szCs w:val="21"/>
        </w:rPr>
        <w:t>[汉]桓谭，黄霖和李力，校点，《新论》上海：上海人民出版社，1977年，</w:t>
      </w:r>
      <w:r>
        <w:rPr>
          <w:rFonts w:cs="Times New Roman" w:asciiTheme="minorEastAsia" w:hAnsiTheme="minorEastAsia"/>
          <w:szCs w:val="21"/>
        </w:rPr>
        <w:t>p63</w:t>
      </w:r>
    </w:p>
  </w:footnote>
  <w:footnote w:id="1">
    <w:p>
      <w:pPr>
        <w:rPr>
          <w:rFonts w:cs="Times New Roman" w:asciiTheme="minorEastAsia" w:hAnsiTheme="minorEastAsia"/>
          <w:szCs w:val="21"/>
        </w:rPr>
      </w:pPr>
      <w:r>
        <w:rPr>
          <w:rFonts w:asciiTheme="minorEastAsia" w:hAnsiTheme="minorEastAsia"/>
          <w:szCs w:val="21"/>
          <w:vertAlign w:val="superscript"/>
        </w:rPr>
        <w:footnoteRef/>
      </w:r>
      <w:r>
        <w:rPr>
          <w:rFonts w:asciiTheme="minorEastAsia" w:hAnsiTheme="minorEastAsia"/>
          <w:szCs w:val="21"/>
        </w:rPr>
        <w:t xml:space="preserve"> </w:t>
      </w:r>
      <w:r>
        <w:rPr>
          <w:rFonts w:cs="Gungsuh" w:asciiTheme="minorEastAsia" w:hAnsiTheme="minorEastAsia"/>
          <w:szCs w:val="21"/>
        </w:rPr>
        <w:t>古诗文网 http://www.gushiwen.org</w:t>
      </w:r>
    </w:p>
  </w:footnote>
  <w:footnote w:id="2"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Theme="minorEastAsia" w:hAnsiTheme="minorEastAsia"/>
          <w:szCs w:val="21"/>
          <w:vertAlign w:val="superscript"/>
        </w:rPr>
        <w:footnoteRef/>
      </w:r>
      <w:r>
        <w:rPr>
          <w:rFonts w:asciiTheme="minorEastAsia" w:hAnsiTheme="minorEastAsia"/>
          <w:szCs w:val="21"/>
        </w:rPr>
        <w:t xml:space="preserve"> </w:t>
      </w:r>
      <w:r>
        <w:rPr>
          <w:rFonts w:cs="Gungsuh" w:asciiTheme="minorEastAsia" w:hAnsiTheme="minorEastAsia"/>
          <w:szCs w:val="21"/>
        </w:rPr>
        <w:t>习近平，《在布鲁日欧洲学院的演讲》，新华网，http://news.xinhuanet.com，2014年4月</w:t>
      </w:r>
    </w:p>
  </w:footnote>
  <w:footnote w:id="3">
    <w:p>
      <w:pPr>
        <w:rPr>
          <w:rFonts w:cs="Times New Roman" w:asciiTheme="minorEastAsia" w:hAnsiTheme="minorEastAsia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cs="Gungsuh" w:asciiTheme="minorEastAsia" w:hAnsiTheme="minorEastAsia"/>
          <w:sz w:val="20"/>
          <w:szCs w:val="20"/>
        </w:rPr>
        <w:t>陈才俊主编，《孙子兵法全集》，北京：海潮出版社，2007年5月</w:t>
      </w:r>
    </w:p>
  </w:footnote>
  <w:footnote w:id="4">
    <w:p>
      <w:pPr>
        <w:rPr>
          <w:rFonts w:cs="Times New Roman" w:asciiTheme="minorEastAsia" w:hAnsiTheme="minorEastAsia"/>
          <w:sz w:val="20"/>
          <w:szCs w:val="20"/>
        </w:rPr>
      </w:pPr>
      <w:r>
        <w:rPr>
          <w:rFonts w:asciiTheme="minorEastAsia" w:hAnsiTheme="minorEastAsia"/>
          <w:vertAlign w:val="superscript"/>
        </w:rPr>
        <w:footnoteRef/>
      </w:r>
      <w:r>
        <w:rPr>
          <w:rFonts w:asciiTheme="minorEastAsia" w:hAnsiTheme="minorEastAsia"/>
          <w:sz w:val="20"/>
          <w:szCs w:val="20"/>
        </w:rPr>
        <w:t xml:space="preserve"> </w:t>
      </w:r>
      <w:r>
        <w:rPr>
          <w:rFonts w:cs="Gungsuh" w:asciiTheme="minorEastAsia" w:hAnsiTheme="minorEastAsia"/>
          <w:sz w:val="20"/>
          <w:szCs w:val="20"/>
        </w:rPr>
        <w:t>向熹 译注，《诗经》，北京：高等教育出版社，2008年12月，p311</w:t>
      </w:r>
    </w:p>
  </w:footnote>
  <w:footnote w:id="5">
    <w:p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vertAlign w:val="superscript"/>
        </w:rPr>
        <w:footnoteRef/>
      </w:r>
      <w:r>
        <w:rPr>
          <w:rFonts w:asciiTheme="minorEastAsia" w:hAnsiTheme="minorEastAsia"/>
          <w:sz w:val="20"/>
          <w:szCs w:val="20"/>
        </w:rPr>
        <w:t xml:space="preserve"> </w:t>
      </w:r>
      <w:r>
        <w:rPr>
          <w:rFonts w:cs="Gungsuh" w:asciiTheme="minorEastAsia" w:hAnsiTheme="minorEastAsia"/>
          <w:sz w:val="20"/>
          <w:szCs w:val="20"/>
        </w:rPr>
        <w:t>向熹 译注，《诗经》，北京：高等教育出版社，2008年12月，p211</w:t>
      </w:r>
    </w:p>
  </w:footnote>
  <w:footnote w:id="6">
    <w:p>
      <w:pPr>
        <w:rPr>
          <w:sz w:val="20"/>
          <w:szCs w:val="20"/>
        </w:rPr>
      </w:pPr>
      <w:r>
        <w:rPr>
          <w:rFonts w:asciiTheme="minorEastAsia" w:hAnsiTheme="minorEastAsia"/>
          <w:vertAlign w:val="superscript"/>
        </w:rPr>
        <w:footnoteRef/>
      </w:r>
      <w:r>
        <w:rPr>
          <w:rFonts w:asciiTheme="minorEastAsia" w:hAnsiTheme="minorEastAsia"/>
          <w:sz w:val="20"/>
          <w:szCs w:val="20"/>
        </w:rPr>
        <w:t xml:space="preserve"> </w:t>
      </w:r>
      <w:r>
        <w:rPr>
          <w:rFonts w:cs="Calibri" w:asciiTheme="minorEastAsia" w:hAnsiTheme="minorEastAsia"/>
          <w:szCs w:val="21"/>
        </w:rPr>
        <w:t>成恩元，《敦煌棋经笺证》成都：蜀蓉棋艺出版社，1990年4月，p237</w:t>
      </w:r>
    </w:p>
  </w:footnote>
  <w:footnote w:id="7">
    <w:p>
      <w:pPr>
        <w:rPr>
          <w:rFonts w:asciiTheme="minorEastAsia" w:hAnsiTheme="minorEastAsi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 Unicode MS" w:hAnsi="Arial Unicode MS" w:eastAsia="Arial Unicode MS" w:cs="Arial Unicode MS"/>
          <w:sz w:val="20"/>
          <w:szCs w:val="20"/>
        </w:rPr>
        <w:t xml:space="preserve"> </w:t>
      </w:r>
      <w:r>
        <w:rPr>
          <w:rFonts w:cs="Arial Unicode MS" w:asciiTheme="minorEastAsia" w:hAnsiTheme="minorEastAsia"/>
          <w:sz w:val="20"/>
          <w:szCs w:val="20"/>
        </w:rPr>
        <w:t>向熹译注，《诗经》北京：高等教育出版社，2008年12月，p216</w:t>
      </w:r>
    </w:p>
  </w:footnote>
  <w:footnote w:id="8"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Theme="minorEastAsia" w:hAnsiTheme="minorEastAsia"/>
          <w:vertAlign w:val="superscript"/>
        </w:rPr>
        <w:footnoteRef/>
      </w:r>
      <w:r>
        <w:rPr>
          <w:rFonts w:asciiTheme="minorEastAsia" w:hAnsiTheme="minorEastAsia"/>
          <w:sz w:val="20"/>
          <w:szCs w:val="20"/>
        </w:rPr>
        <w:t xml:space="preserve"> </w:t>
      </w:r>
      <w:r>
        <w:rPr>
          <w:rFonts w:cs="Gungsuh" w:asciiTheme="minorEastAsia" w:hAnsiTheme="minorEastAsia"/>
          <w:sz w:val="20"/>
          <w:szCs w:val="20"/>
        </w:rPr>
        <w:t>此处将“丸”字改为“圆”字，可能属于北宋钦宗赵桓的避讳。值得注意的是，宋本刊印时将桓谭《新论》改为用“言谭”，疑似类同。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0CD21D"/>
    <w:multiLevelType w:val="singleLevel"/>
    <w:tmpl w:val="150CD2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DCFFB54"/>
    <w:multiLevelType w:val="singleLevel"/>
    <w:tmpl w:val="2DCFFB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6691B6F"/>
    <w:multiLevelType w:val="singleLevel"/>
    <w:tmpl w:val="66691B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F7BCA77"/>
    <w:multiLevelType w:val="singleLevel"/>
    <w:tmpl w:val="6F7BCA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18"/>
    <w:footnote w:id="19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yZTc1MmE4NmY0ZWNhNzk2MGEyMjdmMGVmN2VlNz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B580837"/>
    <w:rsid w:val="39A66CD4"/>
    <w:rsid w:val="3CD52CE1"/>
    <w:rsid w:val="410F2E6A"/>
    <w:rsid w:val="4430136C"/>
    <w:rsid w:val="4AB0382B"/>
    <w:rsid w:val="569868B5"/>
    <w:rsid w:val="611F6817"/>
    <w:rsid w:val="66CA1754"/>
    <w:rsid w:val="6A565CFB"/>
    <w:rsid w:val="6F1E65D4"/>
    <w:rsid w:val="6F266C86"/>
    <w:rsid w:val="6F5042C2"/>
    <w:rsid w:val="74316312"/>
    <w:rsid w:val="780F13C8"/>
    <w:rsid w:val="7B17796C"/>
    <w:rsid w:val="7C385448"/>
    <w:rsid w:val="7CB3663D"/>
    <w:rsid w:val="7CC731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SimHei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SimHei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</Words>
  <Characters>833</Characters>
  <Lines>6</Lines>
  <Paragraphs>1</Paragraphs>
  <TotalTime>2</TotalTime>
  <ScaleCrop>false</ScaleCrop>
  <LinksUpToDate>false</LinksUpToDate>
  <CharactersWithSpaces>978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孙德常</cp:lastModifiedBy>
  <cp:lastPrinted>2023-11-21T00:52:00Z</cp:lastPrinted>
  <dcterms:modified xsi:type="dcterms:W3CDTF">2024-03-18T08:57:59Z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6732810561C04D15810DAD3AACFBD882_13</vt:lpwstr>
  </property>
</Properties>
</file>