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06" w:firstLineChars="1283"/>
        <w:rPr>
          <w:sz w:val="30"/>
          <w:szCs w:val="30"/>
        </w:rPr>
      </w:pPr>
      <w:r>
        <w:rPr>
          <w:rFonts w:hint="eastAsia"/>
          <w:b/>
          <w:sz w:val="28"/>
          <w:szCs w:val="30"/>
        </w:rPr>
        <w:t>【</w:t>
      </w:r>
      <w:r>
        <w:rPr>
          <w:rFonts w:hint="eastAsia"/>
          <w:sz w:val="30"/>
          <w:szCs w:val="30"/>
        </w:rPr>
        <w:t>趣味推理</w:t>
      </w:r>
      <w:r>
        <w:rPr>
          <w:rFonts w:hint="eastAsia"/>
          <w:b/>
          <w:sz w:val="28"/>
          <w:szCs w:val="30"/>
        </w:rPr>
        <w:t>】</w:t>
      </w:r>
    </w:p>
    <w:p>
      <w:pPr>
        <w:ind w:firstLine="2799" w:firstLineChars="933"/>
        <w:rPr>
          <w:sz w:val="30"/>
          <w:szCs w:val="30"/>
        </w:rPr>
      </w:pPr>
      <w:r>
        <w:rPr>
          <w:rFonts w:hint="eastAsia"/>
          <w:sz w:val="30"/>
          <w:szCs w:val="30"/>
        </w:rPr>
        <w:t xml:space="preserve">Interesting Theory of Reasoning </w:t>
      </w:r>
    </w:p>
    <w:p>
      <w:pPr>
        <w:ind w:firstLine="0" w:firstLineChars="0"/>
        <w:rPr>
          <w:rFonts w:ascii="黑体" w:hAnsi="黑体" w:eastAsia="黑体" w:cs="黑体"/>
          <w:b/>
          <w:bCs/>
          <w:color w:val="008080"/>
          <w:sz w:val="24"/>
          <w:szCs w:val="24"/>
        </w:rPr>
      </w:pPr>
      <w:r>
        <w:rPr>
          <w:rFonts w:hint="eastAsia" w:ascii="黑体" w:hAnsi="黑体" w:eastAsia="黑体" w:cs="黑体"/>
          <w:b/>
          <w:bCs/>
          <w:sz w:val="24"/>
          <w:szCs w:val="24"/>
        </w:rPr>
        <w:t>一、基本信息</w:t>
      </w:r>
    </w:p>
    <w:p>
      <w:pPr>
        <w:ind w:firstLine="394" w:firstLineChars="196"/>
        <w:rPr>
          <w:rFonts w:ascii="Calibri" w:hAnsi="Calibri"/>
        </w:rPr>
      </w:pPr>
      <w:r>
        <w:rPr>
          <w:rFonts w:hint="eastAsia" w:ascii="Calibri" w:hAnsi="Calibri"/>
          <w:b/>
          <w:bCs/>
        </w:rPr>
        <w:t>课程代码：</w:t>
      </w:r>
      <w:r>
        <w:rPr>
          <w:rFonts w:hint="eastAsia" w:ascii="宋体" w:hAnsi="宋体"/>
          <w:sz w:val="21"/>
          <w:szCs w:val="21"/>
        </w:rPr>
        <w:t>2038061</w:t>
      </w:r>
    </w:p>
    <w:p>
      <w:pPr>
        <w:ind w:firstLine="394" w:firstLineChars="196"/>
        <w:rPr>
          <w:rFonts w:ascii="Calibri" w:hAnsi="Calibri"/>
          <w:sz w:val="21"/>
          <w:szCs w:val="21"/>
        </w:rPr>
      </w:pPr>
      <w:r>
        <w:rPr>
          <w:rFonts w:hint="eastAsia" w:ascii="Calibri" w:hAnsi="Calibri"/>
          <w:b/>
          <w:bCs/>
        </w:rPr>
        <w:t>课程学分：</w:t>
      </w:r>
      <w:r>
        <w:rPr>
          <w:rFonts w:hint="eastAsia" w:ascii="Calibri" w:hAnsi="Calibri"/>
        </w:rPr>
        <w:t>2</w:t>
      </w:r>
    </w:p>
    <w:p>
      <w:pPr>
        <w:ind w:firstLine="394" w:firstLineChars="196"/>
        <w:rPr>
          <w:rFonts w:ascii="Calibri" w:hAnsi="Calibri"/>
          <w:sz w:val="21"/>
          <w:szCs w:val="21"/>
        </w:rPr>
      </w:pPr>
      <w:r>
        <w:rPr>
          <w:rFonts w:hint="eastAsia" w:ascii="Calibri" w:hAnsi="Calibri"/>
          <w:b/>
          <w:bCs/>
        </w:rPr>
        <w:t>面向专业：</w:t>
      </w:r>
      <w:r>
        <w:rPr>
          <w:rFonts w:hint="eastAsia" w:ascii="Calibri" w:hAnsi="Calibri"/>
        </w:rPr>
        <w:t>本科各专业</w:t>
      </w:r>
    </w:p>
    <w:p>
      <w:pPr>
        <w:ind w:firstLine="394" w:firstLineChars="196"/>
        <w:rPr>
          <w:rFonts w:ascii="Calibri" w:hAnsi="Calibri"/>
        </w:rPr>
      </w:pPr>
      <w:r>
        <w:rPr>
          <w:rFonts w:hint="eastAsia" w:ascii="Calibri" w:hAnsi="Calibri"/>
          <w:b/>
          <w:bCs/>
        </w:rPr>
        <w:t>课程性质：</w:t>
      </w:r>
      <w:r>
        <w:rPr>
          <w:rFonts w:hint="eastAsia" w:ascii="Calibri" w:hAnsi="Calibri"/>
        </w:rPr>
        <w:t>通识教育选修课</w:t>
      </w:r>
    </w:p>
    <w:p>
      <w:pPr>
        <w:ind w:firstLine="394" w:firstLineChars="196"/>
        <w:rPr>
          <w:rFonts w:ascii="Calibri" w:hAnsi="Calibri"/>
          <w:b/>
          <w:bCs/>
          <w:sz w:val="21"/>
          <w:szCs w:val="21"/>
        </w:rPr>
      </w:pPr>
      <w:r>
        <w:rPr>
          <w:rFonts w:hint="eastAsia" w:ascii="Calibri" w:hAnsi="Calibri"/>
          <w:b/>
          <w:bCs/>
        </w:rPr>
        <w:t>开课院系：</w:t>
      </w:r>
      <w:r>
        <w:rPr>
          <w:rFonts w:hint="eastAsia" w:ascii="Calibri" w:hAnsi="Calibri"/>
        </w:rPr>
        <w:t>新闻传播学院</w:t>
      </w:r>
    </w:p>
    <w:p>
      <w:pPr>
        <w:ind w:firstLine="394" w:firstLineChars="196"/>
        <w:rPr>
          <w:rFonts w:ascii="Calibri" w:hAnsi="Calibri"/>
        </w:rPr>
      </w:pPr>
      <w:r>
        <w:rPr>
          <w:rFonts w:hint="eastAsia" w:ascii="Calibri" w:hAnsi="Calibri"/>
          <w:b/>
          <w:bCs/>
        </w:rPr>
        <w:t>使用教材：</w:t>
      </w:r>
      <w:r>
        <w:rPr>
          <w:rFonts w:hint="eastAsia" w:ascii="Calibri" w:hAnsi="Calibri"/>
        </w:rPr>
        <w:t>《FBI推理课》诸葛明，台海出版社; 第1版 2016年10月</w:t>
      </w:r>
    </w:p>
    <w:p>
      <w:pPr>
        <w:rPr>
          <w:rFonts w:ascii="Calibri" w:hAnsi="Calibri"/>
        </w:rPr>
      </w:pPr>
      <w:r>
        <w:rPr>
          <w:rFonts w:hint="eastAsia" w:ascii="Calibri" w:hAnsi="Calibri"/>
        </w:rPr>
        <w:t>《趣题大师的推理问题》乔治·J·萨默斯，上海科技教育出版社; 第1版 (2010年11月1日)</w:t>
      </w:r>
    </w:p>
    <w:p>
      <w:pPr>
        <w:rPr>
          <w:kern w:val="0"/>
        </w:rPr>
      </w:pPr>
      <w:r>
        <w:rPr>
          <w:rFonts w:hint="eastAsia" w:ascii="Calibri" w:hAnsi="Calibri"/>
        </w:rPr>
        <w:t>辅助教材：</w:t>
      </w:r>
      <w:r>
        <w:rPr>
          <w:rFonts w:hint="eastAsia"/>
        </w:rPr>
        <w:t>1.</w:t>
      </w:r>
      <w:r>
        <w:rPr>
          <w:rFonts w:hint="eastAsia"/>
          <w:kern w:val="0"/>
        </w:rPr>
        <w:t>《哈弗逻辑课》，穆臣刚，中国法制出版社；</w:t>
      </w:r>
    </w:p>
    <w:p>
      <w:pPr>
        <w:rPr>
          <w:kern w:val="0"/>
        </w:rPr>
      </w:pPr>
      <w:r>
        <w:rPr>
          <w:rFonts w:hint="eastAsia"/>
          <w:kern w:val="0"/>
        </w:rPr>
        <w:t>2.《智慧之光——世界十大思想家》，王德峰、吴晓明，上海古籍出版社；</w:t>
      </w:r>
    </w:p>
    <w:p>
      <w:r>
        <w:rPr>
          <w:rFonts w:hint="eastAsia"/>
          <w:kern w:val="0"/>
        </w:rPr>
        <w:t>3.《写给所有人的逻辑课程》，[日] 麦永野裕之，北京日报出版社；</w:t>
      </w:r>
    </w:p>
    <w:p>
      <w:pPr>
        <w:rPr>
          <w:kern w:val="0"/>
        </w:rPr>
      </w:pPr>
      <w:r>
        <w:rPr>
          <w:rFonts w:hint="eastAsia"/>
          <w:kern w:val="0"/>
        </w:rPr>
        <w:t>4.《理想的冲突》，[美]宾克莱，商务印书馆。</w:t>
      </w:r>
    </w:p>
    <w:p>
      <w:pPr>
        <w:ind w:firstLine="402"/>
        <w:jc w:val="left"/>
        <w:rPr>
          <w:kern w:val="0"/>
        </w:rPr>
      </w:pPr>
      <w:r>
        <w:rPr>
          <w:rFonts w:hint="eastAsia"/>
          <w:b/>
          <w:bCs/>
        </w:rPr>
        <w:t>课程网站网址</w:t>
      </w:r>
      <w:r>
        <w:rPr>
          <w:b/>
          <w:bCs/>
        </w:rPr>
        <w:t>：</w:t>
      </w:r>
      <w:r>
        <w:rPr>
          <w:rFonts w:hint="eastAsia"/>
        </w:rPr>
        <w:t>https://elearning.gench.edu.cn:8443/webapps/portal/execute/tabs/tabAction</w:t>
      </w:r>
    </w:p>
    <w:p>
      <w:pPr>
        <w:ind w:firstLine="402"/>
      </w:pPr>
      <w:r>
        <w:rPr>
          <w:b/>
          <w:bCs/>
        </w:rPr>
        <w:t>先修课程</w:t>
      </w:r>
      <w:r>
        <w:t>：</w:t>
      </w:r>
      <w:r>
        <w:rPr>
          <w:rFonts w:hint="eastAsia"/>
        </w:rPr>
        <w:t>无</w:t>
      </w:r>
    </w:p>
    <w:p>
      <w:pPr>
        <w:numPr>
          <w:ilvl w:val="0"/>
          <w:numId w:val="1"/>
        </w:numPr>
        <w:ind w:firstLine="0" w:firstLineChars="0"/>
        <w:rPr>
          <w:rFonts w:ascii="黑体" w:hAnsi="黑体" w:eastAsia="黑体" w:cs="黑体"/>
          <w:sz w:val="24"/>
          <w:szCs w:val="24"/>
        </w:rPr>
      </w:pPr>
      <w:r>
        <w:rPr>
          <w:rFonts w:hint="eastAsia" w:ascii="黑体" w:hAnsi="黑体" w:eastAsia="黑体" w:cs="黑体"/>
          <w:sz w:val="24"/>
          <w:szCs w:val="24"/>
        </w:rPr>
        <w:t>课程简介</w:t>
      </w:r>
    </w:p>
    <w:p>
      <w:pPr>
        <w:widowControl/>
        <w:spacing w:before="156" w:beforeLines="50" w:after="156" w:afterLines="50"/>
        <w:jc w:val="left"/>
        <w:rPr>
          <w:rFonts w:ascii="Calibri" w:hAnsi="Calibri"/>
        </w:rPr>
      </w:pPr>
      <w:r>
        <w:rPr>
          <w:rFonts w:hint="eastAsia" w:ascii="Calibri" w:hAnsi="Calibri"/>
        </w:rPr>
        <w:t>《趣味推理》强调趣味性特点和推理的判断本质，着重通过一系列逻辑思维推理小故事提升推理的趣味性，旨在笑声中让学生理解归纳推理、演绎推理、类比推理在小说中电影里以及侦探、审判、博弈、决策过程中的应用。本课程通过理论联系实际的教学方法，将传统意义上的逻辑与法律推理和推理小说中的判断等问题综合起来，增强学科的适应性和启发性及趣味性，突出推理的应用性和思辨性，课堂中理论知识的讲解，简明扼要，深入浅出，且实例与练习丰富。本课程富有生活气息、充满趣味。</w:t>
      </w:r>
    </w:p>
    <w:p>
      <w:pPr>
        <w:widowControl/>
        <w:spacing w:before="156" w:beforeLines="50" w:after="156" w:afterLines="50"/>
        <w:ind w:firstLine="0" w:firstLineChars="0"/>
        <w:jc w:val="left"/>
        <w:rPr>
          <w:rFonts w:ascii="黑体" w:hAnsi="宋体" w:eastAsia="黑体"/>
          <w:sz w:val="24"/>
          <w:szCs w:val="22"/>
        </w:rPr>
      </w:pPr>
      <w:r>
        <w:rPr>
          <w:rFonts w:hint="eastAsia" w:ascii="黑体" w:hAnsi="宋体" w:eastAsia="黑体"/>
          <w:sz w:val="24"/>
          <w:szCs w:val="22"/>
        </w:rPr>
        <w:t>三、选课建议</w:t>
      </w:r>
    </w:p>
    <w:p>
      <w:pPr>
        <w:widowControl/>
        <w:spacing w:before="156" w:beforeLines="50" w:after="156" w:afterLines="50"/>
        <w:ind w:firstLine="0" w:firstLineChars="0"/>
        <w:jc w:val="left"/>
        <w:rPr>
          <w:rFonts w:ascii="宋体" w:hAnsi="宋体"/>
        </w:rPr>
      </w:pPr>
      <w:r>
        <w:rPr>
          <w:rFonts w:hint="eastAsia" w:ascii="宋体" w:hAnsi="宋体"/>
        </w:rPr>
        <w:t>本课程面向全校本科各专业学生，学生有无逻辑学基础知识皆可选修本课程。</w:t>
      </w:r>
    </w:p>
    <w:p>
      <w:pPr>
        <w:widowControl/>
        <w:spacing w:before="156" w:beforeLines="50" w:after="156" w:afterLines="50"/>
        <w:ind w:firstLine="0" w:firstLineChars="0"/>
        <w:jc w:val="left"/>
        <w:rPr>
          <w:rFonts w:ascii="黑体" w:hAnsi="宋体" w:eastAsia="黑体"/>
          <w:sz w:val="24"/>
          <w:szCs w:val="22"/>
        </w:rPr>
      </w:pPr>
      <w:r>
        <w:rPr>
          <w:rFonts w:hint="eastAsia" w:ascii="黑体" w:hAnsi="宋体" w:eastAsia="黑体"/>
          <w:sz w:val="24"/>
          <w:szCs w:val="22"/>
        </w:rPr>
        <w:t>四、课程目标/课程预期学习成果</w:t>
      </w:r>
    </w:p>
    <w:tbl>
      <w:tblPr>
        <w:tblStyle w:val="6"/>
        <w:tblpPr w:leftFromText="180" w:rightFromText="180" w:vertAnchor="text" w:horzAnchor="page" w:tblpX="2087" w:tblpY="871"/>
        <w:tblOverlap w:val="never"/>
        <w:tblW w:w="7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74"/>
        <w:gridCol w:w="2468"/>
        <w:gridCol w:w="219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6" w:type="dxa"/>
            <w:tcBorders>
              <w:top w:val="single" w:color="auto" w:sz="4" w:space="0"/>
              <w:left w:val="single" w:color="auto" w:sz="4" w:space="0"/>
              <w:bottom w:val="single" w:color="auto" w:sz="4" w:space="0"/>
              <w:right w:val="single" w:color="auto" w:sz="4" w:space="0"/>
            </w:tcBorders>
          </w:tcPr>
          <w:p>
            <w:pPr>
              <w:ind w:firstLine="402"/>
              <w:jc w:val="center"/>
              <w:rPr>
                <w:rFonts w:ascii="Calibri" w:hAnsi="Calibri"/>
                <w:b/>
              </w:rPr>
            </w:pPr>
            <w:r>
              <w:rPr>
                <w:rFonts w:hint="eastAsia" w:ascii="Calibri" w:hAnsi="Calibri"/>
                <w:b/>
              </w:rPr>
              <w:t>序序号</w:t>
            </w:r>
          </w:p>
        </w:tc>
        <w:tc>
          <w:tcPr>
            <w:tcW w:w="1174" w:type="dxa"/>
            <w:tcBorders>
              <w:top w:val="single" w:color="auto" w:sz="4" w:space="0"/>
              <w:left w:val="single" w:color="auto" w:sz="4" w:space="0"/>
              <w:bottom w:val="single" w:color="auto" w:sz="4" w:space="0"/>
              <w:right w:val="single" w:color="auto" w:sz="4" w:space="0"/>
            </w:tcBorders>
          </w:tcPr>
          <w:p>
            <w:pPr>
              <w:ind w:firstLine="402"/>
              <w:jc w:val="center"/>
              <w:rPr>
                <w:rFonts w:ascii="Calibri" w:hAnsi="Calibri"/>
                <w:b/>
              </w:rPr>
            </w:pPr>
            <w:r>
              <w:rPr>
                <w:rFonts w:hint="eastAsia" w:ascii="Calibri" w:hAnsi="Calibri"/>
                <w:b/>
              </w:rPr>
              <w:t>课程预期</w:t>
            </w:r>
          </w:p>
          <w:p>
            <w:pPr>
              <w:ind w:firstLine="402"/>
              <w:jc w:val="center"/>
              <w:rPr>
                <w:rFonts w:ascii="Calibri" w:hAnsi="Calibri"/>
                <w:b/>
              </w:rPr>
            </w:pPr>
            <w:r>
              <w:rPr>
                <w:rFonts w:hint="eastAsia" w:ascii="Calibri" w:hAnsi="Calibri"/>
                <w:b/>
              </w:rPr>
              <w:t>学习成果</w:t>
            </w:r>
          </w:p>
        </w:tc>
        <w:tc>
          <w:tcPr>
            <w:tcW w:w="2468" w:type="dxa"/>
            <w:tcBorders>
              <w:top w:val="single" w:color="auto" w:sz="4" w:space="0"/>
              <w:left w:val="single" w:color="auto" w:sz="4" w:space="0"/>
              <w:bottom w:val="single" w:color="auto" w:sz="4" w:space="0"/>
              <w:right w:val="single" w:color="auto" w:sz="4" w:space="0"/>
            </w:tcBorders>
            <w:vAlign w:val="center"/>
          </w:tcPr>
          <w:p>
            <w:pPr>
              <w:ind w:firstLine="402"/>
              <w:jc w:val="center"/>
              <w:rPr>
                <w:rFonts w:ascii="Calibri" w:hAnsi="Calibri"/>
                <w:b/>
              </w:rPr>
            </w:pPr>
            <w:r>
              <w:rPr>
                <w:rFonts w:hint="eastAsia" w:ascii="Calibri" w:hAnsi="Calibri"/>
                <w:b/>
              </w:rPr>
              <w:t>课程目标</w:t>
            </w:r>
          </w:p>
          <w:p>
            <w:pPr>
              <w:ind w:firstLine="402"/>
              <w:jc w:val="center"/>
              <w:rPr>
                <w:rFonts w:ascii="Calibri" w:hAnsi="Calibri"/>
                <w:b/>
              </w:rPr>
            </w:pPr>
            <w:r>
              <w:rPr>
                <w:rFonts w:hint="eastAsia" w:ascii="Calibri" w:hAnsi="Calibri"/>
                <w:b/>
              </w:rPr>
              <w:t>（细化的预期学习成果）</w:t>
            </w:r>
          </w:p>
        </w:tc>
        <w:tc>
          <w:tcPr>
            <w:tcW w:w="2197" w:type="dxa"/>
            <w:tcBorders>
              <w:top w:val="single" w:color="auto" w:sz="4" w:space="0"/>
              <w:left w:val="single" w:color="auto" w:sz="4" w:space="0"/>
              <w:bottom w:val="single" w:color="auto" w:sz="4" w:space="0"/>
              <w:right w:val="single" w:color="auto" w:sz="4" w:space="0"/>
            </w:tcBorders>
            <w:vAlign w:val="center"/>
          </w:tcPr>
          <w:p>
            <w:pPr>
              <w:ind w:firstLine="402"/>
              <w:jc w:val="center"/>
              <w:rPr>
                <w:rFonts w:ascii="Calibri" w:hAnsi="Calibri"/>
                <w:b/>
              </w:rPr>
            </w:pPr>
            <w:r>
              <w:rPr>
                <w:rFonts w:hint="eastAsia" w:ascii="Calibri" w:hAnsi="Calibri"/>
                <w:b/>
              </w:rPr>
              <w:t>教与学方式</w:t>
            </w:r>
          </w:p>
        </w:tc>
        <w:tc>
          <w:tcPr>
            <w:tcW w:w="1275" w:type="dxa"/>
            <w:tcBorders>
              <w:top w:val="single" w:color="auto" w:sz="4" w:space="0"/>
              <w:left w:val="single" w:color="auto" w:sz="4" w:space="0"/>
              <w:bottom w:val="single" w:color="auto" w:sz="4" w:space="0"/>
              <w:right w:val="single" w:color="auto" w:sz="4" w:space="0"/>
            </w:tcBorders>
            <w:vAlign w:val="center"/>
          </w:tcPr>
          <w:p>
            <w:pPr>
              <w:ind w:firstLine="402"/>
              <w:jc w:val="center"/>
              <w:rPr>
                <w:rFonts w:ascii="Calibri" w:hAnsi="Calibri"/>
                <w:b/>
              </w:rPr>
            </w:pPr>
            <w:r>
              <w:rPr>
                <w:rFonts w:hint="eastAsia" w:ascii="Calibri" w:hAnsi="Calibri"/>
                <w:b/>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536" w:type="dxa"/>
            <w:tcBorders>
              <w:top w:val="single" w:color="auto" w:sz="4" w:space="0"/>
              <w:left w:val="single" w:color="auto" w:sz="4" w:space="0"/>
              <w:right w:val="single" w:color="auto" w:sz="4" w:space="0"/>
            </w:tcBorders>
            <w:vAlign w:val="center"/>
          </w:tcPr>
          <w:p>
            <w:pPr>
              <w:ind w:firstLine="480"/>
              <w:jc w:val="center"/>
              <w:rPr>
                <w:rFonts w:ascii="仿宋" w:hAnsi="仿宋" w:eastAsia="仿宋" w:cs="宋体"/>
                <w:kern w:val="0"/>
                <w:sz w:val="24"/>
                <w:szCs w:val="22"/>
              </w:rPr>
            </w:pPr>
            <w:r>
              <w:rPr>
                <w:rFonts w:hint="eastAsia" w:ascii="仿宋" w:hAnsi="仿宋" w:eastAsia="仿宋" w:cs="宋体"/>
                <w:kern w:val="0"/>
                <w:sz w:val="24"/>
              </w:rPr>
              <w:t>1</w:t>
            </w:r>
          </w:p>
        </w:tc>
        <w:tc>
          <w:tcPr>
            <w:tcW w:w="1174" w:type="dxa"/>
            <w:tcBorders>
              <w:top w:val="single" w:color="auto" w:sz="4" w:space="0"/>
              <w:left w:val="single" w:color="auto" w:sz="4" w:space="0"/>
              <w:right w:val="single" w:color="auto" w:sz="4" w:space="0"/>
            </w:tcBorders>
            <w:vAlign w:val="center"/>
          </w:tcPr>
          <w:p>
            <w:pPr>
              <w:ind w:left="0" w:leftChars="0" w:firstLine="0" w:firstLineChars="0"/>
              <w:jc w:val="both"/>
              <w:rPr>
                <w:rFonts w:ascii="仿宋" w:hAnsi="仿宋" w:eastAsia="仿宋" w:cs="宋体"/>
                <w:kern w:val="0"/>
                <w:sz w:val="24"/>
                <w:szCs w:val="22"/>
              </w:rPr>
            </w:pPr>
            <w:r>
              <w:rPr>
                <w:rFonts w:hint="eastAsia" w:ascii="仿宋" w:hAnsi="仿宋" w:eastAsia="仿宋" w:cs="宋体"/>
                <w:kern w:val="0"/>
                <w:sz w:val="24"/>
              </w:rPr>
              <w:t>LO112</w:t>
            </w:r>
          </w:p>
        </w:tc>
        <w:tc>
          <w:tcPr>
            <w:tcW w:w="246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cs="宋体"/>
                <w:kern w:val="0"/>
                <w:lang w:bidi="ar"/>
              </w:rPr>
            </w:pPr>
            <w:r>
              <w:rPr>
                <w:rFonts w:hint="eastAsia" w:ascii="宋体" w:hAnsi="宋体" w:cs="宋体"/>
                <w:kern w:val="0"/>
                <w:lang w:bidi="ar"/>
              </w:rPr>
              <w:t>应用书面或口头形式，多层次多方位表达自己的观点，有效沟通。</w:t>
            </w:r>
          </w:p>
        </w:tc>
        <w:tc>
          <w:tcPr>
            <w:tcW w:w="2197" w:type="dxa"/>
            <w:tcBorders>
              <w:top w:val="single" w:color="auto" w:sz="4" w:space="0"/>
              <w:left w:val="single" w:color="auto" w:sz="4" w:space="0"/>
              <w:right w:val="single" w:color="auto" w:sz="4" w:space="0"/>
            </w:tcBorders>
            <w:vAlign w:val="center"/>
          </w:tcPr>
          <w:p>
            <w:pPr>
              <w:jc w:val="center"/>
              <w:rPr>
                <w:rFonts w:ascii="黑体" w:hAnsi="宋体" w:eastAsia="黑体"/>
                <w:sz w:val="24"/>
                <w:szCs w:val="22"/>
              </w:rPr>
            </w:pPr>
            <w:r>
              <w:rPr>
                <w:rFonts w:hint="eastAsia" w:ascii="宋体" w:hAnsi="宋体" w:cs="宋体"/>
                <w:kern w:val="0"/>
                <w:lang w:bidi="ar"/>
              </w:rPr>
              <w:t>讲解思维和论证知识，课堂互动、小练习</w:t>
            </w:r>
          </w:p>
        </w:tc>
        <w:tc>
          <w:tcPr>
            <w:tcW w:w="1275" w:type="dxa"/>
            <w:tcBorders>
              <w:top w:val="single" w:color="auto" w:sz="4" w:space="0"/>
              <w:left w:val="single" w:color="auto" w:sz="4" w:space="0"/>
              <w:right w:val="single" w:color="auto" w:sz="4" w:space="0"/>
            </w:tcBorders>
            <w:vAlign w:val="center"/>
          </w:tcPr>
          <w:p>
            <w:pPr>
              <w:ind w:firstLine="0" w:firstLineChars="0"/>
              <w:rPr>
                <w:rFonts w:ascii="宋体" w:hAnsi="宋体" w:cs="宋体"/>
                <w:kern w:val="0"/>
                <w:lang w:bidi="ar"/>
              </w:rPr>
            </w:pPr>
            <w:r>
              <w:rPr>
                <w:rFonts w:hint="eastAsia" w:ascii="宋体" w:hAnsi="宋体" w:cs="宋体"/>
                <w:kern w:val="0"/>
                <w:lang w:bidi="ar"/>
              </w:rPr>
              <w:t>交流性质的逻辑题测验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536" w:type="dxa"/>
            <w:tcBorders>
              <w:top w:val="single" w:color="auto" w:sz="4" w:space="0"/>
              <w:left w:val="single" w:color="auto" w:sz="4" w:space="0"/>
              <w:right w:val="single" w:color="auto" w:sz="4" w:space="0"/>
            </w:tcBorders>
            <w:vAlign w:val="center"/>
          </w:tcPr>
          <w:p>
            <w:pPr>
              <w:ind w:firstLine="480"/>
              <w:jc w:val="center"/>
              <w:rPr>
                <w:rFonts w:ascii="仿宋" w:hAnsi="仿宋" w:eastAsia="仿宋" w:cs="宋体"/>
                <w:kern w:val="0"/>
                <w:sz w:val="24"/>
                <w:szCs w:val="22"/>
              </w:rPr>
            </w:pPr>
            <w:r>
              <w:rPr>
                <w:rFonts w:hint="eastAsia" w:ascii="仿宋" w:hAnsi="仿宋" w:eastAsia="仿宋" w:cs="宋体"/>
                <w:kern w:val="0"/>
                <w:sz w:val="24"/>
              </w:rPr>
              <w:t>2</w:t>
            </w:r>
          </w:p>
        </w:tc>
        <w:tc>
          <w:tcPr>
            <w:tcW w:w="1174" w:type="dxa"/>
            <w:tcBorders>
              <w:top w:val="single" w:color="auto" w:sz="4" w:space="0"/>
              <w:left w:val="single" w:color="auto" w:sz="4" w:space="0"/>
              <w:right w:val="single" w:color="auto" w:sz="4" w:space="0"/>
            </w:tcBorders>
            <w:vAlign w:val="center"/>
          </w:tcPr>
          <w:p>
            <w:pPr>
              <w:ind w:left="0" w:leftChars="0" w:firstLine="0" w:firstLineChars="0"/>
              <w:jc w:val="both"/>
              <w:rPr>
                <w:rFonts w:ascii="仿宋" w:hAnsi="仿宋" w:eastAsia="仿宋" w:cs="宋体"/>
                <w:kern w:val="0"/>
                <w:sz w:val="24"/>
                <w:szCs w:val="22"/>
              </w:rPr>
            </w:pPr>
            <w:r>
              <w:rPr>
                <w:rFonts w:hint="eastAsia" w:ascii="仿宋" w:hAnsi="仿宋" w:eastAsia="仿宋" w:cs="宋体"/>
                <w:kern w:val="0"/>
                <w:sz w:val="24"/>
              </w:rPr>
              <w:t>LO212</w:t>
            </w:r>
          </w:p>
        </w:tc>
        <w:tc>
          <w:tcPr>
            <w:tcW w:w="2468"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kern w:val="0"/>
                <w:sz w:val="24"/>
                <w:szCs w:val="22"/>
              </w:rPr>
            </w:pPr>
            <w:r>
              <w:rPr>
                <w:rFonts w:hint="eastAsia" w:ascii="宋体" w:hAnsi="宋体" w:cs="宋体"/>
                <w:kern w:val="0"/>
                <w:lang w:bidi="ar"/>
              </w:rPr>
              <w:t>能搜集、获取达到目标所需要的学习资源，实施学习计划、反思学习计划、持续改进，达到学习目标。</w:t>
            </w:r>
          </w:p>
        </w:tc>
        <w:tc>
          <w:tcPr>
            <w:tcW w:w="2197" w:type="dxa"/>
            <w:tcBorders>
              <w:top w:val="single" w:color="auto" w:sz="4" w:space="0"/>
              <w:left w:val="single" w:color="auto" w:sz="4" w:space="0"/>
              <w:right w:val="single" w:color="auto" w:sz="4" w:space="0"/>
            </w:tcBorders>
            <w:vAlign w:val="center"/>
          </w:tcPr>
          <w:p>
            <w:pPr>
              <w:jc w:val="center"/>
              <w:rPr>
                <w:rFonts w:ascii="宋体" w:hAnsi="宋体" w:cs="宋体"/>
                <w:kern w:val="0"/>
                <w:lang w:bidi="ar"/>
              </w:rPr>
            </w:pPr>
            <w:r>
              <w:rPr>
                <w:rFonts w:hint="eastAsia" w:ascii="宋体" w:hAnsi="宋体" w:cs="宋体"/>
                <w:kern w:val="0"/>
                <w:lang w:bidi="ar"/>
              </w:rPr>
              <w:t>审判推理案例学学生阅读，课堂分析。</w:t>
            </w:r>
          </w:p>
        </w:tc>
        <w:tc>
          <w:tcPr>
            <w:tcW w:w="1275" w:type="dxa"/>
            <w:tcBorders>
              <w:top w:val="single" w:color="auto" w:sz="4" w:space="0"/>
              <w:left w:val="single" w:color="auto" w:sz="4" w:space="0"/>
              <w:right w:val="single" w:color="auto" w:sz="4" w:space="0"/>
            </w:tcBorders>
            <w:vAlign w:val="center"/>
          </w:tcPr>
          <w:p>
            <w:pPr>
              <w:ind w:firstLine="0" w:firstLineChars="0"/>
              <w:rPr>
                <w:rFonts w:ascii="宋体" w:hAnsi="宋体" w:cs="宋体"/>
                <w:kern w:val="0"/>
                <w:lang w:bidi="ar"/>
              </w:rPr>
            </w:pPr>
            <w:r>
              <w:rPr>
                <w:rFonts w:hint="eastAsia" w:ascii="宋体" w:hAnsi="宋体" w:cs="宋体"/>
                <w:kern w:val="0"/>
                <w:lang w:bidi="ar"/>
              </w:rPr>
              <w:t>期终综合分析题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仿宋" w:hAnsi="仿宋" w:eastAsia="仿宋" w:cs="宋体"/>
                <w:kern w:val="0"/>
                <w:sz w:val="24"/>
                <w:szCs w:val="22"/>
              </w:rPr>
            </w:pPr>
            <w:r>
              <w:rPr>
                <w:rFonts w:hint="eastAsia" w:ascii="仿宋" w:hAnsi="仿宋" w:eastAsia="仿宋" w:cs="宋体"/>
                <w:kern w:val="0"/>
                <w:sz w:val="24"/>
                <w:szCs w:val="22"/>
              </w:rPr>
              <w:t>3</w:t>
            </w:r>
          </w:p>
        </w:tc>
        <w:tc>
          <w:tcPr>
            <w:tcW w:w="1174"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仿宋" w:hAnsi="仿宋" w:eastAsia="仿宋" w:cs="宋体"/>
                <w:kern w:val="0"/>
                <w:sz w:val="24"/>
                <w:szCs w:val="22"/>
              </w:rPr>
            </w:pPr>
            <w:r>
              <w:rPr>
                <w:rFonts w:hint="eastAsia" w:ascii="仿宋" w:hAnsi="仿宋" w:eastAsia="仿宋" w:cs="宋体"/>
                <w:kern w:val="0"/>
                <w:sz w:val="24"/>
                <w:szCs w:val="22"/>
              </w:rPr>
              <w:t>LO513</w:t>
            </w:r>
          </w:p>
        </w:tc>
        <w:tc>
          <w:tcPr>
            <w:tcW w:w="246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rPr>
            </w:pPr>
            <w:r>
              <w:rPr>
                <w:rFonts w:hint="eastAsia" w:ascii="宋体" w:hAnsi="宋体" w:cs="宋体"/>
                <w:kern w:val="0"/>
                <w:lang w:bidi="ar"/>
              </w:rPr>
              <w:t>能用逻辑思维分析推理复杂问题</w:t>
            </w:r>
          </w:p>
        </w:tc>
        <w:tc>
          <w:tcPr>
            <w:tcW w:w="21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lang w:bidi="ar"/>
              </w:rPr>
            </w:pPr>
            <w:r>
              <w:rPr>
                <w:rFonts w:hint="eastAsia" w:ascii="宋体" w:hAnsi="宋体" w:cs="宋体"/>
                <w:kern w:val="0"/>
                <w:lang w:bidi="ar"/>
              </w:rPr>
              <w:t>小视频讲解，案例分析、讲解、课堂互动</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lang w:bidi="ar"/>
              </w:rPr>
            </w:pPr>
            <w:r>
              <w:rPr>
                <w:rFonts w:hint="eastAsia" w:ascii="宋体" w:hAnsi="宋体" w:cs="宋体"/>
                <w:kern w:val="0"/>
                <w:lang w:bidi="ar"/>
              </w:rPr>
              <w:t>课堂、课后练习</w:t>
            </w:r>
          </w:p>
        </w:tc>
      </w:tr>
    </w:tbl>
    <w:p>
      <w:pPr>
        <w:ind w:firstLine="480"/>
        <w:rPr>
          <w:rFonts w:ascii="黑体" w:hAnsi="宋体" w:eastAsia="黑体"/>
          <w:sz w:val="24"/>
          <w:szCs w:val="22"/>
        </w:rPr>
      </w:pPr>
    </w:p>
    <w:p>
      <w:pPr>
        <w:widowControl/>
        <w:spacing w:before="156" w:beforeLines="50" w:after="156" w:afterLines="50"/>
        <w:ind w:firstLine="360" w:firstLineChars="150"/>
        <w:jc w:val="left"/>
        <w:rPr>
          <w:rFonts w:ascii="黑体" w:hAnsi="宋体" w:eastAsia="黑体"/>
          <w:sz w:val="24"/>
          <w:szCs w:val="22"/>
        </w:rPr>
      </w:pPr>
    </w:p>
    <w:p/>
    <w:p>
      <w:pPr>
        <w:ind w:firstLine="480"/>
        <w:rPr>
          <w:rFonts w:ascii="黑体" w:hAnsi="黑体" w:eastAsia="黑体" w:cs="黑体"/>
          <w:sz w:val="24"/>
          <w:szCs w:val="24"/>
        </w:rPr>
      </w:pPr>
      <w:r>
        <w:rPr>
          <w:rFonts w:hint="eastAsia" w:ascii="黑体" w:hAnsi="黑体" w:eastAsia="黑体" w:cs="黑体"/>
          <w:sz w:val="24"/>
          <w:szCs w:val="24"/>
        </w:rPr>
        <w:t>五、课程内容</w:t>
      </w:r>
    </w:p>
    <w:tbl>
      <w:tblPr>
        <w:tblStyle w:val="7"/>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44" w:type="dxa"/>
          </w:tcPr>
          <w:p>
            <w:r>
              <w:rPr>
                <w:rFonts w:hint="eastAsia"/>
              </w:rPr>
              <w:t>单元</w:t>
            </w:r>
          </w:p>
        </w:tc>
        <w:tc>
          <w:tcPr>
            <w:tcW w:w="2144" w:type="dxa"/>
          </w:tcPr>
          <w:p>
            <w:r>
              <w:rPr>
                <w:rFonts w:hint="eastAsia"/>
              </w:rPr>
              <w:t>知识点</w:t>
            </w:r>
          </w:p>
        </w:tc>
        <w:tc>
          <w:tcPr>
            <w:tcW w:w="2145" w:type="dxa"/>
          </w:tcPr>
          <w:p>
            <w:r>
              <w:rPr>
                <w:rFonts w:hint="eastAsia"/>
              </w:rPr>
              <w:t>能力要求</w:t>
            </w:r>
          </w:p>
        </w:tc>
        <w:tc>
          <w:tcPr>
            <w:tcW w:w="2145" w:type="dxa"/>
          </w:tcPr>
          <w:p>
            <w:r>
              <w:rPr>
                <w:rFonts w:hint="eastAsia"/>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2144" w:type="dxa"/>
          </w:tcPr>
          <w:p>
            <w:pPr>
              <w:ind w:firstLine="0" w:firstLineChars="0"/>
            </w:pPr>
            <w:r>
              <w:rPr>
                <w:rFonts w:hint="eastAsia"/>
              </w:rPr>
              <w:t>1.趣味推理概述</w:t>
            </w:r>
          </w:p>
        </w:tc>
        <w:tc>
          <w:tcPr>
            <w:tcW w:w="2144" w:type="dxa"/>
          </w:tcPr>
          <w:p>
            <w:r>
              <w:rPr>
                <w:rFonts w:hint="eastAsia"/>
              </w:rPr>
              <w:t>1.知道本课程的教学目标。</w:t>
            </w:r>
          </w:p>
          <w:p>
            <w:r>
              <w:rPr>
                <w:rFonts w:hint="eastAsia"/>
              </w:rPr>
              <w:t>2.了解什么是趣味推理</w:t>
            </w:r>
          </w:p>
          <w:p>
            <w:r>
              <w:rPr>
                <w:rFonts w:hint="eastAsia"/>
              </w:rPr>
              <w:t>3.掌握推理方法的分类。</w:t>
            </w:r>
          </w:p>
        </w:tc>
        <w:tc>
          <w:tcPr>
            <w:tcW w:w="2145" w:type="dxa"/>
          </w:tcPr>
          <w:p>
            <w:r>
              <w:rPr>
                <w:rFonts w:hint="eastAsia"/>
              </w:rPr>
              <w:t>1.能讲述本课程的教学总目标和基本目标。</w:t>
            </w:r>
          </w:p>
          <w:p>
            <w:r>
              <w:rPr>
                <w:rFonts w:hint="eastAsia"/>
              </w:rPr>
              <w:t>2.能列举本课程的知识点。</w:t>
            </w:r>
          </w:p>
          <w:p>
            <w:r>
              <w:rPr>
                <w:rFonts w:hint="eastAsia"/>
              </w:rPr>
              <w:t>3.能发现热点问题中的归纳推理。</w:t>
            </w:r>
          </w:p>
        </w:tc>
        <w:tc>
          <w:tcPr>
            <w:tcW w:w="2145" w:type="dxa"/>
          </w:tcPr>
          <w:p>
            <w:r>
              <w:rPr>
                <w:rFonts w:hint="eastAsia"/>
              </w:rPr>
              <w:t>让学生认可逻辑学这种理论性较强的课，并能静心听讲、积极参与讨论。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2144" w:type="dxa"/>
          </w:tcPr>
          <w:p>
            <w:pPr>
              <w:ind w:firstLine="0" w:firstLineChars="0"/>
            </w:pPr>
            <w:r>
              <w:rPr>
                <w:rFonts w:hint="eastAsia"/>
              </w:rPr>
              <w:t>2归纳推理及其应用</w:t>
            </w:r>
          </w:p>
        </w:tc>
        <w:tc>
          <w:tcPr>
            <w:tcW w:w="2144" w:type="dxa"/>
          </w:tcPr>
          <w:p>
            <w:r>
              <w:rPr>
                <w:rFonts w:hint="eastAsia"/>
              </w:rPr>
              <w:t>1.知道归纳法在推理中的作用。</w:t>
            </w:r>
          </w:p>
          <w:p>
            <w:r>
              <w:rPr>
                <w:rFonts w:hint="eastAsia"/>
              </w:rPr>
              <w:t>2.如何运用归纳推理论证结构。</w:t>
            </w:r>
          </w:p>
          <w:p/>
        </w:tc>
        <w:tc>
          <w:tcPr>
            <w:tcW w:w="2145" w:type="dxa"/>
          </w:tcPr>
          <w:p>
            <w:pPr>
              <w:ind w:firstLine="360"/>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1.能在</w:t>
            </w:r>
            <w:r>
              <w:rPr>
                <w:rFonts w:hint="eastAsia"/>
              </w:rPr>
              <w:t>给定案例中理解归纳推理的应用特点</w:t>
            </w:r>
            <w:r>
              <w:rPr>
                <w:rFonts w:hint="eastAsia" w:asciiTheme="minorEastAsia" w:hAnsiTheme="minorEastAsia" w:eastAsiaTheme="minorEastAsia" w:cstheme="minorEastAsia"/>
                <w:kern w:val="0"/>
                <w:sz w:val="18"/>
                <w:szCs w:val="18"/>
              </w:rPr>
              <w:t>。</w:t>
            </w:r>
          </w:p>
          <w:p>
            <w:pPr>
              <w:ind w:firstLine="360"/>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2.用归纳法思考并辨别给定案例中的关键问题。</w:t>
            </w:r>
          </w:p>
        </w:tc>
        <w:tc>
          <w:tcPr>
            <w:tcW w:w="2145" w:type="dxa"/>
          </w:tcPr>
          <w:p>
            <w:r>
              <w:rPr>
                <w:rFonts w:hint="eastAsia"/>
              </w:rPr>
              <w:t>激发学生对归纳法的兴趣。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2144" w:type="dxa"/>
          </w:tcPr>
          <w:p>
            <w:pPr>
              <w:ind w:firstLine="0" w:firstLineChars="0"/>
            </w:pPr>
            <w:r>
              <w:rPr>
                <w:rFonts w:hint="eastAsia"/>
              </w:rPr>
              <w:t>3.归纳法的司法应用——刑侦中的推理</w:t>
            </w:r>
          </w:p>
        </w:tc>
        <w:tc>
          <w:tcPr>
            <w:tcW w:w="2144" w:type="dxa"/>
          </w:tcPr>
          <w:p>
            <w:pPr>
              <w:numPr>
                <w:ilvl w:val="0"/>
                <w:numId w:val="2"/>
              </w:numPr>
            </w:pPr>
            <w:r>
              <w:rPr>
                <w:rFonts w:hint="eastAsia"/>
              </w:rPr>
              <w:t>知道行政推理的本质。</w:t>
            </w:r>
          </w:p>
          <w:p>
            <w:pPr>
              <w:numPr>
                <w:ilvl w:val="0"/>
                <w:numId w:val="2"/>
              </w:numPr>
            </w:pPr>
            <w:r>
              <w:rPr>
                <w:rFonts w:hint="eastAsia"/>
              </w:rPr>
              <w:t>分析刑侦推理的种类。</w:t>
            </w:r>
          </w:p>
          <w:p/>
          <w:p>
            <w:r>
              <w:rPr>
                <w:rFonts w:hint="eastAsia"/>
              </w:rPr>
              <w:t xml:space="preserve">3.理解当前社会与以往社会刑侦推理的异同，    </w:t>
            </w:r>
          </w:p>
        </w:tc>
        <w:tc>
          <w:tcPr>
            <w:tcW w:w="2145" w:type="dxa"/>
          </w:tcPr>
          <w:p>
            <w:r>
              <w:rPr>
                <w:rFonts w:hint="eastAsia"/>
              </w:rPr>
              <w:t>1.能主动辨别刑侦推理的特点</w:t>
            </w:r>
          </w:p>
          <w:p>
            <w:r>
              <w:rPr>
                <w:rFonts w:hint="eastAsia"/>
              </w:rPr>
              <w:t>4.能描述刑侦推理的种类。</w:t>
            </w:r>
          </w:p>
        </w:tc>
        <w:tc>
          <w:tcPr>
            <w:tcW w:w="2145" w:type="dxa"/>
          </w:tcPr>
          <w:p>
            <w:r>
              <w:rPr>
                <w:rFonts w:hint="eastAsia"/>
              </w:rPr>
              <w:t>1.当前社会刑侦推理与以往社会刑侦推理存在异同的时代变化（摄像头的无处不在）。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2144" w:type="dxa"/>
          </w:tcPr>
          <w:p>
            <w:pPr>
              <w:ind w:firstLine="0" w:firstLineChars="0"/>
            </w:pPr>
            <w:r>
              <w:rPr>
                <w:rFonts w:hint="eastAsia"/>
              </w:rPr>
              <w:t xml:space="preserve">4、前提真实性的思考——小说、电影中的推理   </w:t>
            </w:r>
          </w:p>
        </w:tc>
        <w:tc>
          <w:tcPr>
            <w:tcW w:w="2144" w:type="dxa"/>
          </w:tcPr>
          <w:p>
            <w:r>
              <w:rPr>
                <w:rFonts w:hint="eastAsia"/>
              </w:rPr>
              <w:t>1、了解判断的含义。</w:t>
            </w:r>
          </w:p>
          <w:p>
            <w:r>
              <w:rPr>
                <w:rFonts w:hint="eastAsia"/>
              </w:rPr>
              <w:t>2.了解什么是直言判断</w:t>
            </w:r>
          </w:p>
          <w:p/>
        </w:tc>
        <w:tc>
          <w:tcPr>
            <w:tcW w:w="2145" w:type="dxa"/>
          </w:tcPr>
          <w:p>
            <w:pPr>
              <w:ind w:firstLine="360"/>
              <w:rPr>
                <w:rFonts w:asciiTheme="minorEastAsia" w:hAnsiTheme="minorEastAsia" w:eastAsiaTheme="minorEastAsia" w:cstheme="minorEastAsia"/>
                <w:color w:val="000000" w:themeColor="text1"/>
                <w:kern w:val="0"/>
                <w:sz w:val="18"/>
                <w:szCs w:val="18"/>
              </w:rPr>
            </w:pPr>
            <w:r>
              <w:rPr>
                <w:rFonts w:hint="eastAsia" w:asciiTheme="minorEastAsia" w:hAnsiTheme="minorEastAsia" w:eastAsiaTheme="minorEastAsia" w:cstheme="minorEastAsia"/>
                <w:color w:val="auto"/>
                <w:kern w:val="0"/>
                <w:sz w:val="18"/>
                <w:szCs w:val="18"/>
              </w:rPr>
              <w:t>1.</w:t>
            </w:r>
            <w:r>
              <w:rPr>
                <w:rFonts w:hint="eastAsia" w:asciiTheme="minorEastAsia" w:hAnsiTheme="minorEastAsia" w:eastAsiaTheme="minorEastAsia" w:cstheme="minorEastAsia"/>
                <w:color w:val="000000" w:themeColor="text1"/>
                <w:kern w:val="0"/>
                <w:sz w:val="18"/>
                <w:szCs w:val="18"/>
              </w:rPr>
              <w:t>能阐释小说、电影中的判断真假</w:t>
            </w:r>
          </w:p>
          <w:p>
            <w:pPr>
              <w:ind w:firstLine="360"/>
            </w:pPr>
            <w:r>
              <w:rPr>
                <w:rFonts w:hint="eastAsia" w:asciiTheme="minorEastAsia" w:hAnsiTheme="minorEastAsia" w:eastAsiaTheme="minorEastAsia" w:cstheme="minorEastAsia"/>
                <w:color w:val="000000" w:themeColor="text1"/>
                <w:kern w:val="0"/>
                <w:sz w:val="18"/>
                <w:szCs w:val="18"/>
              </w:rPr>
              <w:t>2.有质疑精神，用逻辑分析法为破窗效应的合理性作出辩护</w:t>
            </w:r>
          </w:p>
        </w:tc>
        <w:tc>
          <w:tcPr>
            <w:tcW w:w="2145" w:type="dxa"/>
          </w:tcPr>
          <w:p>
            <w:r>
              <w:rPr>
                <w:rFonts w:hint="eastAsia"/>
              </w:rPr>
              <w:t>鼓励学生在看小说、电影时关注逻辑学知识点。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2144" w:type="dxa"/>
          </w:tcPr>
          <w:p>
            <w:pPr>
              <w:ind w:firstLine="0" w:firstLineChars="0"/>
            </w:pPr>
            <w:r>
              <w:rPr>
                <w:rFonts w:hint="eastAsia"/>
              </w:rPr>
              <w:t>5演绎推理、归纳推理在审判推理中的应用</w:t>
            </w:r>
          </w:p>
        </w:tc>
        <w:tc>
          <w:tcPr>
            <w:tcW w:w="2144" w:type="dxa"/>
          </w:tcPr>
          <w:p>
            <w:r>
              <w:rPr>
                <w:rFonts w:hint="eastAsia"/>
              </w:rPr>
              <w:t>1.理解归纳和演绎的异同。</w:t>
            </w:r>
          </w:p>
          <w:p>
            <w:r>
              <w:rPr>
                <w:rFonts w:hint="eastAsia"/>
              </w:rPr>
              <w:t>2.分析评价各种归纳法的优缺点。</w:t>
            </w:r>
          </w:p>
          <w:p/>
        </w:tc>
        <w:tc>
          <w:tcPr>
            <w:tcW w:w="2145" w:type="dxa"/>
          </w:tcPr>
          <w:p>
            <w:pPr>
              <w:numPr>
                <w:ilvl w:val="0"/>
                <w:numId w:val="3"/>
              </w:numPr>
            </w:pPr>
            <w:r>
              <w:rPr>
                <w:rFonts w:hint="eastAsia"/>
              </w:rPr>
              <w:t>会使用归纳法、演绎法。</w:t>
            </w:r>
          </w:p>
          <w:p>
            <w:pPr>
              <w:numPr>
                <w:ilvl w:val="0"/>
                <w:numId w:val="3"/>
              </w:numPr>
            </w:pPr>
            <w:r>
              <w:rPr>
                <w:rFonts w:hint="eastAsia"/>
              </w:rPr>
              <w:t>懂得如何选择各种推理方法。</w:t>
            </w:r>
          </w:p>
        </w:tc>
        <w:tc>
          <w:tcPr>
            <w:tcW w:w="2145" w:type="dxa"/>
          </w:tcPr>
          <w:p>
            <w:r>
              <w:rPr>
                <w:rFonts w:hint="eastAsia"/>
              </w:rPr>
              <w:t>对归纳法的有效性和有用性的理解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2144" w:type="dxa"/>
          </w:tcPr>
          <w:p>
            <w:pPr>
              <w:ind w:firstLine="0" w:firstLineChars="0"/>
            </w:pPr>
            <w:r>
              <w:rPr>
                <w:rFonts w:hint="eastAsia"/>
              </w:rPr>
              <w:t>6.深入思考;洞悉和假设在犯罪心理推理中的作用</w:t>
            </w:r>
          </w:p>
        </w:tc>
        <w:tc>
          <w:tcPr>
            <w:tcW w:w="2144" w:type="dxa"/>
          </w:tcPr>
          <w:p>
            <w:pPr>
              <w:rPr>
                <w:szCs w:val="21"/>
              </w:rPr>
            </w:pPr>
            <w:r>
              <w:rPr>
                <w:rFonts w:hint="eastAsia"/>
                <w:szCs w:val="21"/>
              </w:rPr>
              <w:t>1.分析假设的核心要点是什么？</w:t>
            </w:r>
          </w:p>
          <w:p>
            <w:pPr>
              <w:rPr>
                <w:szCs w:val="21"/>
              </w:rPr>
            </w:pPr>
            <w:r>
              <w:rPr>
                <w:rFonts w:hint="eastAsia"/>
                <w:szCs w:val="21"/>
              </w:rPr>
              <w:t>2.综合评价假设的基本原则</w:t>
            </w:r>
          </w:p>
        </w:tc>
        <w:tc>
          <w:tcPr>
            <w:tcW w:w="2145" w:type="dxa"/>
          </w:tcPr>
          <w:p>
            <w:pPr>
              <w:rPr>
                <w:szCs w:val="21"/>
              </w:rPr>
            </w:pPr>
            <w:r>
              <w:rPr>
                <w:rFonts w:hint="eastAsia"/>
                <w:szCs w:val="21"/>
              </w:rPr>
              <w:t>1能分析假设的核心要点。</w:t>
            </w:r>
          </w:p>
          <w:p>
            <w:pPr>
              <w:ind w:firstLine="0" w:firstLineChars="0"/>
            </w:pPr>
            <w:r>
              <w:rPr>
                <w:rFonts w:hint="eastAsia"/>
                <w:szCs w:val="21"/>
              </w:rPr>
              <w:t>2.综合评价庄家和散户的关系。</w:t>
            </w:r>
          </w:p>
        </w:tc>
        <w:tc>
          <w:tcPr>
            <w:tcW w:w="2145" w:type="dxa"/>
          </w:tcPr>
          <w:p>
            <w:r>
              <w:rPr>
                <w:rFonts w:hint="eastAsia"/>
              </w:rPr>
              <w:t>难点：假设作用的理解。</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2144" w:type="dxa"/>
          </w:tcPr>
          <w:p>
            <w:pPr>
              <w:ind w:firstLine="0" w:firstLineChars="0"/>
            </w:pPr>
            <w:r>
              <w:rPr>
                <w:rFonts w:hint="eastAsia"/>
              </w:rPr>
              <w:t>7.诡辩与谬误在审判推理和生活中的影响</w:t>
            </w:r>
          </w:p>
        </w:tc>
        <w:tc>
          <w:tcPr>
            <w:tcW w:w="2144" w:type="dxa"/>
          </w:tcPr>
          <w:p>
            <w:pPr>
              <w:rPr>
                <w:szCs w:val="21"/>
              </w:rPr>
            </w:pPr>
            <w:r>
              <w:rPr>
                <w:rFonts w:hint="eastAsia"/>
                <w:szCs w:val="21"/>
              </w:rPr>
              <w:t>1.了解生活中无处不在的诡辩和谬误的种类。</w:t>
            </w:r>
          </w:p>
          <w:p>
            <w:pPr>
              <w:rPr>
                <w:szCs w:val="21"/>
              </w:rPr>
            </w:pPr>
            <w:r>
              <w:rPr>
                <w:rFonts w:hint="eastAsia"/>
                <w:szCs w:val="21"/>
              </w:rPr>
              <w:t>2.分析诡辩和谬误的破绽。</w:t>
            </w:r>
          </w:p>
        </w:tc>
        <w:tc>
          <w:tcPr>
            <w:tcW w:w="2145" w:type="dxa"/>
          </w:tcPr>
          <w:p>
            <w:pPr>
              <w:rPr>
                <w:szCs w:val="21"/>
              </w:rPr>
            </w:pPr>
            <w:r>
              <w:rPr>
                <w:rFonts w:hint="eastAsia"/>
                <w:szCs w:val="21"/>
              </w:rPr>
              <w:t>1.能分辨生活中无处不在的诡辩和谬误的种类。</w:t>
            </w:r>
          </w:p>
          <w:p>
            <w:pPr>
              <w:ind w:firstLine="0" w:firstLineChars="0"/>
            </w:pPr>
            <w:r>
              <w:rPr>
                <w:rFonts w:hint="eastAsia"/>
                <w:szCs w:val="21"/>
              </w:rPr>
              <w:t>2.分析诡辩和谬误的破绽。3.利用知识点比较竞争与合作的使用前提。</w:t>
            </w:r>
          </w:p>
        </w:tc>
        <w:tc>
          <w:tcPr>
            <w:tcW w:w="2145" w:type="dxa"/>
          </w:tcPr>
          <w:p>
            <w:r>
              <w:rPr>
                <w:rFonts w:hint="eastAsia"/>
              </w:rPr>
              <w:t>理解东西方社会生活、法律、文化带来对诡辩和谬误的不同理解以及真实的态度。</w:t>
            </w:r>
          </w:p>
        </w:tc>
      </w:tr>
    </w:tbl>
    <w:p>
      <w:r>
        <w:rPr>
          <w:rFonts w:hint="eastAsia"/>
        </w:rPr>
        <w:t xml:space="preserve">  </w:t>
      </w:r>
      <w:r>
        <w:rPr>
          <w:rFonts w:hint="eastAsia" w:ascii="黑体" w:hAnsi="黑体" w:eastAsia="黑体" w:cs="黑体"/>
          <w:sz w:val="24"/>
          <w:szCs w:val="24"/>
        </w:rPr>
        <w:t xml:space="preserve"> 六、评价方式与成绩</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845"/>
        <w:gridCol w:w="2175"/>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049" w:type="dxa"/>
            <w:tcBorders>
              <w:top w:val="single" w:color="auto" w:sz="4" w:space="0"/>
              <w:left w:val="single" w:color="auto" w:sz="4" w:space="0"/>
              <w:bottom w:val="single" w:color="auto" w:sz="4" w:space="0"/>
              <w:right w:val="single" w:color="auto" w:sz="4" w:space="0"/>
            </w:tcBorders>
            <w:vAlign w:val="center"/>
          </w:tcPr>
          <w:p>
            <w:pPr>
              <w:ind w:firstLine="420"/>
              <w:rPr>
                <w:kern w:val="0"/>
                <w:sz w:val="21"/>
                <w:szCs w:val="21"/>
              </w:rPr>
            </w:pPr>
            <w:r>
              <w:rPr>
                <w:rFonts w:hint="eastAsia"/>
                <w:kern w:val="0"/>
                <w:sz w:val="21"/>
                <w:szCs w:val="21"/>
              </w:rPr>
              <w:t>项目</w:t>
            </w:r>
          </w:p>
        </w:tc>
        <w:tc>
          <w:tcPr>
            <w:tcW w:w="1845" w:type="dxa"/>
            <w:tcBorders>
              <w:top w:val="single" w:color="auto" w:sz="4" w:space="0"/>
              <w:left w:val="single" w:color="auto" w:sz="4" w:space="0"/>
              <w:bottom w:val="single" w:color="auto" w:sz="4" w:space="0"/>
              <w:right w:val="single" w:color="auto" w:sz="4" w:space="0"/>
            </w:tcBorders>
            <w:vAlign w:val="center"/>
          </w:tcPr>
          <w:p>
            <w:pPr>
              <w:ind w:firstLine="420"/>
              <w:rPr>
                <w:kern w:val="0"/>
                <w:sz w:val="21"/>
                <w:szCs w:val="21"/>
              </w:rPr>
            </w:pPr>
            <w:r>
              <w:rPr>
                <w:rFonts w:hint="eastAsia"/>
                <w:kern w:val="0"/>
                <w:sz w:val="21"/>
                <w:szCs w:val="21"/>
              </w:rPr>
              <w:t>过程考核</w:t>
            </w:r>
            <w:r>
              <w:rPr>
                <w:kern w:val="0"/>
                <w:sz w:val="21"/>
                <w:szCs w:val="21"/>
              </w:rPr>
              <w:t>1</w:t>
            </w:r>
          </w:p>
          <w:p>
            <w:pPr>
              <w:ind w:firstLine="420"/>
              <w:rPr>
                <w:kern w:val="0"/>
                <w:sz w:val="21"/>
                <w:szCs w:val="21"/>
              </w:rPr>
            </w:pPr>
            <w:r>
              <w:rPr>
                <w:rFonts w:hint="eastAsia"/>
                <w:kern w:val="0"/>
                <w:sz w:val="21"/>
                <w:szCs w:val="21"/>
              </w:rPr>
              <w:t>（X1）</w:t>
            </w:r>
          </w:p>
        </w:tc>
        <w:tc>
          <w:tcPr>
            <w:tcW w:w="2175" w:type="dxa"/>
            <w:tcBorders>
              <w:top w:val="single" w:color="auto" w:sz="4" w:space="0"/>
              <w:left w:val="single" w:color="auto" w:sz="4" w:space="0"/>
              <w:bottom w:val="single" w:color="auto" w:sz="4" w:space="0"/>
              <w:right w:val="single" w:color="auto" w:sz="4" w:space="0"/>
            </w:tcBorders>
            <w:vAlign w:val="center"/>
          </w:tcPr>
          <w:p>
            <w:pPr>
              <w:ind w:firstLine="420"/>
              <w:rPr>
                <w:kern w:val="0"/>
                <w:sz w:val="21"/>
                <w:szCs w:val="21"/>
              </w:rPr>
            </w:pPr>
            <w:r>
              <w:rPr>
                <w:rFonts w:hint="eastAsia"/>
                <w:kern w:val="0"/>
                <w:sz w:val="21"/>
                <w:szCs w:val="21"/>
              </w:rPr>
              <w:t>过程考核2</w:t>
            </w:r>
          </w:p>
          <w:p>
            <w:pPr>
              <w:ind w:firstLine="420"/>
              <w:rPr>
                <w:kern w:val="0"/>
                <w:sz w:val="21"/>
                <w:szCs w:val="21"/>
              </w:rPr>
            </w:pPr>
            <w:r>
              <w:rPr>
                <w:rFonts w:hint="eastAsia"/>
                <w:kern w:val="0"/>
                <w:sz w:val="21"/>
                <w:szCs w:val="21"/>
              </w:rPr>
              <w:t>（</w:t>
            </w:r>
            <w:r>
              <w:rPr>
                <w:kern w:val="0"/>
                <w:sz w:val="21"/>
                <w:szCs w:val="21"/>
              </w:rPr>
              <w:t>X</w:t>
            </w:r>
            <w:r>
              <w:rPr>
                <w:rFonts w:hint="eastAsia"/>
                <w:kern w:val="0"/>
                <w:sz w:val="21"/>
                <w:szCs w:val="21"/>
              </w:rPr>
              <w:t>2）</w:t>
            </w:r>
          </w:p>
        </w:tc>
        <w:tc>
          <w:tcPr>
            <w:tcW w:w="2475" w:type="dxa"/>
            <w:tcBorders>
              <w:top w:val="single" w:color="auto" w:sz="4" w:space="0"/>
              <w:left w:val="single" w:color="auto" w:sz="4" w:space="0"/>
              <w:bottom w:val="single" w:color="auto" w:sz="4" w:space="0"/>
              <w:right w:val="single" w:color="auto" w:sz="4" w:space="0"/>
            </w:tcBorders>
            <w:vAlign w:val="center"/>
          </w:tcPr>
          <w:p>
            <w:pPr>
              <w:ind w:firstLine="420"/>
              <w:rPr>
                <w:kern w:val="0"/>
                <w:sz w:val="21"/>
                <w:szCs w:val="21"/>
              </w:rPr>
            </w:pPr>
            <w:r>
              <w:rPr>
                <w:rFonts w:hint="eastAsia"/>
                <w:kern w:val="0"/>
                <w:sz w:val="21"/>
                <w:szCs w:val="21"/>
              </w:rPr>
              <w:t>过程考核</w:t>
            </w:r>
            <w:r>
              <w:rPr>
                <w:kern w:val="0"/>
                <w:sz w:val="21"/>
                <w:szCs w:val="21"/>
              </w:rPr>
              <w:t>1</w:t>
            </w:r>
          </w:p>
          <w:p>
            <w:pPr>
              <w:ind w:firstLine="420"/>
              <w:rPr>
                <w:kern w:val="0"/>
                <w:sz w:val="21"/>
                <w:szCs w:val="21"/>
              </w:rPr>
            </w:pPr>
            <w:r>
              <w:rPr>
                <w:rFonts w:hint="eastAsia"/>
                <w:kern w:val="0"/>
                <w:sz w:val="21"/>
                <w:szCs w:val="21"/>
              </w:rPr>
              <w:t>（X3）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049" w:type="dxa"/>
            <w:tcBorders>
              <w:top w:val="single" w:color="auto" w:sz="4" w:space="0"/>
              <w:left w:val="single" w:color="auto" w:sz="4" w:space="0"/>
              <w:bottom w:val="single" w:color="auto" w:sz="4" w:space="0"/>
              <w:right w:val="single" w:color="auto" w:sz="4" w:space="0"/>
            </w:tcBorders>
            <w:vAlign w:val="center"/>
          </w:tcPr>
          <w:p>
            <w:pPr>
              <w:ind w:firstLine="420"/>
              <w:rPr>
                <w:kern w:val="0"/>
                <w:sz w:val="21"/>
                <w:szCs w:val="21"/>
              </w:rPr>
            </w:pPr>
            <w:r>
              <w:rPr>
                <w:rFonts w:hint="eastAsia"/>
                <w:kern w:val="0"/>
                <w:sz w:val="21"/>
                <w:szCs w:val="21"/>
              </w:rPr>
              <w:t>考核形式</w:t>
            </w:r>
          </w:p>
        </w:tc>
        <w:tc>
          <w:tcPr>
            <w:tcW w:w="1845" w:type="dxa"/>
            <w:tcBorders>
              <w:top w:val="single" w:color="auto" w:sz="4" w:space="0"/>
              <w:left w:val="single" w:color="auto" w:sz="4" w:space="0"/>
              <w:bottom w:val="single" w:color="auto" w:sz="4" w:space="0"/>
              <w:right w:val="single" w:color="auto" w:sz="4" w:space="0"/>
            </w:tcBorders>
            <w:vAlign w:val="center"/>
          </w:tcPr>
          <w:p>
            <w:pPr>
              <w:ind w:firstLine="420"/>
              <w:rPr>
                <w:sz w:val="21"/>
                <w:szCs w:val="21"/>
              </w:rPr>
            </w:pPr>
            <w:r>
              <w:rPr>
                <w:rFonts w:hint="eastAsia"/>
                <w:sz w:val="21"/>
                <w:szCs w:val="21"/>
              </w:rPr>
              <w:t>平时作业一（选择题加案例分析）</w:t>
            </w:r>
          </w:p>
        </w:tc>
        <w:tc>
          <w:tcPr>
            <w:tcW w:w="2175" w:type="dxa"/>
            <w:tcBorders>
              <w:top w:val="single" w:color="auto" w:sz="4" w:space="0"/>
              <w:left w:val="single" w:color="auto" w:sz="4" w:space="0"/>
              <w:bottom w:val="single" w:color="auto" w:sz="4" w:space="0"/>
              <w:right w:val="single" w:color="auto" w:sz="4" w:space="0"/>
            </w:tcBorders>
            <w:vAlign w:val="center"/>
          </w:tcPr>
          <w:p>
            <w:pPr>
              <w:ind w:firstLine="420"/>
              <w:rPr>
                <w:sz w:val="21"/>
                <w:szCs w:val="21"/>
              </w:rPr>
            </w:pPr>
            <w:r>
              <w:rPr>
                <w:rFonts w:hint="eastAsia"/>
                <w:sz w:val="21"/>
                <w:szCs w:val="21"/>
              </w:rPr>
              <w:t>平时作业二（案例中的推理要素练习）</w:t>
            </w:r>
          </w:p>
        </w:tc>
        <w:tc>
          <w:tcPr>
            <w:tcW w:w="2475" w:type="dxa"/>
            <w:tcBorders>
              <w:top w:val="single" w:color="auto" w:sz="4" w:space="0"/>
              <w:left w:val="single" w:color="auto" w:sz="4" w:space="0"/>
              <w:bottom w:val="single" w:color="auto" w:sz="4" w:space="0"/>
              <w:right w:val="single" w:color="auto" w:sz="4" w:space="0"/>
            </w:tcBorders>
            <w:vAlign w:val="center"/>
          </w:tcPr>
          <w:p>
            <w:pPr>
              <w:ind w:firstLine="420"/>
              <w:rPr>
                <w:sz w:val="21"/>
                <w:szCs w:val="21"/>
                <w:lang w:eastAsia="zh-TW"/>
              </w:rPr>
            </w:pPr>
            <w:r>
              <w:rPr>
                <w:rFonts w:hint="eastAsia"/>
                <w:sz w:val="21"/>
                <w:szCs w:val="21"/>
              </w:rPr>
              <w:t>期末作业三（</w:t>
            </w:r>
            <w:r>
              <w:rPr>
                <w:rFonts w:hint="eastAsia"/>
                <w:sz w:val="21"/>
                <w:szCs w:val="21"/>
                <w:lang w:val="en-US" w:eastAsia="zh-CN"/>
              </w:rPr>
              <w:t>综合应用</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049" w:type="dxa"/>
            <w:tcBorders>
              <w:top w:val="single" w:color="auto" w:sz="4" w:space="0"/>
              <w:left w:val="single" w:color="auto" w:sz="4" w:space="0"/>
              <w:bottom w:val="single" w:color="auto" w:sz="4" w:space="0"/>
              <w:right w:val="single" w:color="auto" w:sz="4" w:space="0"/>
            </w:tcBorders>
            <w:vAlign w:val="center"/>
          </w:tcPr>
          <w:p>
            <w:pPr>
              <w:ind w:firstLine="420"/>
              <w:rPr>
                <w:rFonts w:ascii="仿宋" w:hAnsi="仿宋" w:eastAsia="仿宋"/>
                <w:b/>
                <w:sz w:val="21"/>
                <w:szCs w:val="21"/>
              </w:rPr>
            </w:pPr>
            <w:r>
              <w:rPr>
                <w:rFonts w:hint="eastAsia"/>
                <w:kern w:val="0"/>
                <w:sz w:val="21"/>
                <w:szCs w:val="21"/>
              </w:rPr>
              <w:t>占总评成绩的比例</w:t>
            </w:r>
          </w:p>
        </w:tc>
        <w:tc>
          <w:tcPr>
            <w:tcW w:w="1845" w:type="dxa"/>
            <w:tcBorders>
              <w:top w:val="single" w:color="auto" w:sz="4" w:space="0"/>
              <w:left w:val="single" w:color="auto" w:sz="4" w:space="0"/>
              <w:bottom w:val="single" w:color="auto" w:sz="4" w:space="0"/>
              <w:right w:val="single" w:color="auto" w:sz="4" w:space="0"/>
            </w:tcBorders>
            <w:vAlign w:val="center"/>
          </w:tcPr>
          <w:p>
            <w:pPr>
              <w:ind w:firstLine="420"/>
              <w:rPr>
                <w:sz w:val="21"/>
                <w:szCs w:val="21"/>
              </w:rPr>
            </w:pPr>
            <w:r>
              <w:rPr>
                <w:rFonts w:hint="eastAsia"/>
                <w:sz w:val="21"/>
                <w:szCs w:val="21"/>
                <w:lang w:val="en-US" w:eastAsia="zh-CN"/>
              </w:rPr>
              <w:t>30</w:t>
            </w:r>
            <w:r>
              <w:rPr>
                <w:sz w:val="21"/>
                <w:szCs w:val="21"/>
              </w:rPr>
              <w:t>%</w:t>
            </w:r>
          </w:p>
        </w:tc>
        <w:tc>
          <w:tcPr>
            <w:tcW w:w="2175" w:type="dxa"/>
            <w:tcBorders>
              <w:top w:val="single" w:color="auto" w:sz="4" w:space="0"/>
              <w:left w:val="single" w:color="auto" w:sz="4" w:space="0"/>
              <w:bottom w:val="single" w:color="auto" w:sz="4" w:space="0"/>
              <w:right w:val="single" w:color="auto" w:sz="4" w:space="0"/>
            </w:tcBorders>
            <w:vAlign w:val="center"/>
          </w:tcPr>
          <w:p>
            <w:pPr>
              <w:ind w:firstLine="420"/>
              <w:rPr>
                <w:sz w:val="21"/>
                <w:szCs w:val="21"/>
              </w:rPr>
            </w:pPr>
            <w:r>
              <w:rPr>
                <w:rFonts w:hint="eastAsia"/>
                <w:sz w:val="21"/>
                <w:szCs w:val="21"/>
                <w:lang w:val="en-US" w:eastAsia="zh-CN"/>
              </w:rPr>
              <w:t>30</w:t>
            </w:r>
            <w:r>
              <w:rPr>
                <w:sz w:val="21"/>
                <w:szCs w:val="21"/>
              </w:rPr>
              <w:t>%</w:t>
            </w:r>
          </w:p>
        </w:tc>
        <w:tc>
          <w:tcPr>
            <w:tcW w:w="2475" w:type="dxa"/>
            <w:tcBorders>
              <w:top w:val="single" w:color="auto" w:sz="4" w:space="0"/>
              <w:left w:val="single" w:color="auto" w:sz="4" w:space="0"/>
              <w:bottom w:val="single" w:color="auto" w:sz="4" w:space="0"/>
              <w:right w:val="single" w:color="auto" w:sz="4" w:space="0"/>
            </w:tcBorders>
            <w:vAlign w:val="center"/>
          </w:tcPr>
          <w:p>
            <w:pPr>
              <w:ind w:firstLine="420"/>
              <w:rPr>
                <w:sz w:val="21"/>
                <w:szCs w:val="21"/>
              </w:rPr>
            </w:pPr>
            <w:r>
              <w:rPr>
                <w:rFonts w:hint="eastAsia"/>
                <w:sz w:val="21"/>
                <w:szCs w:val="21"/>
                <w:lang w:val="en-US" w:eastAsia="zh-CN"/>
              </w:rPr>
              <w:t>4</w:t>
            </w:r>
            <w:r>
              <w:rPr>
                <w:rFonts w:hint="eastAsia"/>
                <w:sz w:val="21"/>
                <w:szCs w:val="21"/>
              </w:rPr>
              <w:t>0</w:t>
            </w:r>
            <w:r>
              <w:rPr>
                <w:sz w:val="21"/>
                <w:szCs w:val="21"/>
              </w:rPr>
              <w:t>%</w:t>
            </w:r>
          </w:p>
        </w:tc>
      </w:tr>
    </w:tbl>
    <w:p/>
    <w:p/>
    <w:p>
      <w:pPr>
        <w:ind w:firstLine="480"/>
        <w:rPr>
          <w:sz w:val="24"/>
          <w:szCs w:val="24"/>
        </w:rPr>
      </w:pPr>
    </w:p>
    <w:p>
      <w:pPr>
        <w:ind w:firstLine="480"/>
        <w:rPr>
          <w:sz w:val="24"/>
          <w:szCs w:val="24"/>
        </w:rPr>
      </w:pPr>
      <w:r>
        <w:rPr>
          <w:rFonts w:hint="eastAsia"/>
          <w:sz w:val="24"/>
          <w:szCs w:val="24"/>
        </w:rPr>
        <w:t xml:space="preserve">撰写： </w:t>
      </w:r>
      <w:r>
        <w:rPr>
          <w:sz w:val="28"/>
          <w:szCs w:val="28"/>
        </w:rPr>
        <w:drawing>
          <wp:inline distT="0" distB="0" distL="0" distR="0">
            <wp:extent cx="393065" cy="245110"/>
            <wp:effectExtent l="0" t="0" r="6985" b="2540"/>
            <wp:docPr id="2" name="图片 2" descr="C:\Users\ADMINI~1\AppData\Local\Temp\WeChat Files\b16b8587ed1be09f5e5279f8eaf4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b16b8587ed1be09f5e5279f8eaf463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0902" cy="250071"/>
                    </a:xfrm>
                    <a:prstGeom prst="rect">
                      <a:avLst/>
                    </a:prstGeom>
                    <a:noFill/>
                    <a:ln>
                      <a:noFill/>
                    </a:ln>
                  </pic:spPr>
                </pic:pic>
              </a:graphicData>
            </a:graphic>
          </wp:inline>
        </w:drawing>
      </w:r>
      <w:r>
        <w:rPr>
          <w:rFonts w:hint="eastAsia"/>
          <w:sz w:val="24"/>
          <w:szCs w:val="24"/>
        </w:rPr>
        <w:t xml:space="preserve">         系主任审核：</w:t>
      </w:r>
      <w:r>
        <w:rPr>
          <w:rFonts w:hint="eastAsia"/>
          <w:sz w:val="24"/>
          <w:szCs w:val="24"/>
          <w:lang w:val="en-US" w:eastAsia="zh-CN"/>
        </w:rPr>
        <w:t>马莹</w:t>
      </w:r>
      <w:r>
        <w:rPr>
          <w:rFonts w:hint="eastAsia"/>
          <w:sz w:val="24"/>
          <w:szCs w:val="24"/>
        </w:rPr>
        <w:t xml:space="preserve">     202</w:t>
      </w:r>
      <w:r>
        <w:rPr>
          <w:rFonts w:hint="eastAsia"/>
          <w:sz w:val="24"/>
          <w:szCs w:val="24"/>
          <w:lang w:val="en-US" w:eastAsia="zh-CN"/>
        </w:rPr>
        <w:t>3</w:t>
      </w:r>
      <w:r>
        <w:rPr>
          <w:rFonts w:hint="eastAsia"/>
          <w:sz w:val="24"/>
          <w:szCs w:val="24"/>
        </w:rPr>
        <w:t>年</w:t>
      </w:r>
      <w:r>
        <w:rPr>
          <w:rFonts w:hint="eastAsia"/>
          <w:sz w:val="24"/>
          <w:szCs w:val="24"/>
          <w:lang w:val="en-US" w:eastAsia="zh-CN"/>
        </w:rPr>
        <w:t>8</w:t>
      </w:r>
      <w:bookmarkStart w:id="0" w:name="_GoBack"/>
      <w:bookmarkEnd w:id="0"/>
      <w:r>
        <w:rPr>
          <w:rFonts w:hint="eastAsia"/>
          <w:sz w:val="24"/>
          <w:szCs w:val="24"/>
        </w:rPr>
        <w:t>月2</w:t>
      </w:r>
      <w:r>
        <w:rPr>
          <w:rFonts w:hint="eastAsia"/>
          <w:sz w:val="24"/>
          <w:szCs w:val="24"/>
          <w:lang w:val="en-US" w:eastAsia="zh-CN"/>
        </w:rPr>
        <w:t>3</w:t>
      </w:r>
      <w:r>
        <w:rPr>
          <w:rFonts w:hint="eastAsia"/>
          <w:sz w:val="24"/>
          <w:szCs w:val="24"/>
        </w:rPr>
        <w:t>日</w:t>
      </w:r>
    </w:p>
    <w:p>
      <w:pPr>
        <w:ind w:firstLine="0" w:firstLineChars="0"/>
        <w:rPr>
          <w:rFonts w:ascii="宋体" w:hAnsi="宋体"/>
        </w:rPr>
      </w:pPr>
    </w:p>
    <w:p/>
    <w:sectPr>
      <w:headerReference r:id="rId7" w:type="first"/>
      <w:footerReference r:id="rId10" w:type="first"/>
      <w:headerReference r:id="rId5" w:type="default"/>
      <w:footerReference r:id="rId8" w:type="default"/>
      <w:headerReference r:id="rId6" w:type="even"/>
      <w:footerReference r:id="rId9" w:type="even"/>
      <w:pgSz w:w="11906" w:h="16838"/>
      <w:pgMar w:top="1361" w:right="1361" w:bottom="1191" w:left="1474" w:header="851" w:footer="85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00"/>
      </w:pPr>
      <w:r>
        <w:separator/>
      </w:r>
    </w:p>
  </w:endnote>
  <w:endnote w:type="continuationSeparator" w:id="1">
    <w:p>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r>
      <w:rPr>
        <w:rFonts w:hint="eastAsia"/>
      </w:rPr>
      <w:t>注：教学大纲电子版公布在本学院课程网站上，并发送到教务处存档。</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00"/>
      </w:pPr>
      <w:r>
        <w:separator/>
      </w:r>
    </w:p>
  </w:footnote>
  <w:footnote w:type="continuationSeparator" w:id="1">
    <w:p>
      <w:pPr>
        <w:spacing w:line="288" w:lineRule="auto"/>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jc w:val="both"/>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26（A</w:t>
    </w:r>
    <w:r>
      <w:rPr>
        <w:rFonts w:ascii="宋体" w:hAnsi="宋体"/>
        <w:spacing w:val="20"/>
        <w:sz w:val="24"/>
        <w:szCs w:val="24"/>
      </w:rPr>
      <w:t>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8ADC75"/>
    <w:multiLevelType w:val="singleLevel"/>
    <w:tmpl w:val="468ADC75"/>
    <w:lvl w:ilvl="0" w:tentative="0">
      <w:start w:val="1"/>
      <w:numFmt w:val="decimal"/>
      <w:lvlText w:val="%1."/>
      <w:lvlJc w:val="left"/>
      <w:pPr>
        <w:tabs>
          <w:tab w:val="left" w:pos="312"/>
        </w:tabs>
      </w:pPr>
    </w:lvl>
  </w:abstractNum>
  <w:abstractNum w:abstractNumId="1">
    <w:nsid w:val="5AA1F794"/>
    <w:multiLevelType w:val="singleLevel"/>
    <w:tmpl w:val="5AA1F794"/>
    <w:lvl w:ilvl="0" w:tentative="0">
      <w:start w:val="2"/>
      <w:numFmt w:val="chineseCounting"/>
      <w:suff w:val="nothing"/>
      <w:lvlText w:val="%1、"/>
      <w:lvlJc w:val="left"/>
    </w:lvl>
  </w:abstractNum>
  <w:abstractNum w:abstractNumId="2">
    <w:nsid w:val="669332DF"/>
    <w:multiLevelType w:val="singleLevel"/>
    <w:tmpl w:val="669332DF"/>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TrackMove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ViN2ZlYjU4MDVhZTU0MDA3MjkxZjY5NjkwMWQ2ZTUifQ=="/>
  </w:docVars>
  <w:rsids>
    <w:rsidRoot w:val="006F1EF5"/>
    <w:rsid w:val="0000262E"/>
    <w:rsid w:val="00020106"/>
    <w:rsid w:val="00026460"/>
    <w:rsid w:val="00055EBA"/>
    <w:rsid w:val="000673CF"/>
    <w:rsid w:val="00090FAE"/>
    <w:rsid w:val="000E173F"/>
    <w:rsid w:val="00125C1E"/>
    <w:rsid w:val="001307A8"/>
    <w:rsid w:val="00134662"/>
    <w:rsid w:val="00141020"/>
    <w:rsid w:val="00151E3A"/>
    <w:rsid w:val="001776B9"/>
    <w:rsid w:val="001A4F83"/>
    <w:rsid w:val="001A5427"/>
    <w:rsid w:val="001C54E4"/>
    <w:rsid w:val="001E1C7F"/>
    <w:rsid w:val="00202979"/>
    <w:rsid w:val="00202F4A"/>
    <w:rsid w:val="00205691"/>
    <w:rsid w:val="00256EDB"/>
    <w:rsid w:val="002634A1"/>
    <w:rsid w:val="0026543E"/>
    <w:rsid w:val="002C436C"/>
    <w:rsid w:val="00300E03"/>
    <w:rsid w:val="0031179D"/>
    <w:rsid w:val="00315E89"/>
    <w:rsid w:val="00330401"/>
    <w:rsid w:val="00330419"/>
    <w:rsid w:val="003355D1"/>
    <w:rsid w:val="00346C56"/>
    <w:rsid w:val="00365541"/>
    <w:rsid w:val="00372463"/>
    <w:rsid w:val="0037376B"/>
    <w:rsid w:val="00387183"/>
    <w:rsid w:val="003B3D68"/>
    <w:rsid w:val="003D779A"/>
    <w:rsid w:val="003F1CC6"/>
    <w:rsid w:val="004257C5"/>
    <w:rsid w:val="004402B5"/>
    <w:rsid w:val="0044644B"/>
    <w:rsid w:val="00450AD1"/>
    <w:rsid w:val="00471FC4"/>
    <w:rsid w:val="0047424F"/>
    <w:rsid w:val="004949DC"/>
    <w:rsid w:val="00495DEF"/>
    <w:rsid w:val="004D27F9"/>
    <w:rsid w:val="0051211E"/>
    <w:rsid w:val="00520C65"/>
    <w:rsid w:val="0054413F"/>
    <w:rsid w:val="00544DCA"/>
    <w:rsid w:val="00585959"/>
    <w:rsid w:val="005C375A"/>
    <w:rsid w:val="005D539E"/>
    <w:rsid w:val="005D7251"/>
    <w:rsid w:val="00607749"/>
    <w:rsid w:val="00616A2F"/>
    <w:rsid w:val="0063700B"/>
    <w:rsid w:val="0063732C"/>
    <w:rsid w:val="00655EE7"/>
    <w:rsid w:val="006617D8"/>
    <w:rsid w:val="0067063F"/>
    <w:rsid w:val="00683AD6"/>
    <w:rsid w:val="006A1A83"/>
    <w:rsid w:val="006B02B5"/>
    <w:rsid w:val="006C2E7E"/>
    <w:rsid w:val="006E5CAD"/>
    <w:rsid w:val="006F1EF5"/>
    <w:rsid w:val="006F4DF7"/>
    <w:rsid w:val="00707550"/>
    <w:rsid w:val="00721CBA"/>
    <w:rsid w:val="00724190"/>
    <w:rsid w:val="00741D4A"/>
    <w:rsid w:val="00744C4E"/>
    <w:rsid w:val="007A33B9"/>
    <w:rsid w:val="007C48AE"/>
    <w:rsid w:val="007D5726"/>
    <w:rsid w:val="007D600D"/>
    <w:rsid w:val="007F16D0"/>
    <w:rsid w:val="0083755D"/>
    <w:rsid w:val="008C1FDB"/>
    <w:rsid w:val="00907FDB"/>
    <w:rsid w:val="00933102"/>
    <w:rsid w:val="00943DEF"/>
    <w:rsid w:val="00950881"/>
    <w:rsid w:val="00963D30"/>
    <w:rsid w:val="00975AFA"/>
    <w:rsid w:val="00986278"/>
    <w:rsid w:val="00987C5B"/>
    <w:rsid w:val="009A59CF"/>
    <w:rsid w:val="009C7503"/>
    <w:rsid w:val="009D37A1"/>
    <w:rsid w:val="00A22483"/>
    <w:rsid w:val="00A312A5"/>
    <w:rsid w:val="00A40438"/>
    <w:rsid w:val="00A40665"/>
    <w:rsid w:val="00A45B5F"/>
    <w:rsid w:val="00A90778"/>
    <w:rsid w:val="00A91997"/>
    <w:rsid w:val="00AB47DF"/>
    <w:rsid w:val="00AC52B5"/>
    <w:rsid w:val="00AC655F"/>
    <w:rsid w:val="00AE5FC8"/>
    <w:rsid w:val="00AF20EC"/>
    <w:rsid w:val="00B3314E"/>
    <w:rsid w:val="00B400BA"/>
    <w:rsid w:val="00B64DC8"/>
    <w:rsid w:val="00B75830"/>
    <w:rsid w:val="00B770C0"/>
    <w:rsid w:val="00B9301A"/>
    <w:rsid w:val="00B962AE"/>
    <w:rsid w:val="00BB7C3C"/>
    <w:rsid w:val="00BD38DB"/>
    <w:rsid w:val="00BD45B6"/>
    <w:rsid w:val="00BF12AB"/>
    <w:rsid w:val="00C016A0"/>
    <w:rsid w:val="00C11CF6"/>
    <w:rsid w:val="00C44D17"/>
    <w:rsid w:val="00C76312"/>
    <w:rsid w:val="00C847B5"/>
    <w:rsid w:val="00CC0883"/>
    <w:rsid w:val="00CC16DA"/>
    <w:rsid w:val="00CD0D92"/>
    <w:rsid w:val="00CD356D"/>
    <w:rsid w:val="00CE78C5"/>
    <w:rsid w:val="00D10E34"/>
    <w:rsid w:val="00D13FE5"/>
    <w:rsid w:val="00D4117C"/>
    <w:rsid w:val="00D4471C"/>
    <w:rsid w:val="00D5188B"/>
    <w:rsid w:val="00D60930"/>
    <w:rsid w:val="00D658EC"/>
    <w:rsid w:val="00D80AF5"/>
    <w:rsid w:val="00D942DA"/>
    <w:rsid w:val="00DA67DD"/>
    <w:rsid w:val="00DB206F"/>
    <w:rsid w:val="00DC2BDB"/>
    <w:rsid w:val="00E02ECD"/>
    <w:rsid w:val="00E32596"/>
    <w:rsid w:val="00E4185F"/>
    <w:rsid w:val="00E46E66"/>
    <w:rsid w:val="00E665A1"/>
    <w:rsid w:val="00E72799"/>
    <w:rsid w:val="00EA323E"/>
    <w:rsid w:val="00EA3F38"/>
    <w:rsid w:val="00EA562B"/>
    <w:rsid w:val="00F00598"/>
    <w:rsid w:val="00F00C83"/>
    <w:rsid w:val="00F314E7"/>
    <w:rsid w:val="00F528D0"/>
    <w:rsid w:val="00F70CA1"/>
    <w:rsid w:val="00F72CBD"/>
    <w:rsid w:val="00F86B28"/>
    <w:rsid w:val="00FD3D8C"/>
    <w:rsid w:val="02502346"/>
    <w:rsid w:val="049F2E76"/>
    <w:rsid w:val="04C01587"/>
    <w:rsid w:val="058A6F32"/>
    <w:rsid w:val="07EF31C8"/>
    <w:rsid w:val="081D2ED0"/>
    <w:rsid w:val="09287B02"/>
    <w:rsid w:val="0E3C686C"/>
    <w:rsid w:val="0F2273BA"/>
    <w:rsid w:val="14E43091"/>
    <w:rsid w:val="15AF0F18"/>
    <w:rsid w:val="16172857"/>
    <w:rsid w:val="16521D29"/>
    <w:rsid w:val="1A096775"/>
    <w:rsid w:val="204C741A"/>
    <w:rsid w:val="220423B7"/>
    <w:rsid w:val="23E27E47"/>
    <w:rsid w:val="262A3CA5"/>
    <w:rsid w:val="276D5112"/>
    <w:rsid w:val="279A5CC3"/>
    <w:rsid w:val="2A8D09BB"/>
    <w:rsid w:val="2AD20352"/>
    <w:rsid w:val="2BD643F7"/>
    <w:rsid w:val="2FA24770"/>
    <w:rsid w:val="32FE2331"/>
    <w:rsid w:val="3E1F09B7"/>
    <w:rsid w:val="3FC60044"/>
    <w:rsid w:val="40DB14BA"/>
    <w:rsid w:val="4349424C"/>
    <w:rsid w:val="48822518"/>
    <w:rsid w:val="490D4C95"/>
    <w:rsid w:val="49EF40F7"/>
    <w:rsid w:val="4BF26EE3"/>
    <w:rsid w:val="50AA3D98"/>
    <w:rsid w:val="530A4A17"/>
    <w:rsid w:val="59240A82"/>
    <w:rsid w:val="5BF230AF"/>
    <w:rsid w:val="5E3036ED"/>
    <w:rsid w:val="5F11185C"/>
    <w:rsid w:val="60E9228D"/>
    <w:rsid w:val="642E4B96"/>
    <w:rsid w:val="64A358AC"/>
    <w:rsid w:val="64A853AC"/>
    <w:rsid w:val="652E6C01"/>
    <w:rsid w:val="652F4E53"/>
    <w:rsid w:val="70275B9E"/>
    <w:rsid w:val="7071381A"/>
    <w:rsid w:val="714018CF"/>
    <w:rsid w:val="72803449"/>
    <w:rsid w:val="730878BB"/>
    <w:rsid w:val="73B10C04"/>
    <w:rsid w:val="73E936ED"/>
    <w:rsid w:val="79610126"/>
    <w:rsid w:val="7B4D0E84"/>
    <w:rsid w:val="7D2F43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288" w:lineRule="auto"/>
      <w:ind w:firstLine="400" w:firstLineChars="200"/>
      <w:jc w:val="both"/>
    </w:pPr>
    <w:rPr>
      <w:rFonts w:ascii="Times New Roman" w:hAnsi="Times New Roman" w:eastAsia="宋体" w:cs="Times New Roman"/>
      <w:color w:val="000000"/>
      <w:kern w:val="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3"/>
    <w:qFormat/>
    <w:uiPriority w:val="0"/>
    <w:pPr>
      <w:tabs>
        <w:tab w:val="center" w:pos="4153"/>
        <w:tab w:val="right" w:pos="8306"/>
      </w:tabs>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semiHidden/>
    <w:unhideWhenUsed/>
    <w:qFormat/>
    <w:uiPriority w:val="0"/>
    <w:rPr>
      <w:color w:val="0000FF"/>
      <w:u w:val="single"/>
    </w:rPr>
  </w:style>
  <w:style w:type="character" w:customStyle="1" w:styleId="11">
    <w:name w:val="short_text"/>
    <w:basedOn w:val="8"/>
    <w:qFormat/>
    <w:uiPriority w:val="0"/>
  </w:style>
  <w:style w:type="character" w:customStyle="1" w:styleId="12">
    <w:name w:val="页眉 字符"/>
    <w:link w:val="4"/>
    <w:qFormat/>
    <w:uiPriority w:val="0"/>
    <w:rPr>
      <w:kern w:val="2"/>
      <w:sz w:val="18"/>
      <w:szCs w:val="18"/>
    </w:rPr>
  </w:style>
  <w:style w:type="character" w:customStyle="1" w:styleId="13">
    <w:name w:val="页脚 字符"/>
    <w:link w:val="3"/>
    <w:qFormat/>
    <w:uiPriority w:val="99"/>
    <w:rPr>
      <w:kern w:val="2"/>
      <w:sz w:val="18"/>
      <w:szCs w:val="18"/>
    </w:rPr>
  </w:style>
  <w:style w:type="paragraph" w:customStyle="1" w:styleId="14">
    <w:name w:val="列出段落1"/>
    <w:basedOn w:val="1"/>
    <w:qFormat/>
    <w:uiPriority w:val="34"/>
    <w:pPr>
      <w:widowControl/>
      <w:ind w:firstLine="420"/>
      <w:jc w:val="left"/>
    </w:pPr>
    <w:rPr>
      <w:rFonts w:ascii="宋体" w:hAnsi="宋体" w:cs="宋体"/>
      <w:kern w:val="0"/>
      <w:sz w:val="24"/>
    </w:rPr>
  </w:style>
  <w:style w:type="paragraph" w:customStyle="1" w:styleId="15">
    <w:name w:val="列表段落1"/>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thtfpc</Company>
  <Pages>3</Pages>
  <Words>1610</Words>
  <Characters>1783</Characters>
  <Lines>13</Lines>
  <Paragraphs>3</Paragraphs>
  <TotalTime>0</TotalTime>
  <ScaleCrop>false</ScaleCrop>
  <LinksUpToDate>false</LinksUpToDate>
  <CharactersWithSpaces>1817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2017-03-02T11:45:00Z</dcterms:created>
  <dc:creator>thtfpc user</dc:creator>
  <cp:lastModifiedBy>GENCH</cp:lastModifiedBy>
  <cp:lastPrinted>2021-02-27T08:19:00Z</cp:lastPrinted>
  <dcterms:modified xsi:type="dcterms:W3CDTF">2023-09-18T01:19:02Z</dcterms:modified>
  <dc:title>上海建桥学院本科课程教学大纲模板</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DE4577E9FE5948CBB41A5B42E8E829B8</vt:lpwstr>
  </property>
</Properties>
</file>