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《学前比较教育》本科课程教学大纲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858"/>
        <w:gridCol w:w="567"/>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（中文）学前比较教育</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14:textFill>
                  <w14:solidFill>
                    <w14:schemeClr w14:val="tx1"/>
                  </w14:solidFill>
                </w14:textFill>
              </w:rPr>
              <w:t xml:space="preserve"> Comparative preschool education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left"/>
              <w:rPr>
                <w:rFonts w:hint="eastAsia"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2130029</w:t>
            </w:r>
          </w:p>
        </w:tc>
        <w:tc>
          <w:tcPr>
            <w:tcW w:w="2130"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6333A096">
            <w:pPr>
              <w:widowControl w:val="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272" w:type="dxa"/>
            <w:vAlign w:val="center"/>
          </w:tcPr>
          <w:p w14:paraId="6C85515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18DF9D4">
            <w:pPr>
              <w:widowControl w:val="0"/>
              <w:jc w:val="left"/>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w:t>
            </w:r>
          </w:p>
        </w:tc>
        <w:tc>
          <w:tcPr>
            <w:tcW w:w="1409" w:type="dxa"/>
            <w:gridSpan w:val="2"/>
            <w:vAlign w:val="center"/>
          </w:tcPr>
          <w:p w14:paraId="4EB60CA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left"/>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教育学院</w:t>
            </w:r>
          </w:p>
        </w:tc>
        <w:tc>
          <w:tcPr>
            <w:tcW w:w="2130"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3679FC0C">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 大三</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30"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2D5A7CE9">
            <w:pPr>
              <w:widowControl w:val="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选</w:t>
            </w:r>
            <w:r>
              <w:rPr>
                <w:rFonts w:ascii="Times New Roman" w:hAnsi="Times New Roman"/>
                <w:color w:val="000000" w:themeColor="text1"/>
                <w:sz w:val="21"/>
                <w:szCs w:val="21"/>
                <w14:textFill>
                  <w14:solidFill>
                    <w14:schemeClr w14:val="tx1"/>
                  </w14:solidFill>
                </w14:textFill>
              </w:rPr>
              <w:t>用教材</w:t>
            </w:r>
          </w:p>
        </w:tc>
        <w:tc>
          <w:tcPr>
            <w:tcW w:w="4390" w:type="dxa"/>
            <w:gridSpan w:val="3"/>
            <w:vAlign w:val="center"/>
          </w:tcPr>
          <w:p w14:paraId="2135CDBF">
            <w:pPr>
              <w:pStyle w:val="14"/>
              <w:widowControl w:val="0"/>
              <w:jc w:val="both"/>
              <w:rPr>
                <w:rFonts w:hint="eastAsia" w:ascii="Times New Roman" w:hAnsi="Times New Roman"/>
                <w:color w:val="000000" w:themeColor="text1"/>
                <w:sz w:val="21"/>
                <w:szCs w:val="21"/>
                <w:highlight w:val="yellow"/>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学前比较教育（第3版），曹能秀，</w:t>
            </w:r>
            <w:r>
              <w:rPr>
                <w:rFonts w:hint="eastAsia" w:asciiTheme="minorEastAsia" w:hAnsiTheme="minorEastAsia" w:eastAsiaTheme="minorEastAsia"/>
                <w:color w:val="000000" w:themeColor="text1"/>
                <w14:textFill>
                  <w14:solidFill>
                    <w14:schemeClr w14:val="tx1"/>
                  </w14:solidFill>
                </w14:textFill>
              </w:rPr>
              <w:t>ISBN</w:t>
            </w:r>
            <w:r>
              <w:rPr>
                <w:rFonts w:hint="eastAsia"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val="en-US" w:eastAsia="zh-CN"/>
                <w14:textFill>
                  <w14:solidFill>
                    <w14:schemeClr w14:val="tx1"/>
                  </w14:solidFill>
                </w14:textFill>
              </w:rPr>
              <w:t>9787576002539</w:t>
            </w:r>
            <w:r>
              <w:rPr>
                <w:rFonts w:hint="eastAsia" w:asciiTheme="minorEastAsia" w:hAnsiTheme="minorEastAsia" w:eastAsiaTheme="minorEastAsia"/>
                <w:color w:val="000000" w:themeColor="text1"/>
                <w:lang w:eastAsia="zh-CN"/>
                <w14:textFill>
                  <w14:solidFill>
                    <w14:schemeClr w14:val="tx1"/>
                  </w14:solidFill>
                </w14:textFill>
              </w:rPr>
              <w:t>华东师范大学出版社，202</w:t>
            </w:r>
            <w:r>
              <w:rPr>
                <w:rFonts w:hint="eastAsia" w:asciiTheme="minorEastAsia" w:hAnsiTheme="minorEastAsia" w:eastAsia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olor w:val="000000" w:themeColor="text1"/>
                <w:lang w:eastAsia="zh-CN"/>
                <w14:textFill>
                  <w14:solidFill>
                    <w14:schemeClr w14:val="tx1"/>
                  </w14:solidFill>
                </w14:textFill>
              </w:rPr>
              <w:t>年</w:t>
            </w:r>
          </w:p>
        </w:tc>
        <w:tc>
          <w:tcPr>
            <w:tcW w:w="1409"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9"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0A5D595">
            <w:pPr>
              <w:pStyle w:val="14"/>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学前教育学2130014（2）</w:t>
            </w:r>
          </w:p>
          <w:p w14:paraId="3490FBCC">
            <w:pPr>
              <w:pStyle w:val="14"/>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中外教育史2130011（2）</w:t>
            </w:r>
          </w:p>
          <w:p w14:paraId="6F229263">
            <w:pPr>
              <w:pStyle w:val="14"/>
              <w:widowControl w:val="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学前教育思想史2130012（2）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21"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FFDE48C">
            <w:pPr>
              <w:widowControl w:val="0"/>
              <w:snapToGrid w:val="0"/>
              <w:spacing w:line="288" w:lineRule="auto"/>
              <w:jc w:val="both"/>
              <w:rPr>
                <w:rFonts w:hint="eastAsia"/>
                <w:color w:val="000000"/>
                <w:sz w:val="21"/>
                <w:szCs w:val="21"/>
              </w:rPr>
            </w:pPr>
          </w:p>
          <w:p w14:paraId="379C6C4C">
            <w:pPr>
              <w:pStyle w:val="14"/>
              <w:widowControl w:val="0"/>
              <w:ind w:firstLine="420" w:firstLineChars="200"/>
              <w:jc w:val="both"/>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学前比较教育是通过对世界主要国家学前教育发展沿革、现状、存在的问题和发展趋势进行比较研究，来揭示学前教育发展的普遍规律和特殊规律，预测学前教育发展趋势的一门学科。“教育要面向世界、面向现代化，面向未来”，比较学前教育课程的开设，是我国学前教育与国际接轨的必然要求，</w:t>
            </w:r>
            <w:r>
              <w:rPr>
                <w:rFonts w:hint="eastAsia"/>
              </w:rPr>
              <w:t>旨在开阔学生的眼界，丰富学生的知识，使学生在广泛了解外国学前教育先进经验、失败教训的基础上，能去其糟粕，取其精华，洋为中用，以进一步深化我国学前教育的改革。</w:t>
            </w:r>
          </w:p>
          <w:p w14:paraId="2F9259C8">
            <w:pPr>
              <w:widowControl w:val="0"/>
              <w:snapToGrid w:val="0"/>
              <w:spacing w:line="288" w:lineRule="auto"/>
              <w:jc w:val="both"/>
              <w:rPr>
                <w:rFonts w:hint="eastAsia"/>
                <w:color w:val="000000"/>
                <w:sz w:val="21"/>
                <w:szCs w:val="21"/>
              </w:rPr>
            </w:pP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52"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snapToGrid w:val="0"/>
              <w:spacing w:line="288" w:lineRule="auto"/>
              <w:ind w:firstLine="420" w:firstLineChars="200"/>
              <w:jc w:val="both"/>
              <w:rPr>
                <w:rFonts w:hint="eastAsia"/>
                <w:color w:val="000000"/>
                <w:sz w:val="21"/>
                <w:szCs w:val="21"/>
              </w:rPr>
            </w:pPr>
            <w:r>
              <w:rPr>
                <w:rFonts w:hint="eastAsia"/>
                <w:color w:val="000000"/>
                <w:sz w:val="21"/>
                <w:szCs w:val="21"/>
              </w:rPr>
              <w:t>学前比较教育是学前教育专业本科大三年级教学计划中的一门选修课，学生应掌握教育学、教育史的相关基础知识，具有一定的文献阅读能力和自主学习能力。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5</w:t>
            </w:r>
            <w:bookmarkStart w:id="8" w:name="_GoBack"/>
            <w:bookmarkEnd w:id="8"/>
            <w:r>
              <w:rPr>
                <w:rFonts w:hint="eastAsia" w:asciiTheme="minorEastAsia" w:hAnsiTheme="minorEastAsia" w:eastAsiaTheme="minorEastAsia"/>
                <w:color w:val="000000" w:themeColor="text1"/>
                <w:sz w:val="21"/>
                <w:szCs w:val="21"/>
                <w14:textFill>
                  <w14:solidFill>
                    <w14:schemeClr w14:val="tx1"/>
                  </w14:solidFill>
                </w14:textFill>
              </w:rPr>
              <w:t>.9</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p>
        </w:tc>
      </w:tr>
    </w:tbl>
    <w:p w14:paraId="0E671D4E">
      <w:pPr>
        <w:spacing w:line="100" w:lineRule="exact"/>
        <w:rPr>
          <w:rFonts w:ascii="Arial" w:hAnsi="Arial" w:eastAsia="黑体"/>
        </w:rPr>
      </w:pPr>
    </w:p>
    <w:p w14:paraId="33F2E72F">
      <w:pPr>
        <w:pStyle w:val="16"/>
        <w:spacing w:before="326" w:beforeLines="100" w:line="360" w:lineRule="auto"/>
        <w:rPr>
          <w:rFonts w:hint="eastAsia"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F72240C">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hint="eastAsia" w:ascii="宋体" w:hAnsi="宋体"/>
                <w:bCs/>
              </w:rPr>
            </w:pPr>
            <w:r>
              <w:rPr>
                <w:rFonts w:hint="eastAsia" w:ascii="宋体" w:hAnsi="宋体"/>
                <w:bCs/>
              </w:rPr>
              <w:t>了解世界学前教育发展的基本情况，分析世界学前教育发展的基本经验和发展趋势。</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15" w:hRule="atLeast"/>
          <w:jc w:val="center"/>
        </w:trPr>
        <w:tc>
          <w:tcPr>
            <w:tcW w:w="1206" w:type="dxa"/>
            <w:vMerge w:val="restart"/>
            <w:vAlign w:val="center"/>
          </w:tcPr>
          <w:p w14:paraId="4FB4ADEE">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14:paraId="3CE4CDA0">
            <w:pPr>
              <w:pStyle w:val="14"/>
              <w:jc w:val="left"/>
              <w:rPr>
                <w:rFonts w:hint="eastAsia" w:ascii="宋体" w:hAnsi="宋体"/>
                <w:bCs/>
              </w:rPr>
            </w:pPr>
            <w:r>
              <w:rPr>
                <w:rFonts w:hint="eastAsia" w:ascii="宋体" w:hAnsi="宋体"/>
                <w:bCs/>
              </w:rPr>
              <w:t>能够运用世界学前教育发展的理论和实践知识，对我国学前教育发展提出改革与借鉴建议。</w:t>
            </w:r>
          </w:p>
        </w:tc>
      </w:tr>
      <w:tr w14:paraId="45611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14" w:hRule="atLeast"/>
          <w:jc w:val="center"/>
        </w:trPr>
        <w:tc>
          <w:tcPr>
            <w:tcW w:w="1206" w:type="dxa"/>
            <w:vMerge w:val="continue"/>
            <w:vAlign w:val="center"/>
          </w:tcPr>
          <w:p w14:paraId="26960067">
            <w:pPr>
              <w:snapToGrid w:val="0"/>
              <w:jc w:val="center"/>
              <w:rPr>
                <w:rFonts w:hint="eastAsia" w:ascii="黑体" w:hAnsi="黑体" w:eastAsia="黑体"/>
                <w:bCs/>
                <w:color w:val="000000"/>
                <w:sz w:val="21"/>
                <w:szCs w:val="18"/>
              </w:rPr>
            </w:pPr>
          </w:p>
        </w:tc>
        <w:tc>
          <w:tcPr>
            <w:tcW w:w="764" w:type="dxa"/>
            <w:shd w:val="clear" w:color="auto" w:fill="auto"/>
            <w:vAlign w:val="center"/>
          </w:tcPr>
          <w:p w14:paraId="639A319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2D6CE384">
            <w:pPr>
              <w:pStyle w:val="14"/>
              <w:jc w:val="left"/>
              <w:rPr>
                <w:rFonts w:hint="eastAsia" w:ascii="宋体" w:hAnsi="宋体"/>
                <w:bCs/>
              </w:rPr>
            </w:pPr>
            <w:r>
              <w:rPr>
                <w:rFonts w:hint="eastAsia" w:ascii="宋体" w:hAnsi="宋体"/>
                <w:bCs/>
              </w:rPr>
              <w:t>小组合作运用比较的方法对某国家学前教育的发展情况或某一学前教育专题就各个国家的发展状况进行研究及汇报。</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5AF9FEA1">
            <w:pPr>
              <w:pStyle w:val="14"/>
              <w:jc w:val="left"/>
              <w:rPr>
                <w:rFonts w:hint="eastAsia" w:ascii="宋体" w:hAnsi="宋体"/>
                <w:bCs/>
              </w:rPr>
            </w:pPr>
            <w:r>
              <w:rPr>
                <w:rFonts w:hint="eastAsia"/>
                <w:sz w:val="22"/>
                <w:szCs w:val="22"/>
              </w:rPr>
              <w:t>树立文化自信，形成开放视野，立足我国学前教育实际，借鉴国外先进理念和经验，辩证分析结合国情为我所用。</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C33C93B">
            <w:pPr>
              <w:pStyle w:val="14"/>
              <w:widowControl w:val="0"/>
              <w:jc w:val="left"/>
            </w:pPr>
            <w:r>
              <w:rPr>
                <w:rFonts w:hint="eastAsia"/>
              </w:rPr>
              <w:t>LO8 国际视野</w:t>
            </w:r>
          </w:p>
          <w:p w14:paraId="655BF530">
            <w:pPr>
              <w:pStyle w:val="14"/>
              <w:widowControl w:val="0"/>
              <w:jc w:val="left"/>
            </w:pPr>
            <w:r>
              <w:rPr>
                <w:rFonts w:hint="eastAsia"/>
              </w:rPr>
              <w:t>①具有全球意识和开放心态，具备外语表达沟通能力，达到本专业的要求，了解国外学前教育改革发展的趋势和前沿动态。</w:t>
            </w:r>
          </w:p>
        </w:tc>
      </w:tr>
      <w:tr w14:paraId="37695F8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5EEAC191">
            <w:pPr>
              <w:pStyle w:val="14"/>
              <w:widowControl w:val="0"/>
              <w:jc w:val="left"/>
            </w:pPr>
            <w:r>
              <w:rPr>
                <w:rFonts w:hint="eastAsia"/>
              </w:rPr>
              <w:t>LO8 国际视野</w:t>
            </w:r>
          </w:p>
          <w:p w14:paraId="5446B3B7">
            <w:pPr>
              <w:pStyle w:val="14"/>
              <w:widowControl w:val="0"/>
              <w:jc w:val="left"/>
            </w:pPr>
            <w:r>
              <w:rPr>
                <w:rFonts w:hint="eastAsia"/>
              </w:rPr>
              <w:t>②理解其他国家历史文化，有跨文化交流能力，积极参与国际教育交交流。</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36CBCA6">
            <w:pPr>
              <w:pStyle w:val="14"/>
              <w:widowControl w:val="0"/>
              <w:jc w:val="left"/>
            </w:pPr>
            <w:r>
              <w:rPr>
                <w:rFonts w:hint="eastAsia"/>
              </w:rPr>
              <w:t>LO8 国际视野</w:t>
            </w:r>
          </w:p>
          <w:p w14:paraId="3E6C85A2">
            <w:pPr>
              <w:pStyle w:val="14"/>
              <w:widowControl w:val="0"/>
              <w:jc w:val="left"/>
              <w:rPr>
                <w:rFonts w:hint="eastAsia" w:ascii="宋体" w:hAnsi="宋体"/>
                <w:bCs/>
              </w:rPr>
            </w:pPr>
            <w:r>
              <w:rPr>
                <w:rFonts w:hint="eastAsia"/>
              </w:rPr>
              <w:t>③尝试借鉴国际先进教育理念和经验进行教育教学。</w:t>
            </w:r>
          </w:p>
        </w:tc>
      </w:tr>
    </w:tbl>
    <w:p w14:paraId="03506D3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56"/>
        <w:gridCol w:w="715"/>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36" w:type="dxa"/>
            <w:tcBorders>
              <w:top w:val="single" w:color="auto" w:sz="12" w:space="0"/>
              <w:left w:val="single" w:color="auto" w:sz="12" w:space="0"/>
              <w:right w:val="single" w:color="auto" w:sz="4" w:space="0"/>
            </w:tcBorders>
            <w:shd w:val="clear" w:color="auto" w:fill="auto"/>
            <w:vAlign w:val="center"/>
          </w:tcPr>
          <w:p w14:paraId="484B0D79">
            <w:pPr>
              <w:pStyle w:val="13"/>
              <w:rPr>
                <w:szCs w:val="16"/>
              </w:rPr>
            </w:pPr>
            <w:r>
              <w:rPr>
                <w:rFonts w:hint="eastAsia" w:ascii="黑体" w:hAnsi="黑体"/>
                <w:szCs w:val="18"/>
              </w:rPr>
              <w:t>毕业要求</w:t>
            </w:r>
          </w:p>
        </w:tc>
        <w:tc>
          <w:tcPr>
            <w:tcW w:w="698" w:type="dxa"/>
            <w:tcBorders>
              <w:top w:val="single" w:color="auto" w:sz="12" w:space="0"/>
              <w:left w:val="single" w:color="auto" w:sz="4" w:space="0"/>
            </w:tcBorders>
            <w:vAlign w:val="center"/>
          </w:tcPr>
          <w:p w14:paraId="0250B94C">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DE14005">
            <w:pPr>
              <w:pStyle w:val="13"/>
              <w:rPr>
                <w:szCs w:val="16"/>
              </w:rPr>
            </w:pPr>
            <w:r>
              <w:rPr>
                <w:rFonts w:hint="eastAsia"/>
                <w:szCs w:val="16"/>
              </w:rPr>
              <w:t>支撑度</w:t>
            </w:r>
          </w:p>
        </w:tc>
        <w:tc>
          <w:tcPr>
            <w:tcW w:w="4651" w:type="dxa"/>
            <w:tcBorders>
              <w:top w:val="single" w:color="auto" w:sz="12" w:space="0"/>
            </w:tcBorders>
            <w:vAlign w:val="center"/>
          </w:tcPr>
          <w:p w14:paraId="2D9AEFC2">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2BECB08E">
            <w:pPr>
              <w:pStyle w:val="13"/>
              <w:rPr>
                <w:szCs w:val="16"/>
              </w:rPr>
            </w:pPr>
            <w:r>
              <w:rPr>
                <w:rFonts w:hint="eastAsia"/>
                <w:szCs w:val="16"/>
              </w:rPr>
              <w:t>对指标点的贡献度</w:t>
            </w:r>
          </w:p>
        </w:tc>
      </w:tr>
      <w:tr w14:paraId="0C15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36" w:type="dxa"/>
            <w:tcBorders>
              <w:top w:val="single" w:color="auto" w:sz="12" w:space="0"/>
              <w:left w:val="single" w:color="auto" w:sz="12" w:space="0"/>
              <w:right w:val="single" w:color="auto" w:sz="4" w:space="0"/>
            </w:tcBorders>
            <w:shd w:val="clear" w:color="auto" w:fill="auto"/>
            <w:vAlign w:val="center"/>
          </w:tcPr>
          <w:p w14:paraId="70A638B6">
            <w:pPr>
              <w:pStyle w:val="13"/>
              <w:rPr>
                <w:rFonts w:ascii="Times New Roman" w:hAnsi="Times New Roman" w:eastAsia="宋体"/>
                <w:bCs w:val="0"/>
                <w:szCs w:val="21"/>
              </w:rPr>
            </w:pPr>
            <w:r>
              <w:rPr>
                <w:rFonts w:hint="eastAsia" w:ascii="Times New Roman" w:hAnsi="Times New Roman" w:eastAsia="宋体"/>
                <w:bCs w:val="0"/>
                <w:szCs w:val="21"/>
              </w:rPr>
              <w:t>LO8</w:t>
            </w:r>
          </w:p>
        </w:tc>
        <w:tc>
          <w:tcPr>
            <w:tcW w:w="698" w:type="dxa"/>
            <w:tcBorders>
              <w:top w:val="single" w:color="auto" w:sz="12" w:space="0"/>
              <w:left w:val="single" w:color="auto" w:sz="4" w:space="0"/>
            </w:tcBorders>
            <w:vAlign w:val="center"/>
          </w:tcPr>
          <w:p w14:paraId="33DA842C">
            <w:pPr>
              <w:pStyle w:val="14"/>
              <w:rPr>
                <w:rFonts w:hint="eastAsia" w:ascii="宋体" w:hAnsi="宋体"/>
                <w:bCs/>
              </w:rPr>
            </w:pPr>
            <w:r>
              <w:rPr>
                <w:rFonts w:hint="eastAsia" w:ascii="宋体" w:hAnsi="宋体"/>
                <w:bCs/>
              </w:rPr>
              <w:t>①</w:t>
            </w:r>
          </w:p>
        </w:tc>
        <w:tc>
          <w:tcPr>
            <w:tcW w:w="775" w:type="dxa"/>
            <w:tcBorders>
              <w:top w:val="single" w:color="auto" w:sz="12" w:space="0"/>
              <w:right w:val="double" w:color="auto" w:sz="4" w:space="0"/>
            </w:tcBorders>
            <w:shd w:val="clear" w:color="auto" w:fill="auto"/>
            <w:vAlign w:val="center"/>
          </w:tcPr>
          <w:p w14:paraId="610D4EBE">
            <w:pPr>
              <w:pStyle w:val="13"/>
              <w:rPr>
                <w:szCs w:val="16"/>
              </w:rPr>
            </w:pPr>
            <w:r>
              <w:rPr>
                <w:rFonts w:hint="eastAsia" w:ascii="宋体" w:hAnsi="宋体"/>
              </w:rPr>
              <w:t>H</w:t>
            </w:r>
          </w:p>
        </w:tc>
        <w:tc>
          <w:tcPr>
            <w:tcW w:w="4651" w:type="dxa"/>
            <w:tcBorders>
              <w:top w:val="single" w:color="auto" w:sz="12" w:space="0"/>
            </w:tcBorders>
            <w:vAlign w:val="center"/>
          </w:tcPr>
          <w:p w14:paraId="5692C928">
            <w:pPr>
              <w:pStyle w:val="13"/>
              <w:jc w:val="left"/>
              <w:rPr>
                <w:szCs w:val="16"/>
              </w:rPr>
            </w:pPr>
            <w:r>
              <w:rPr>
                <w:rFonts w:hint="eastAsia" w:ascii="宋体" w:hAnsi="宋体" w:eastAsia="宋体"/>
                <w:szCs w:val="21"/>
              </w:rPr>
              <w:t>了解世界学前教育发展的基本情况，分析世界学前教育发展的基本经验和发展趋势。</w:t>
            </w:r>
          </w:p>
        </w:tc>
        <w:tc>
          <w:tcPr>
            <w:tcW w:w="1316" w:type="dxa"/>
            <w:tcBorders>
              <w:top w:val="single" w:color="auto" w:sz="12" w:space="0"/>
              <w:right w:val="single" w:color="auto" w:sz="12" w:space="0"/>
            </w:tcBorders>
            <w:vAlign w:val="center"/>
          </w:tcPr>
          <w:p w14:paraId="583BE037">
            <w:pPr>
              <w:pStyle w:val="13"/>
              <w:rPr>
                <w:szCs w:val="16"/>
              </w:rPr>
            </w:pPr>
            <w:r>
              <w:rPr>
                <w:rFonts w:hint="eastAsia" w:ascii="宋体" w:hAnsi="宋体"/>
                <w:bCs w:val="0"/>
              </w:rPr>
              <w:t>10</w:t>
            </w:r>
            <w:r>
              <w:rPr>
                <w:rFonts w:ascii="宋体" w:hAnsi="宋体"/>
              </w:rPr>
              <w:t>0%</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5" w:hRule="atLeast"/>
          <w:jc w:val="center"/>
        </w:trPr>
        <w:tc>
          <w:tcPr>
            <w:tcW w:w="836" w:type="dxa"/>
            <w:tcBorders>
              <w:left w:val="single" w:color="auto" w:sz="12" w:space="0"/>
              <w:right w:val="single" w:color="auto" w:sz="4" w:space="0"/>
            </w:tcBorders>
            <w:shd w:val="clear" w:color="auto" w:fill="auto"/>
            <w:vAlign w:val="center"/>
          </w:tcPr>
          <w:p w14:paraId="194D883D">
            <w:pPr>
              <w:pStyle w:val="14"/>
            </w:pPr>
            <w:r>
              <w:rPr>
                <w:rFonts w:hint="eastAsia"/>
              </w:rPr>
              <w:t>LO8</w:t>
            </w:r>
          </w:p>
        </w:tc>
        <w:tc>
          <w:tcPr>
            <w:tcW w:w="698" w:type="dxa"/>
            <w:tcBorders>
              <w:left w:val="single" w:color="auto" w:sz="4" w:space="0"/>
            </w:tcBorders>
            <w:vAlign w:val="center"/>
          </w:tcPr>
          <w:p w14:paraId="4E705B22">
            <w:pPr>
              <w:pStyle w:val="14"/>
              <w:rPr>
                <w:rFonts w:cs="Times New Roman"/>
                <w:bCs/>
              </w:rPr>
            </w:pPr>
            <w:r>
              <w:rPr>
                <w:rFonts w:hint="eastAsia" w:ascii="宋体" w:hAnsi="宋体"/>
                <w:bCs/>
              </w:rPr>
              <w:t>②</w:t>
            </w:r>
          </w:p>
        </w:tc>
        <w:tc>
          <w:tcPr>
            <w:tcW w:w="775" w:type="dxa"/>
            <w:tcBorders>
              <w:right w:val="double" w:color="auto" w:sz="4" w:space="0"/>
            </w:tcBorders>
            <w:shd w:val="clear" w:color="auto" w:fill="auto"/>
            <w:vAlign w:val="center"/>
          </w:tcPr>
          <w:p w14:paraId="4765126D">
            <w:pPr>
              <w:pStyle w:val="14"/>
              <w:rPr>
                <w:rFonts w:hint="eastAsia" w:ascii="宋体" w:hAnsi="宋体"/>
              </w:rPr>
            </w:pPr>
            <w:r>
              <w:rPr>
                <w:rFonts w:hint="eastAsia" w:ascii="宋体" w:hAnsi="宋体"/>
              </w:rPr>
              <w:t>H</w:t>
            </w:r>
          </w:p>
        </w:tc>
        <w:tc>
          <w:tcPr>
            <w:tcW w:w="4651" w:type="dxa"/>
            <w:vAlign w:val="center"/>
          </w:tcPr>
          <w:p w14:paraId="61D5CC33">
            <w:pPr>
              <w:pStyle w:val="14"/>
              <w:jc w:val="left"/>
              <w:rPr>
                <w:rFonts w:hint="eastAsia" w:ascii="宋体" w:hAnsi="宋体"/>
                <w:bCs/>
                <w:color w:val="auto"/>
              </w:rPr>
            </w:pPr>
            <w:r>
              <w:rPr>
                <w:rFonts w:hint="eastAsia" w:ascii="宋体" w:hAnsi="宋体"/>
                <w:bCs/>
              </w:rPr>
              <w:t>小组合作运用比较的方法对某国家学前教育的发展情况或某一学前教育专题就各个国家的发展状况进行研究及汇报。</w:t>
            </w:r>
          </w:p>
        </w:tc>
        <w:tc>
          <w:tcPr>
            <w:tcW w:w="1316" w:type="dxa"/>
            <w:tcBorders>
              <w:right w:val="single" w:color="auto" w:sz="12" w:space="0"/>
            </w:tcBorders>
            <w:vAlign w:val="center"/>
          </w:tcPr>
          <w:p w14:paraId="62079831">
            <w:pPr>
              <w:pStyle w:val="14"/>
              <w:rPr>
                <w:rFonts w:hint="eastAsia" w:ascii="宋体" w:hAnsi="宋体"/>
                <w:bCs/>
              </w:rPr>
            </w:pPr>
            <w:r>
              <w:rPr>
                <w:rFonts w:hint="eastAsia" w:ascii="宋体" w:hAnsi="宋体"/>
                <w:bCs/>
              </w:rPr>
              <w:t>10</w:t>
            </w:r>
            <w:r>
              <w:rPr>
                <w:rFonts w:ascii="宋体" w:hAnsi="宋体"/>
                <w:bCs/>
              </w:rPr>
              <w:t>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6" w:hRule="atLeast"/>
          <w:jc w:val="center"/>
        </w:trPr>
        <w:tc>
          <w:tcPr>
            <w:tcW w:w="836" w:type="dxa"/>
            <w:vMerge w:val="restart"/>
            <w:tcBorders>
              <w:left w:val="single" w:color="auto" w:sz="12" w:space="0"/>
              <w:right w:val="single" w:color="auto" w:sz="4" w:space="0"/>
            </w:tcBorders>
            <w:shd w:val="clear" w:color="auto" w:fill="auto"/>
            <w:vAlign w:val="center"/>
          </w:tcPr>
          <w:p w14:paraId="75C2C345">
            <w:pPr>
              <w:pStyle w:val="14"/>
            </w:pPr>
            <w:r>
              <w:rPr>
                <w:rFonts w:hint="eastAsia"/>
              </w:rPr>
              <w:t>LO8</w:t>
            </w:r>
          </w:p>
        </w:tc>
        <w:tc>
          <w:tcPr>
            <w:tcW w:w="698" w:type="dxa"/>
            <w:vMerge w:val="restart"/>
            <w:tcBorders>
              <w:left w:val="single" w:color="auto" w:sz="4" w:space="0"/>
            </w:tcBorders>
            <w:vAlign w:val="center"/>
          </w:tcPr>
          <w:p w14:paraId="4BCA33D0">
            <w:pPr>
              <w:pStyle w:val="14"/>
              <w:rPr>
                <w:rFonts w:cs="Times New Roman"/>
                <w:bCs/>
              </w:rPr>
            </w:pPr>
            <w:r>
              <w:rPr>
                <w:rFonts w:hint="eastAsia" w:ascii="宋体" w:hAnsi="宋体"/>
                <w:bCs/>
              </w:rPr>
              <w:t>③</w:t>
            </w:r>
          </w:p>
        </w:tc>
        <w:tc>
          <w:tcPr>
            <w:tcW w:w="775" w:type="dxa"/>
            <w:vMerge w:val="restart"/>
            <w:tcBorders>
              <w:right w:val="double" w:color="auto" w:sz="4" w:space="0"/>
            </w:tcBorders>
            <w:shd w:val="clear" w:color="auto" w:fill="auto"/>
            <w:vAlign w:val="center"/>
          </w:tcPr>
          <w:p w14:paraId="2732953F">
            <w:pPr>
              <w:pStyle w:val="14"/>
              <w:rPr>
                <w:rFonts w:hint="eastAsia" w:ascii="宋体" w:hAnsi="宋体"/>
              </w:rPr>
            </w:pPr>
            <w:r>
              <w:rPr>
                <w:rFonts w:hint="eastAsia" w:ascii="宋体" w:hAnsi="宋体"/>
              </w:rPr>
              <w:t>H</w:t>
            </w:r>
          </w:p>
        </w:tc>
        <w:tc>
          <w:tcPr>
            <w:tcW w:w="4651" w:type="dxa"/>
            <w:vAlign w:val="center"/>
          </w:tcPr>
          <w:p w14:paraId="067AA3D9">
            <w:pPr>
              <w:pStyle w:val="14"/>
              <w:jc w:val="left"/>
              <w:rPr>
                <w:rFonts w:hint="eastAsia" w:ascii="宋体" w:hAnsi="宋体"/>
                <w:bCs/>
                <w:color w:val="auto"/>
              </w:rPr>
            </w:pPr>
            <w:r>
              <w:rPr>
                <w:rFonts w:hint="eastAsia" w:ascii="宋体" w:hAnsi="宋体"/>
                <w:bCs/>
              </w:rPr>
              <w:t>能够运用世界学前教育发展的理论和实践知识，对我国学前教育发展提出改革与借鉴建议。</w:t>
            </w:r>
          </w:p>
        </w:tc>
        <w:tc>
          <w:tcPr>
            <w:tcW w:w="1316" w:type="dxa"/>
            <w:tcBorders>
              <w:right w:val="single" w:color="auto" w:sz="12" w:space="0"/>
            </w:tcBorders>
            <w:vAlign w:val="center"/>
          </w:tcPr>
          <w:p w14:paraId="29EC698A">
            <w:pPr>
              <w:pStyle w:val="14"/>
              <w:rPr>
                <w:rFonts w:hint="eastAsia" w:ascii="宋体" w:hAnsi="宋体"/>
                <w:bCs/>
              </w:rPr>
            </w:pPr>
            <w:r>
              <w:rPr>
                <w:rFonts w:hint="eastAsia" w:ascii="宋体" w:hAnsi="宋体"/>
                <w:bCs/>
              </w:rPr>
              <w:t>60</w:t>
            </w:r>
            <w:r>
              <w:rPr>
                <w:rFonts w:ascii="宋体" w:hAnsi="宋体"/>
                <w:bCs/>
              </w:rPr>
              <w:t>%</w:t>
            </w:r>
          </w:p>
        </w:tc>
      </w:tr>
      <w:tr w14:paraId="7D1E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5" w:hRule="atLeast"/>
          <w:jc w:val="center"/>
        </w:trPr>
        <w:tc>
          <w:tcPr>
            <w:tcW w:w="836" w:type="dxa"/>
            <w:vMerge w:val="continue"/>
            <w:tcBorders>
              <w:left w:val="single" w:color="auto" w:sz="12" w:space="0"/>
              <w:right w:val="single" w:color="auto" w:sz="4" w:space="0"/>
            </w:tcBorders>
            <w:shd w:val="clear" w:color="auto" w:fill="auto"/>
            <w:vAlign w:val="center"/>
          </w:tcPr>
          <w:p w14:paraId="7B35DD9F">
            <w:pPr>
              <w:pStyle w:val="14"/>
            </w:pPr>
          </w:p>
        </w:tc>
        <w:tc>
          <w:tcPr>
            <w:tcW w:w="698" w:type="dxa"/>
            <w:vMerge w:val="continue"/>
            <w:tcBorders>
              <w:left w:val="single" w:color="auto" w:sz="4" w:space="0"/>
            </w:tcBorders>
            <w:vAlign w:val="center"/>
          </w:tcPr>
          <w:p w14:paraId="5C8426C7">
            <w:pPr>
              <w:pStyle w:val="14"/>
              <w:rPr>
                <w:rFonts w:hint="eastAsia" w:ascii="宋体" w:hAnsi="宋体"/>
                <w:bCs/>
              </w:rPr>
            </w:pPr>
          </w:p>
        </w:tc>
        <w:tc>
          <w:tcPr>
            <w:tcW w:w="775" w:type="dxa"/>
            <w:vMerge w:val="continue"/>
            <w:tcBorders>
              <w:right w:val="double" w:color="auto" w:sz="4" w:space="0"/>
            </w:tcBorders>
            <w:shd w:val="clear" w:color="auto" w:fill="auto"/>
            <w:vAlign w:val="center"/>
          </w:tcPr>
          <w:p w14:paraId="54D0909C">
            <w:pPr>
              <w:pStyle w:val="14"/>
              <w:rPr>
                <w:rFonts w:hint="eastAsia" w:ascii="宋体" w:hAnsi="宋体"/>
              </w:rPr>
            </w:pPr>
          </w:p>
        </w:tc>
        <w:tc>
          <w:tcPr>
            <w:tcW w:w="4651" w:type="dxa"/>
            <w:vAlign w:val="center"/>
          </w:tcPr>
          <w:p w14:paraId="60489539">
            <w:pPr>
              <w:pStyle w:val="14"/>
              <w:jc w:val="left"/>
              <w:rPr>
                <w:rFonts w:hint="eastAsia" w:ascii="宋体" w:hAnsi="宋体"/>
                <w:bCs/>
              </w:rPr>
            </w:pPr>
            <w:r>
              <w:rPr>
                <w:rFonts w:hint="eastAsia" w:ascii="宋体" w:hAnsi="宋体"/>
                <w:bCs/>
              </w:rPr>
              <w:t>树立文化自信，形成开放视野，立足我国学前教育实际，借鉴国外先进理念和经验，辩证分析结合国情为我所用。</w:t>
            </w:r>
          </w:p>
        </w:tc>
        <w:tc>
          <w:tcPr>
            <w:tcW w:w="1316" w:type="dxa"/>
            <w:tcBorders>
              <w:right w:val="single" w:color="auto" w:sz="12" w:space="0"/>
            </w:tcBorders>
            <w:vAlign w:val="center"/>
          </w:tcPr>
          <w:p w14:paraId="5B91A2C4">
            <w:pPr>
              <w:pStyle w:val="14"/>
              <w:rPr>
                <w:rFonts w:hint="eastAsia" w:ascii="宋体" w:hAnsi="宋体"/>
                <w:bCs/>
              </w:rPr>
            </w:pPr>
            <w:r>
              <w:rPr>
                <w:rFonts w:hint="eastAsia" w:ascii="宋体" w:hAnsi="宋体"/>
                <w:bCs/>
              </w:rPr>
              <w:t>4</w:t>
            </w:r>
            <w:r>
              <w:rPr>
                <w:rFonts w:ascii="宋体" w:hAnsi="宋体"/>
                <w:bCs/>
              </w:rPr>
              <w:t>0%</w:t>
            </w:r>
          </w:p>
        </w:tc>
      </w:tr>
    </w:tbl>
    <w:p w14:paraId="26C7989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84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0"/>
      </w:tblGrid>
      <w:tr w14:paraId="3AD320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90" w:type="dxa"/>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2067"/>
              <w:gridCol w:w="2065"/>
              <w:gridCol w:w="2065"/>
            </w:tblGrid>
            <w:tr w14:paraId="590B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5BC7A027">
                  <w:pPr>
                    <w:autoSpaceDE w:val="0"/>
                    <w:autoSpaceDN w:val="0"/>
                    <w:adjustRightInd w:val="0"/>
                    <w:spacing w:line="360" w:lineRule="exact"/>
                    <w:ind w:firstLine="482" w:firstLineChars="200"/>
                    <w:rPr>
                      <w:rFonts w:ascii="黑体" w:hAnsi="Times New Roman" w:eastAsia="黑体"/>
                      <w:b/>
                      <w:bCs/>
                      <w:szCs w:val="21"/>
                      <w:lang w:val="zh-CN"/>
                    </w:rPr>
                  </w:pPr>
                  <w:bookmarkStart w:id="0" w:name="OLE_LINK5"/>
                  <w:bookmarkStart w:id="1" w:name="OLE_LINK6"/>
                  <w:r>
                    <w:rPr>
                      <w:rFonts w:hint="eastAsia" w:ascii="黑体" w:hAnsi="Times New Roman" w:eastAsia="黑体"/>
                      <w:b/>
                      <w:bCs/>
                      <w:szCs w:val="21"/>
                      <w:lang w:val="zh-CN"/>
                    </w:rPr>
                    <w:t>单元</w:t>
                  </w:r>
                </w:p>
              </w:tc>
              <w:tc>
                <w:tcPr>
                  <w:tcW w:w="2067" w:type="dxa"/>
                  <w:vAlign w:val="center"/>
                </w:tcPr>
                <w:p w14:paraId="1457DE13">
                  <w:pPr>
                    <w:autoSpaceDE w:val="0"/>
                    <w:autoSpaceDN w:val="0"/>
                    <w:adjustRightInd w:val="0"/>
                    <w:spacing w:line="360" w:lineRule="exact"/>
                    <w:ind w:firstLine="482" w:firstLineChars="200"/>
                    <w:rPr>
                      <w:rFonts w:ascii="黑体" w:hAnsi="Times New Roman" w:eastAsia="黑体"/>
                      <w:b/>
                      <w:bCs/>
                      <w:szCs w:val="21"/>
                      <w:lang w:val="zh-CN"/>
                    </w:rPr>
                  </w:pPr>
                  <w:r>
                    <w:rPr>
                      <w:rFonts w:hint="eastAsia" w:ascii="黑体" w:hAnsi="Times New Roman" w:eastAsia="黑体"/>
                      <w:b/>
                      <w:bCs/>
                      <w:szCs w:val="21"/>
                      <w:lang w:val="zh-CN"/>
                    </w:rPr>
                    <w:t>教学知识点</w:t>
                  </w:r>
                </w:p>
              </w:tc>
              <w:tc>
                <w:tcPr>
                  <w:tcW w:w="2065" w:type="dxa"/>
                  <w:vAlign w:val="center"/>
                </w:tcPr>
                <w:p w14:paraId="09EF4A95">
                  <w:pPr>
                    <w:autoSpaceDE w:val="0"/>
                    <w:autoSpaceDN w:val="0"/>
                    <w:adjustRightInd w:val="0"/>
                    <w:spacing w:line="360" w:lineRule="exact"/>
                    <w:ind w:firstLine="482" w:firstLineChars="200"/>
                    <w:rPr>
                      <w:rFonts w:ascii="黑体" w:hAnsi="Times New Roman" w:eastAsia="黑体"/>
                      <w:b/>
                      <w:bCs/>
                      <w:szCs w:val="21"/>
                      <w:lang w:val="zh-CN"/>
                    </w:rPr>
                  </w:pPr>
                  <w:r>
                    <w:rPr>
                      <w:rFonts w:hint="eastAsia" w:ascii="黑体" w:hAnsi="Times New Roman" w:eastAsia="黑体"/>
                      <w:b/>
                      <w:bCs/>
                      <w:szCs w:val="21"/>
                      <w:lang w:val="zh-CN"/>
                    </w:rPr>
                    <w:t>能力要求</w:t>
                  </w:r>
                </w:p>
              </w:tc>
              <w:tc>
                <w:tcPr>
                  <w:tcW w:w="2065" w:type="dxa"/>
                  <w:vAlign w:val="center"/>
                </w:tcPr>
                <w:p w14:paraId="3C0CFB23">
                  <w:pPr>
                    <w:autoSpaceDE w:val="0"/>
                    <w:autoSpaceDN w:val="0"/>
                    <w:adjustRightInd w:val="0"/>
                    <w:spacing w:line="360" w:lineRule="exact"/>
                    <w:ind w:firstLine="482" w:firstLineChars="200"/>
                    <w:rPr>
                      <w:rFonts w:ascii="黑体" w:hAnsi="Times New Roman" w:eastAsia="黑体"/>
                      <w:b/>
                      <w:bCs/>
                      <w:szCs w:val="21"/>
                      <w:lang w:val="zh-CN"/>
                    </w:rPr>
                  </w:pPr>
                  <w:r>
                    <w:rPr>
                      <w:rFonts w:hint="eastAsia" w:ascii="黑体" w:hAnsi="Times New Roman" w:eastAsia="黑体"/>
                      <w:b/>
                      <w:bCs/>
                      <w:szCs w:val="21"/>
                      <w:lang w:val="zh-CN"/>
                    </w:rPr>
                    <w:t>教学难点</w:t>
                  </w:r>
                </w:p>
              </w:tc>
            </w:tr>
            <w:tr w14:paraId="64AE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227130FE">
                  <w:pPr>
                    <w:snapToGrid w:val="0"/>
                    <w:spacing w:line="288" w:lineRule="auto"/>
                    <w:ind w:right="26" w:firstLine="420" w:firstLineChars="200"/>
                    <w:rPr>
                      <w:rFonts w:hint="eastAsia"/>
                      <w:sz w:val="21"/>
                      <w:szCs w:val="21"/>
                    </w:rPr>
                  </w:pPr>
                  <w:r>
                    <w:rPr>
                      <w:rFonts w:hint="eastAsia" w:cs="Tahoma"/>
                      <w:sz w:val="21"/>
                      <w:szCs w:val="21"/>
                      <w:shd w:val="clear" w:color="auto" w:fill="FFFFFF"/>
                    </w:rPr>
                    <w:t>绪论</w:t>
                  </w:r>
                </w:p>
                <w:p w14:paraId="6B713313">
                  <w:pPr>
                    <w:snapToGrid w:val="0"/>
                    <w:spacing w:line="288" w:lineRule="auto"/>
                    <w:ind w:right="26" w:firstLine="210" w:firstLineChars="100"/>
                    <w:rPr>
                      <w:rFonts w:hint="eastAsia"/>
                      <w:sz w:val="21"/>
                      <w:szCs w:val="21"/>
                    </w:rPr>
                  </w:pPr>
                </w:p>
              </w:tc>
              <w:tc>
                <w:tcPr>
                  <w:tcW w:w="2067" w:type="dxa"/>
                  <w:vAlign w:val="center"/>
                </w:tcPr>
                <w:p w14:paraId="70C13F95">
                  <w:pPr>
                    <w:snapToGrid w:val="0"/>
                    <w:spacing w:line="288" w:lineRule="auto"/>
                    <w:ind w:right="26"/>
                    <w:rPr>
                      <w:rFonts w:hint="eastAsia"/>
                      <w:sz w:val="21"/>
                      <w:szCs w:val="21"/>
                    </w:rPr>
                  </w:pPr>
                  <w:r>
                    <w:rPr>
                      <w:rFonts w:hint="eastAsia"/>
                      <w:sz w:val="21"/>
                      <w:szCs w:val="21"/>
                    </w:rPr>
                    <w:t>1.</w:t>
                  </w:r>
                  <w:r>
                    <w:rPr>
                      <w:rFonts w:hint="eastAsia" w:cs="Tahoma"/>
                      <w:sz w:val="21"/>
                      <w:szCs w:val="21"/>
                      <w:shd w:val="clear" w:color="auto" w:fill="FFFFFF"/>
                    </w:rPr>
                    <w:t>学前比较教育的概念和研究对象</w:t>
                  </w:r>
                  <w:r>
                    <w:rPr>
                      <w:rFonts w:hint="eastAsia"/>
                      <w:sz w:val="21"/>
                      <w:szCs w:val="21"/>
                    </w:rPr>
                    <w:t>。</w:t>
                  </w:r>
                </w:p>
                <w:p w14:paraId="40B135AF">
                  <w:pPr>
                    <w:snapToGrid w:val="0"/>
                    <w:spacing w:line="288" w:lineRule="auto"/>
                    <w:ind w:right="26"/>
                    <w:rPr>
                      <w:rFonts w:hint="eastAsia"/>
                      <w:sz w:val="21"/>
                      <w:szCs w:val="21"/>
                    </w:rPr>
                  </w:pPr>
                  <w:r>
                    <w:rPr>
                      <w:rFonts w:hint="eastAsia"/>
                      <w:sz w:val="21"/>
                      <w:szCs w:val="21"/>
                    </w:rPr>
                    <w:t>2．</w:t>
                  </w:r>
                  <w:r>
                    <w:rPr>
                      <w:rFonts w:hint="eastAsia" w:cs="Tahoma"/>
                      <w:sz w:val="21"/>
                      <w:szCs w:val="21"/>
                      <w:shd w:val="clear" w:color="auto" w:fill="FFFFFF"/>
                    </w:rPr>
                    <w:t>学前比较教育的目的</w:t>
                  </w:r>
                  <w:r>
                    <w:rPr>
                      <w:rFonts w:cs="Tahoma"/>
                      <w:sz w:val="21"/>
                      <w:szCs w:val="21"/>
                      <w:shd w:val="clear" w:color="auto" w:fill="FFFFFF"/>
                    </w:rPr>
                    <w:t>和</w:t>
                  </w:r>
                  <w:r>
                    <w:rPr>
                      <w:rFonts w:hint="eastAsia" w:cs="Tahoma"/>
                      <w:sz w:val="21"/>
                      <w:szCs w:val="21"/>
                      <w:shd w:val="clear" w:color="auto" w:fill="FFFFFF"/>
                    </w:rPr>
                    <w:t>意义</w:t>
                  </w:r>
                  <w:r>
                    <w:rPr>
                      <w:rFonts w:hint="eastAsia"/>
                      <w:sz w:val="21"/>
                      <w:szCs w:val="21"/>
                    </w:rPr>
                    <w:t>。</w:t>
                  </w:r>
                </w:p>
                <w:p w14:paraId="69654C78">
                  <w:pPr>
                    <w:snapToGrid w:val="0"/>
                    <w:spacing w:line="288" w:lineRule="auto"/>
                    <w:ind w:right="26"/>
                    <w:rPr>
                      <w:rFonts w:hint="eastAsia"/>
                      <w:sz w:val="21"/>
                      <w:szCs w:val="21"/>
                    </w:rPr>
                  </w:pPr>
                  <w:r>
                    <w:rPr>
                      <w:sz w:val="21"/>
                      <w:szCs w:val="21"/>
                    </w:rPr>
                    <w:t>3.</w:t>
                  </w:r>
                  <w:r>
                    <w:rPr>
                      <w:rFonts w:hint="eastAsia" w:cs="Tahoma"/>
                      <w:sz w:val="21"/>
                      <w:szCs w:val="21"/>
                      <w:shd w:val="clear" w:color="auto" w:fill="FFFFFF"/>
                    </w:rPr>
                    <w:t>学前比较教育的研究类型与方法。</w:t>
                  </w:r>
                </w:p>
              </w:tc>
              <w:tc>
                <w:tcPr>
                  <w:tcW w:w="2065" w:type="dxa"/>
                  <w:vAlign w:val="center"/>
                </w:tcPr>
                <w:p w14:paraId="6E3385E3">
                  <w:pPr>
                    <w:snapToGrid w:val="0"/>
                    <w:spacing w:line="288" w:lineRule="auto"/>
                    <w:ind w:right="26"/>
                    <w:rPr>
                      <w:rFonts w:hint="eastAsia" w:cs="Tahoma"/>
                      <w:sz w:val="21"/>
                      <w:szCs w:val="21"/>
                      <w:shd w:val="clear" w:color="auto" w:fill="FFFFFF"/>
                    </w:rPr>
                  </w:pPr>
                  <w:r>
                    <w:rPr>
                      <w:rFonts w:hint="eastAsia"/>
                      <w:sz w:val="21"/>
                      <w:szCs w:val="21"/>
                    </w:rPr>
                    <w:t>1.识记</w:t>
                  </w:r>
                  <w:r>
                    <w:rPr>
                      <w:rFonts w:hint="eastAsia" w:cs="Tahoma"/>
                      <w:sz w:val="21"/>
                      <w:szCs w:val="21"/>
                      <w:shd w:val="clear" w:color="auto" w:fill="FFFFFF"/>
                    </w:rPr>
                    <w:t>学前比较教育概念与意义。</w:t>
                  </w:r>
                </w:p>
                <w:p w14:paraId="49A43DB1">
                  <w:pPr>
                    <w:snapToGrid w:val="0"/>
                    <w:spacing w:line="288" w:lineRule="auto"/>
                    <w:ind w:right="26"/>
                    <w:rPr>
                      <w:rFonts w:hint="eastAsia"/>
                      <w:sz w:val="21"/>
                      <w:szCs w:val="21"/>
                    </w:rPr>
                  </w:pPr>
                  <w:r>
                    <w:rPr>
                      <w:rFonts w:hint="eastAsia"/>
                      <w:sz w:val="21"/>
                      <w:szCs w:val="21"/>
                    </w:rPr>
                    <w:t>2.掌握</w:t>
                  </w:r>
                  <w:r>
                    <w:rPr>
                      <w:rFonts w:hint="eastAsia" w:cs="Tahoma"/>
                      <w:sz w:val="21"/>
                      <w:szCs w:val="21"/>
                      <w:shd w:val="clear" w:color="auto" w:fill="FFFFFF"/>
                    </w:rPr>
                    <w:t>学前比较教育的研究类型与方法。</w:t>
                  </w:r>
                </w:p>
              </w:tc>
              <w:tc>
                <w:tcPr>
                  <w:tcW w:w="2065" w:type="dxa"/>
                  <w:vAlign w:val="center"/>
                </w:tcPr>
                <w:p w14:paraId="3CDF7C41">
                  <w:pPr>
                    <w:snapToGrid w:val="0"/>
                    <w:spacing w:line="288" w:lineRule="auto"/>
                    <w:ind w:right="26"/>
                    <w:rPr>
                      <w:rFonts w:hint="eastAsia"/>
                      <w:sz w:val="21"/>
                      <w:szCs w:val="21"/>
                    </w:rPr>
                  </w:pPr>
                  <w:r>
                    <w:rPr>
                      <w:rFonts w:hint="eastAsia" w:cs="Tahoma"/>
                      <w:sz w:val="21"/>
                      <w:szCs w:val="21"/>
                      <w:shd w:val="clear" w:color="auto" w:fill="FFFFFF"/>
                    </w:rPr>
                    <w:t>学前比较教育的概念、研究类型与方法。</w:t>
                  </w:r>
                </w:p>
              </w:tc>
            </w:tr>
            <w:tr w14:paraId="3895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62E185C3">
                  <w:pPr>
                    <w:snapToGrid w:val="0"/>
                    <w:spacing w:line="288" w:lineRule="auto"/>
                    <w:ind w:right="26"/>
                    <w:rPr>
                      <w:rFonts w:hint="eastAsia"/>
                      <w:sz w:val="21"/>
                      <w:szCs w:val="21"/>
                    </w:rPr>
                  </w:pPr>
                  <w:r>
                    <w:rPr>
                      <w:rFonts w:hint="eastAsia"/>
                      <w:sz w:val="21"/>
                      <w:szCs w:val="21"/>
                    </w:rPr>
                    <w:t>第一单元</w:t>
                  </w:r>
                </w:p>
                <w:p w14:paraId="1823A8F3">
                  <w:pPr>
                    <w:snapToGrid w:val="0"/>
                    <w:spacing w:line="288" w:lineRule="auto"/>
                    <w:ind w:right="26"/>
                    <w:rPr>
                      <w:rFonts w:hint="eastAsia"/>
                      <w:sz w:val="21"/>
                      <w:szCs w:val="21"/>
                    </w:rPr>
                  </w:pPr>
                  <w:r>
                    <w:rPr>
                      <w:rFonts w:hint="eastAsia" w:cs="Tahoma"/>
                      <w:sz w:val="21"/>
                      <w:szCs w:val="21"/>
                      <w:shd w:val="clear" w:color="auto" w:fill="FFFFFF"/>
                    </w:rPr>
                    <w:t>日本的学前教育</w:t>
                  </w:r>
                </w:p>
                <w:p w14:paraId="2B15266E">
                  <w:pPr>
                    <w:snapToGrid w:val="0"/>
                    <w:spacing w:line="288" w:lineRule="auto"/>
                    <w:ind w:right="26"/>
                    <w:rPr>
                      <w:rFonts w:hint="eastAsia"/>
                      <w:sz w:val="21"/>
                      <w:szCs w:val="21"/>
                    </w:rPr>
                  </w:pPr>
                </w:p>
              </w:tc>
              <w:tc>
                <w:tcPr>
                  <w:tcW w:w="2067" w:type="dxa"/>
                  <w:vAlign w:val="center"/>
                </w:tcPr>
                <w:p w14:paraId="65700D9F">
                  <w:pPr>
                    <w:snapToGrid w:val="0"/>
                    <w:spacing w:line="288" w:lineRule="auto"/>
                    <w:ind w:right="26"/>
                    <w:rPr>
                      <w:rFonts w:hint="eastAsia"/>
                      <w:sz w:val="21"/>
                      <w:szCs w:val="21"/>
                    </w:rPr>
                  </w:pPr>
                  <w:r>
                    <w:rPr>
                      <w:rFonts w:hint="eastAsia"/>
                      <w:sz w:val="21"/>
                      <w:szCs w:val="21"/>
                    </w:rPr>
                    <w:t>1.日本学前教育沿革。</w:t>
                  </w:r>
                </w:p>
                <w:p w14:paraId="16C7676E">
                  <w:pPr>
                    <w:snapToGrid w:val="0"/>
                    <w:spacing w:line="288" w:lineRule="auto"/>
                    <w:ind w:right="26"/>
                    <w:rPr>
                      <w:rFonts w:hint="eastAsia"/>
                      <w:sz w:val="21"/>
                      <w:szCs w:val="21"/>
                    </w:rPr>
                  </w:pPr>
                  <w:r>
                    <w:rPr>
                      <w:rFonts w:hint="eastAsia"/>
                      <w:sz w:val="21"/>
                      <w:szCs w:val="21"/>
                    </w:rPr>
                    <w:t>2.日本学前教育现状。</w:t>
                  </w:r>
                </w:p>
                <w:p w14:paraId="7AD79231">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日本学前教育存在的问题与发展趋势。</w:t>
                  </w:r>
                </w:p>
              </w:tc>
              <w:tc>
                <w:tcPr>
                  <w:tcW w:w="2065" w:type="dxa"/>
                  <w:vAlign w:val="center"/>
                </w:tcPr>
                <w:p w14:paraId="3B105A96">
                  <w:pPr>
                    <w:snapToGrid w:val="0"/>
                    <w:spacing w:line="288" w:lineRule="auto"/>
                    <w:ind w:right="26"/>
                    <w:rPr>
                      <w:rFonts w:hint="eastAsia"/>
                      <w:sz w:val="21"/>
                      <w:szCs w:val="21"/>
                    </w:rPr>
                  </w:pPr>
                  <w:r>
                    <w:rPr>
                      <w:rFonts w:hint="eastAsia"/>
                      <w:sz w:val="21"/>
                      <w:szCs w:val="21"/>
                    </w:rPr>
                    <w:t>1.了解日本学前教育的发展沿革。</w:t>
                  </w:r>
                </w:p>
                <w:p w14:paraId="7D6FFED6">
                  <w:pPr>
                    <w:snapToGrid w:val="0"/>
                    <w:spacing w:line="288" w:lineRule="auto"/>
                    <w:ind w:right="26"/>
                    <w:rPr>
                      <w:rFonts w:hint="eastAsia"/>
                      <w:sz w:val="21"/>
                      <w:szCs w:val="21"/>
                    </w:rPr>
                  </w:pPr>
                  <w:r>
                    <w:rPr>
                      <w:rFonts w:hint="eastAsia"/>
                      <w:sz w:val="21"/>
                      <w:szCs w:val="21"/>
                    </w:rPr>
                    <w:t>2.掌握日本学前教育发展现状。</w:t>
                  </w:r>
                </w:p>
                <w:p w14:paraId="4C90497C">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知道日本学前教育存在的问题与发展趋势。</w:t>
                  </w:r>
                </w:p>
              </w:tc>
              <w:tc>
                <w:tcPr>
                  <w:tcW w:w="2065" w:type="dxa"/>
                  <w:vAlign w:val="center"/>
                </w:tcPr>
                <w:p w14:paraId="565FE9B2">
                  <w:pPr>
                    <w:snapToGrid w:val="0"/>
                    <w:spacing w:line="288" w:lineRule="auto"/>
                    <w:ind w:right="26"/>
                    <w:rPr>
                      <w:rFonts w:hint="eastAsia"/>
                      <w:sz w:val="21"/>
                      <w:szCs w:val="21"/>
                    </w:rPr>
                  </w:pPr>
                  <w:r>
                    <w:rPr>
                      <w:rFonts w:hint="eastAsia"/>
                      <w:sz w:val="21"/>
                      <w:szCs w:val="21"/>
                    </w:rPr>
                    <w:t>掌握日本学前教育发展现状。</w:t>
                  </w:r>
                </w:p>
              </w:tc>
            </w:tr>
            <w:tr w14:paraId="4A68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74B40C93">
                  <w:pPr>
                    <w:snapToGrid w:val="0"/>
                    <w:spacing w:line="288" w:lineRule="auto"/>
                    <w:ind w:right="26"/>
                    <w:rPr>
                      <w:rFonts w:hint="eastAsia"/>
                      <w:sz w:val="21"/>
                      <w:szCs w:val="21"/>
                    </w:rPr>
                  </w:pPr>
                  <w:r>
                    <w:rPr>
                      <w:rFonts w:hint="eastAsia"/>
                      <w:sz w:val="21"/>
                      <w:szCs w:val="21"/>
                    </w:rPr>
                    <w:t>第二单元</w:t>
                  </w:r>
                </w:p>
                <w:p w14:paraId="7D44D5DC">
                  <w:pPr>
                    <w:snapToGrid w:val="0"/>
                    <w:spacing w:line="288" w:lineRule="auto"/>
                    <w:ind w:right="26"/>
                    <w:rPr>
                      <w:rFonts w:hint="eastAsia"/>
                      <w:sz w:val="21"/>
                      <w:szCs w:val="21"/>
                    </w:rPr>
                  </w:pPr>
                  <w:r>
                    <w:rPr>
                      <w:rFonts w:hint="eastAsia" w:cs="Tahoma"/>
                      <w:sz w:val="21"/>
                      <w:szCs w:val="21"/>
                      <w:shd w:val="clear" w:color="auto" w:fill="FFFFFF"/>
                    </w:rPr>
                    <w:t>英国的学前教育</w:t>
                  </w:r>
                </w:p>
                <w:p w14:paraId="6424BB75">
                  <w:pPr>
                    <w:snapToGrid w:val="0"/>
                    <w:spacing w:line="288" w:lineRule="auto"/>
                    <w:ind w:right="26"/>
                    <w:rPr>
                      <w:rFonts w:hint="eastAsia"/>
                      <w:sz w:val="21"/>
                      <w:szCs w:val="21"/>
                    </w:rPr>
                  </w:pPr>
                </w:p>
              </w:tc>
              <w:tc>
                <w:tcPr>
                  <w:tcW w:w="2067" w:type="dxa"/>
                  <w:vAlign w:val="center"/>
                </w:tcPr>
                <w:p w14:paraId="21E0E1F4">
                  <w:pPr>
                    <w:snapToGrid w:val="0"/>
                    <w:spacing w:line="288" w:lineRule="auto"/>
                    <w:ind w:right="26"/>
                    <w:rPr>
                      <w:rFonts w:hint="eastAsia"/>
                      <w:sz w:val="21"/>
                      <w:szCs w:val="21"/>
                    </w:rPr>
                  </w:pPr>
                  <w:r>
                    <w:rPr>
                      <w:rFonts w:hint="eastAsia"/>
                      <w:sz w:val="21"/>
                      <w:szCs w:val="21"/>
                    </w:rPr>
                    <w:t>1.</w:t>
                  </w:r>
                  <w:r>
                    <w:rPr>
                      <w:rFonts w:hint="eastAsia" w:cs="Tahoma"/>
                      <w:sz w:val="21"/>
                      <w:szCs w:val="21"/>
                      <w:shd w:val="clear" w:color="auto" w:fill="FFFFFF"/>
                    </w:rPr>
                    <w:t>英国</w:t>
                  </w:r>
                  <w:r>
                    <w:rPr>
                      <w:rFonts w:hint="eastAsia"/>
                      <w:sz w:val="21"/>
                      <w:szCs w:val="21"/>
                    </w:rPr>
                    <w:t>学前教育沿革。</w:t>
                  </w:r>
                </w:p>
                <w:p w14:paraId="4B4903D0">
                  <w:pPr>
                    <w:snapToGrid w:val="0"/>
                    <w:spacing w:line="288" w:lineRule="auto"/>
                    <w:ind w:right="26"/>
                    <w:rPr>
                      <w:rFonts w:hint="eastAsia"/>
                      <w:sz w:val="21"/>
                      <w:szCs w:val="21"/>
                    </w:rPr>
                  </w:pPr>
                  <w:r>
                    <w:rPr>
                      <w:rFonts w:hint="eastAsia"/>
                      <w:sz w:val="21"/>
                      <w:szCs w:val="21"/>
                    </w:rPr>
                    <w:t>2.</w:t>
                  </w:r>
                  <w:r>
                    <w:rPr>
                      <w:rFonts w:hint="eastAsia" w:cs="Tahoma"/>
                      <w:sz w:val="21"/>
                      <w:szCs w:val="21"/>
                      <w:shd w:val="clear" w:color="auto" w:fill="FFFFFF"/>
                    </w:rPr>
                    <w:t>英国</w:t>
                  </w:r>
                  <w:r>
                    <w:rPr>
                      <w:rFonts w:hint="eastAsia"/>
                      <w:sz w:val="21"/>
                      <w:szCs w:val="21"/>
                    </w:rPr>
                    <w:t>学前教育现状。</w:t>
                  </w:r>
                </w:p>
                <w:p w14:paraId="4743348F">
                  <w:pPr>
                    <w:snapToGrid w:val="0"/>
                    <w:spacing w:line="288" w:lineRule="auto"/>
                    <w:ind w:right="26"/>
                    <w:rPr>
                      <w:rFonts w:hint="eastAsia"/>
                      <w:sz w:val="21"/>
                      <w:szCs w:val="21"/>
                    </w:rPr>
                  </w:pPr>
                  <w:r>
                    <w:rPr>
                      <w:rFonts w:hint="eastAsia"/>
                      <w:sz w:val="21"/>
                      <w:szCs w:val="21"/>
                    </w:rPr>
                    <w:t>3</w:t>
                  </w:r>
                  <w:r>
                    <w:rPr>
                      <w:sz w:val="21"/>
                      <w:szCs w:val="21"/>
                    </w:rPr>
                    <w:t>.</w:t>
                  </w:r>
                  <w:r>
                    <w:rPr>
                      <w:rFonts w:hint="eastAsia" w:cs="Tahoma"/>
                      <w:sz w:val="21"/>
                      <w:szCs w:val="21"/>
                      <w:shd w:val="clear" w:color="auto" w:fill="FFFFFF"/>
                    </w:rPr>
                    <w:t>英国</w:t>
                  </w:r>
                  <w:r>
                    <w:rPr>
                      <w:rFonts w:hint="eastAsia"/>
                      <w:sz w:val="21"/>
                      <w:szCs w:val="21"/>
                    </w:rPr>
                    <w:t>学前教育存在的问题与发展趋势。</w:t>
                  </w:r>
                </w:p>
              </w:tc>
              <w:tc>
                <w:tcPr>
                  <w:tcW w:w="2065" w:type="dxa"/>
                  <w:vAlign w:val="center"/>
                </w:tcPr>
                <w:p w14:paraId="64C53830">
                  <w:pPr>
                    <w:snapToGrid w:val="0"/>
                    <w:spacing w:line="288" w:lineRule="auto"/>
                    <w:ind w:right="26"/>
                    <w:rPr>
                      <w:rFonts w:hint="eastAsia"/>
                      <w:sz w:val="21"/>
                      <w:szCs w:val="21"/>
                    </w:rPr>
                  </w:pPr>
                  <w:r>
                    <w:rPr>
                      <w:rFonts w:hint="eastAsia"/>
                      <w:sz w:val="21"/>
                      <w:szCs w:val="21"/>
                    </w:rPr>
                    <w:t>1.了解</w:t>
                  </w:r>
                  <w:r>
                    <w:rPr>
                      <w:rFonts w:hint="eastAsia" w:cs="Tahoma"/>
                      <w:sz w:val="21"/>
                      <w:szCs w:val="21"/>
                      <w:shd w:val="clear" w:color="auto" w:fill="FFFFFF"/>
                    </w:rPr>
                    <w:t>英国</w:t>
                  </w:r>
                  <w:r>
                    <w:rPr>
                      <w:rFonts w:hint="eastAsia"/>
                      <w:sz w:val="21"/>
                      <w:szCs w:val="21"/>
                    </w:rPr>
                    <w:t>学前教育的发展沿革。</w:t>
                  </w:r>
                </w:p>
                <w:p w14:paraId="7D096BF7">
                  <w:pPr>
                    <w:snapToGrid w:val="0"/>
                    <w:spacing w:line="288" w:lineRule="auto"/>
                    <w:ind w:right="26"/>
                    <w:rPr>
                      <w:rFonts w:hint="eastAsia"/>
                      <w:sz w:val="21"/>
                      <w:szCs w:val="21"/>
                    </w:rPr>
                  </w:pPr>
                  <w:r>
                    <w:rPr>
                      <w:rFonts w:hint="eastAsia"/>
                      <w:sz w:val="21"/>
                      <w:szCs w:val="21"/>
                    </w:rPr>
                    <w:t>2.掌握</w:t>
                  </w:r>
                  <w:r>
                    <w:rPr>
                      <w:rFonts w:hint="eastAsia" w:cs="Tahoma"/>
                      <w:sz w:val="21"/>
                      <w:szCs w:val="21"/>
                      <w:shd w:val="clear" w:color="auto" w:fill="FFFFFF"/>
                    </w:rPr>
                    <w:t>英国</w:t>
                  </w:r>
                  <w:r>
                    <w:rPr>
                      <w:rFonts w:hint="eastAsia"/>
                      <w:sz w:val="21"/>
                      <w:szCs w:val="21"/>
                    </w:rPr>
                    <w:t>学前教育发展现状。</w:t>
                  </w:r>
                </w:p>
                <w:p w14:paraId="3D9C3257">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知道</w:t>
                  </w:r>
                  <w:r>
                    <w:rPr>
                      <w:rFonts w:hint="eastAsia" w:cs="Tahoma"/>
                      <w:sz w:val="21"/>
                      <w:szCs w:val="21"/>
                      <w:shd w:val="clear" w:color="auto" w:fill="FFFFFF"/>
                    </w:rPr>
                    <w:t>英国</w:t>
                  </w:r>
                  <w:r>
                    <w:rPr>
                      <w:rFonts w:hint="eastAsia"/>
                      <w:sz w:val="21"/>
                      <w:szCs w:val="21"/>
                    </w:rPr>
                    <w:t>学前教育存在的问题与发展趋势。</w:t>
                  </w:r>
                </w:p>
              </w:tc>
              <w:tc>
                <w:tcPr>
                  <w:tcW w:w="2065" w:type="dxa"/>
                  <w:vAlign w:val="center"/>
                </w:tcPr>
                <w:p w14:paraId="2C4411B8">
                  <w:pPr>
                    <w:snapToGrid w:val="0"/>
                    <w:spacing w:line="288" w:lineRule="auto"/>
                    <w:ind w:right="26"/>
                    <w:rPr>
                      <w:rFonts w:hint="eastAsia"/>
                      <w:sz w:val="21"/>
                      <w:szCs w:val="21"/>
                    </w:rPr>
                  </w:pPr>
                  <w:r>
                    <w:rPr>
                      <w:rFonts w:hint="eastAsia"/>
                      <w:sz w:val="21"/>
                      <w:szCs w:val="21"/>
                    </w:rPr>
                    <w:t>掌握</w:t>
                  </w:r>
                  <w:r>
                    <w:rPr>
                      <w:rFonts w:hint="eastAsia" w:cs="Tahoma"/>
                      <w:sz w:val="21"/>
                      <w:szCs w:val="21"/>
                      <w:shd w:val="clear" w:color="auto" w:fill="FFFFFF"/>
                    </w:rPr>
                    <w:t>英国</w:t>
                  </w:r>
                  <w:r>
                    <w:rPr>
                      <w:rFonts w:hint="eastAsia"/>
                      <w:sz w:val="21"/>
                      <w:szCs w:val="21"/>
                    </w:rPr>
                    <w:t>学前教育发展现状。知道英国学前教育存在的问题与发展趋势</w:t>
                  </w:r>
                </w:p>
              </w:tc>
            </w:tr>
            <w:tr w14:paraId="2412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26D784D8">
                  <w:pPr>
                    <w:snapToGrid w:val="0"/>
                    <w:spacing w:line="288" w:lineRule="auto"/>
                    <w:ind w:right="26"/>
                    <w:rPr>
                      <w:rFonts w:hint="eastAsia"/>
                      <w:sz w:val="21"/>
                      <w:szCs w:val="21"/>
                    </w:rPr>
                  </w:pPr>
                  <w:r>
                    <w:rPr>
                      <w:rFonts w:hint="eastAsia"/>
                      <w:sz w:val="21"/>
                      <w:szCs w:val="21"/>
                    </w:rPr>
                    <w:t>第三单元</w:t>
                  </w:r>
                </w:p>
                <w:p w14:paraId="7F833195">
                  <w:pPr>
                    <w:snapToGrid w:val="0"/>
                    <w:spacing w:line="288" w:lineRule="auto"/>
                    <w:ind w:right="26"/>
                    <w:rPr>
                      <w:rFonts w:hint="eastAsia"/>
                      <w:sz w:val="21"/>
                      <w:szCs w:val="21"/>
                    </w:rPr>
                  </w:pPr>
                  <w:r>
                    <w:rPr>
                      <w:rFonts w:hint="eastAsia" w:cs="Tahoma"/>
                      <w:sz w:val="21"/>
                      <w:szCs w:val="21"/>
                      <w:shd w:val="clear" w:color="auto" w:fill="FFFFFF"/>
                    </w:rPr>
                    <w:t>美国的学前教育</w:t>
                  </w:r>
                </w:p>
                <w:p w14:paraId="06F66A63">
                  <w:pPr>
                    <w:snapToGrid w:val="0"/>
                    <w:spacing w:line="288" w:lineRule="auto"/>
                    <w:ind w:right="26"/>
                    <w:rPr>
                      <w:rFonts w:hint="eastAsia"/>
                      <w:sz w:val="21"/>
                      <w:szCs w:val="21"/>
                    </w:rPr>
                  </w:pPr>
                </w:p>
              </w:tc>
              <w:tc>
                <w:tcPr>
                  <w:tcW w:w="2067" w:type="dxa"/>
                  <w:vAlign w:val="center"/>
                </w:tcPr>
                <w:p w14:paraId="5B3FA588">
                  <w:pPr>
                    <w:snapToGrid w:val="0"/>
                    <w:spacing w:line="288" w:lineRule="auto"/>
                    <w:ind w:right="26"/>
                    <w:rPr>
                      <w:rFonts w:hint="eastAsia"/>
                      <w:sz w:val="21"/>
                      <w:szCs w:val="21"/>
                    </w:rPr>
                  </w:pPr>
                  <w:r>
                    <w:rPr>
                      <w:rFonts w:hint="eastAsia"/>
                      <w:sz w:val="21"/>
                      <w:szCs w:val="21"/>
                    </w:rPr>
                    <w:t>1.美国学前教育沿革。</w:t>
                  </w:r>
                </w:p>
                <w:p w14:paraId="33BE32C4">
                  <w:pPr>
                    <w:snapToGrid w:val="0"/>
                    <w:spacing w:line="288" w:lineRule="auto"/>
                    <w:ind w:right="26"/>
                    <w:rPr>
                      <w:rFonts w:hint="eastAsia"/>
                      <w:sz w:val="21"/>
                      <w:szCs w:val="21"/>
                    </w:rPr>
                  </w:pPr>
                  <w:r>
                    <w:rPr>
                      <w:rFonts w:hint="eastAsia"/>
                      <w:sz w:val="21"/>
                      <w:szCs w:val="21"/>
                    </w:rPr>
                    <w:t>2.美国学前教育现状。</w:t>
                  </w:r>
                </w:p>
                <w:p w14:paraId="053DC130">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美国学前教育存在的问题与发展趋势。</w:t>
                  </w:r>
                </w:p>
              </w:tc>
              <w:tc>
                <w:tcPr>
                  <w:tcW w:w="2065" w:type="dxa"/>
                  <w:vAlign w:val="center"/>
                </w:tcPr>
                <w:p w14:paraId="24731266">
                  <w:pPr>
                    <w:snapToGrid w:val="0"/>
                    <w:spacing w:line="288" w:lineRule="auto"/>
                    <w:ind w:right="26"/>
                    <w:rPr>
                      <w:rFonts w:hint="eastAsia"/>
                      <w:sz w:val="21"/>
                      <w:szCs w:val="21"/>
                    </w:rPr>
                  </w:pPr>
                  <w:r>
                    <w:rPr>
                      <w:rFonts w:hint="eastAsia"/>
                      <w:sz w:val="21"/>
                      <w:szCs w:val="21"/>
                    </w:rPr>
                    <w:t>1.了解美国学前教育的发展沿革。</w:t>
                  </w:r>
                </w:p>
                <w:p w14:paraId="6D95A3D3">
                  <w:pPr>
                    <w:snapToGrid w:val="0"/>
                    <w:spacing w:line="288" w:lineRule="auto"/>
                    <w:ind w:right="26"/>
                    <w:rPr>
                      <w:rFonts w:hint="eastAsia"/>
                      <w:sz w:val="21"/>
                      <w:szCs w:val="21"/>
                    </w:rPr>
                  </w:pPr>
                  <w:r>
                    <w:rPr>
                      <w:rFonts w:hint="eastAsia"/>
                      <w:sz w:val="21"/>
                      <w:szCs w:val="21"/>
                    </w:rPr>
                    <w:t>2.掌握美国学前教育发展现状。</w:t>
                  </w:r>
                </w:p>
                <w:p w14:paraId="3AAB1C70">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知道美国学前教育存在的问题与发展趋势。</w:t>
                  </w:r>
                </w:p>
              </w:tc>
              <w:tc>
                <w:tcPr>
                  <w:tcW w:w="2065" w:type="dxa"/>
                  <w:vAlign w:val="center"/>
                </w:tcPr>
                <w:p w14:paraId="516ED5F2">
                  <w:pPr>
                    <w:snapToGrid w:val="0"/>
                    <w:spacing w:line="288" w:lineRule="auto"/>
                    <w:ind w:right="26"/>
                    <w:rPr>
                      <w:rFonts w:hint="eastAsia"/>
                      <w:sz w:val="21"/>
                      <w:szCs w:val="21"/>
                    </w:rPr>
                  </w:pPr>
                  <w:r>
                    <w:rPr>
                      <w:rFonts w:hint="eastAsia"/>
                      <w:sz w:val="21"/>
                      <w:szCs w:val="21"/>
                    </w:rPr>
                    <w:t>知道美国学前教育存在的问题与发展趋势。</w:t>
                  </w:r>
                </w:p>
              </w:tc>
            </w:tr>
            <w:tr w14:paraId="11B4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08AD8AEC">
                  <w:pPr>
                    <w:snapToGrid w:val="0"/>
                    <w:spacing w:line="288" w:lineRule="auto"/>
                    <w:ind w:right="26"/>
                    <w:rPr>
                      <w:rFonts w:hint="eastAsia"/>
                      <w:sz w:val="21"/>
                      <w:szCs w:val="21"/>
                      <w:shd w:val="clear" w:color="auto" w:fill="FFFFFF"/>
                    </w:rPr>
                  </w:pPr>
                  <w:r>
                    <w:rPr>
                      <w:rFonts w:hint="eastAsia"/>
                      <w:sz w:val="21"/>
                      <w:szCs w:val="21"/>
                    </w:rPr>
                    <w:t>第四单元</w:t>
                  </w:r>
                </w:p>
                <w:p w14:paraId="363AD2EA">
                  <w:pPr>
                    <w:snapToGrid w:val="0"/>
                    <w:spacing w:line="288" w:lineRule="auto"/>
                    <w:ind w:right="26"/>
                    <w:rPr>
                      <w:rFonts w:hint="eastAsia"/>
                      <w:sz w:val="21"/>
                      <w:szCs w:val="21"/>
                    </w:rPr>
                  </w:pPr>
                  <w:r>
                    <w:rPr>
                      <w:rFonts w:hint="eastAsia" w:cs="Tahoma"/>
                      <w:sz w:val="21"/>
                      <w:szCs w:val="21"/>
                      <w:shd w:val="clear" w:color="auto" w:fill="FFFFFF"/>
                    </w:rPr>
                    <w:t>德国的学前教育</w:t>
                  </w:r>
                </w:p>
                <w:p w14:paraId="09BA3706">
                  <w:pPr>
                    <w:snapToGrid w:val="0"/>
                    <w:spacing w:line="288" w:lineRule="auto"/>
                    <w:ind w:right="26"/>
                    <w:rPr>
                      <w:rFonts w:hint="eastAsia"/>
                      <w:sz w:val="21"/>
                      <w:szCs w:val="21"/>
                    </w:rPr>
                  </w:pPr>
                </w:p>
              </w:tc>
              <w:tc>
                <w:tcPr>
                  <w:tcW w:w="2067" w:type="dxa"/>
                  <w:vAlign w:val="center"/>
                </w:tcPr>
                <w:p w14:paraId="47DD96C1">
                  <w:pPr>
                    <w:snapToGrid w:val="0"/>
                    <w:spacing w:line="288" w:lineRule="auto"/>
                    <w:ind w:right="26"/>
                    <w:rPr>
                      <w:rFonts w:hint="eastAsia"/>
                      <w:sz w:val="21"/>
                      <w:szCs w:val="21"/>
                    </w:rPr>
                  </w:pPr>
                  <w:r>
                    <w:rPr>
                      <w:rFonts w:hint="eastAsia"/>
                      <w:sz w:val="21"/>
                      <w:szCs w:val="21"/>
                    </w:rPr>
                    <w:t>1.</w:t>
                  </w:r>
                  <w:r>
                    <w:rPr>
                      <w:rFonts w:hint="eastAsia" w:cs="Tahoma"/>
                      <w:sz w:val="21"/>
                      <w:szCs w:val="21"/>
                      <w:shd w:val="clear" w:color="auto" w:fill="FFFFFF"/>
                    </w:rPr>
                    <w:t>德国</w:t>
                  </w:r>
                  <w:r>
                    <w:rPr>
                      <w:rFonts w:hint="eastAsia"/>
                      <w:sz w:val="21"/>
                      <w:szCs w:val="21"/>
                    </w:rPr>
                    <w:t>学前教育沿革。</w:t>
                  </w:r>
                </w:p>
                <w:p w14:paraId="1AED3F16">
                  <w:pPr>
                    <w:snapToGrid w:val="0"/>
                    <w:spacing w:line="288" w:lineRule="auto"/>
                    <w:ind w:right="26"/>
                    <w:rPr>
                      <w:rFonts w:hint="eastAsia"/>
                      <w:sz w:val="21"/>
                      <w:szCs w:val="21"/>
                    </w:rPr>
                  </w:pPr>
                  <w:r>
                    <w:rPr>
                      <w:rFonts w:hint="eastAsia"/>
                      <w:sz w:val="21"/>
                      <w:szCs w:val="21"/>
                    </w:rPr>
                    <w:t>2.</w:t>
                  </w:r>
                  <w:r>
                    <w:rPr>
                      <w:rFonts w:hint="eastAsia" w:cs="Tahoma"/>
                      <w:sz w:val="21"/>
                      <w:szCs w:val="21"/>
                      <w:shd w:val="clear" w:color="auto" w:fill="FFFFFF"/>
                    </w:rPr>
                    <w:t>德国</w:t>
                  </w:r>
                  <w:r>
                    <w:rPr>
                      <w:rFonts w:hint="eastAsia"/>
                      <w:sz w:val="21"/>
                      <w:szCs w:val="21"/>
                    </w:rPr>
                    <w:t>学前教育现状。</w:t>
                  </w:r>
                </w:p>
                <w:p w14:paraId="1A99E1B9">
                  <w:pPr>
                    <w:snapToGrid w:val="0"/>
                    <w:spacing w:line="288" w:lineRule="auto"/>
                    <w:ind w:right="26"/>
                    <w:rPr>
                      <w:rFonts w:hint="eastAsia"/>
                      <w:sz w:val="21"/>
                      <w:szCs w:val="21"/>
                    </w:rPr>
                  </w:pPr>
                  <w:r>
                    <w:rPr>
                      <w:rFonts w:hint="eastAsia"/>
                      <w:sz w:val="21"/>
                      <w:szCs w:val="21"/>
                    </w:rPr>
                    <w:t>3</w:t>
                  </w:r>
                  <w:r>
                    <w:rPr>
                      <w:sz w:val="21"/>
                      <w:szCs w:val="21"/>
                    </w:rPr>
                    <w:t>.</w:t>
                  </w:r>
                  <w:r>
                    <w:rPr>
                      <w:rFonts w:hint="eastAsia" w:cs="Tahoma"/>
                      <w:sz w:val="21"/>
                      <w:szCs w:val="21"/>
                      <w:shd w:val="clear" w:color="auto" w:fill="FFFFFF"/>
                    </w:rPr>
                    <w:t>德国</w:t>
                  </w:r>
                  <w:r>
                    <w:rPr>
                      <w:rFonts w:hint="eastAsia"/>
                      <w:sz w:val="21"/>
                      <w:szCs w:val="21"/>
                    </w:rPr>
                    <w:t>学前教育存在的问题与发展趋势。</w:t>
                  </w:r>
                </w:p>
              </w:tc>
              <w:tc>
                <w:tcPr>
                  <w:tcW w:w="2065" w:type="dxa"/>
                  <w:vAlign w:val="center"/>
                </w:tcPr>
                <w:p w14:paraId="1C752890">
                  <w:pPr>
                    <w:snapToGrid w:val="0"/>
                    <w:spacing w:line="288" w:lineRule="auto"/>
                    <w:ind w:right="26"/>
                    <w:rPr>
                      <w:rFonts w:hint="eastAsia"/>
                      <w:sz w:val="21"/>
                      <w:szCs w:val="21"/>
                    </w:rPr>
                  </w:pPr>
                  <w:r>
                    <w:rPr>
                      <w:rFonts w:hint="eastAsia"/>
                      <w:sz w:val="21"/>
                      <w:szCs w:val="21"/>
                    </w:rPr>
                    <w:t>1.了解</w:t>
                  </w:r>
                  <w:r>
                    <w:rPr>
                      <w:rFonts w:hint="eastAsia" w:cs="Tahoma"/>
                      <w:sz w:val="21"/>
                      <w:szCs w:val="21"/>
                      <w:shd w:val="clear" w:color="auto" w:fill="FFFFFF"/>
                    </w:rPr>
                    <w:t>德国</w:t>
                  </w:r>
                  <w:r>
                    <w:rPr>
                      <w:rFonts w:hint="eastAsia"/>
                      <w:sz w:val="21"/>
                      <w:szCs w:val="21"/>
                    </w:rPr>
                    <w:t>学前教育的发展沿革。</w:t>
                  </w:r>
                </w:p>
                <w:p w14:paraId="55A1D22F">
                  <w:pPr>
                    <w:snapToGrid w:val="0"/>
                    <w:spacing w:line="288" w:lineRule="auto"/>
                    <w:ind w:right="26"/>
                    <w:rPr>
                      <w:rFonts w:hint="eastAsia"/>
                      <w:sz w:val="21"/>
                      <w:szCs w:val="21"/>
                    </w:rPr>
                  </w:pPr>
                  <w:r>
                    <w:rPr>
                      <w:rFonts w:hint="eastAsia"/>
                      <w:sz w:val="21"/>
                      <w:szCs w:val="21"/>
                    </w:rPr>
                    <w:t>2.掌握</w:t>
                  </w:r>
                  <w:r>
                    <w:rPr>
                      <w:rFonts w:hint="eastAsia" w:cs="Tahoma"/>
                      <w:sz w:val="21"/>
                      <w:szCs w:val="21"/>
                      <w:shd w:val="clear" w:color="auto" w:fill="FFFFFF"/>
                    </w:rPr>
                    <w:t>德国</w:t>
                  </w:r>
                  <w:r>
                    <w:rPr>
                      <w:rFonts w:hint="eastAsia"/>
                      <w:sz w:val="21"/>
                      <w:szCs w:val="21"/>
                    </w:rPr>
                    <w:t>学前教育发展现状。</w:t>
                  </w:r>
                </w:p>
                <w:p w14:paraId="3C0945EB">
                  <w:pPr>
                    <w:snapToGrid w:val="0"/>
                    <w:spacing w:line="288" w:lineRule="auto"/>
                    <w:ind w:right="26"/>
                    <w:rPr>
                      <w:rFonts w:hint="eastAsia"/>
                      <w:sz w:val="21"/>
                      <w:szCs w:val="21"/>
                    </w:rPr>
                  </w:pPr>
                  <w:r>
                    <w:rPr>
                      <w:rFonts w:hint="eastAsia"/>
                      <w:sz w:val="21"/>
                      <w:szCs w:val="21"/>
                    </w:rPr>
                    <w:t>3</w:t>
                  </w:r>
                  <w:r>
                    <w:rPr>
                      <w:sz w:val="21"/>
                      <w:szCs w:val="21"/>
                    </w:rPr>
                    <w:t>.</w:t>
                  </w:r>
                  <w:r>
                    <w:rPr>
                      <w:rFonts w:hint="eastAsia"/>
                      <w:sz w:val="21"/>
                      <w:szCs w:val="21"/>
                    </w:rPr>
                    <w:t>知道</w:t>
                  </w:r>
                  <w:r>
                    <w:rPr>
                      <w:rFonts w:hint="eastAsia" w:cs="Tahoma"/>
                      <w:sz w:val="21"/>
                      <w:szCs w:val="21"/>
                      <w:shd w:val="clear" w:color="auto" w:fill="FFFFFF"/>
                    </w:rPr>
                    <w:t>德国</w:t>
                  </w:r>
                  <w:r>
                    <w:rPr>
                      <w:rFonts w:hint="eastAsia"/>
                      <w:sz w:val="21"/>
                      <w:szCs w:val="21"/>
                    </w:rPr>
                    <w:t>学前教育存在的问题与发展趋势。</w:t>
                  </w:r>
                </w:p>
              </w:tc>
              <w:tc>
                <w:tcPr>
                  <w:tcW w:w="2065" w:type="dxa"/>
                  <w:vAlign w:val="center"/>
                </w:tcPr>
                <w:p w14:paraId="4ACC10FA">
                  <w:pPr>
                    <w:snapToGrid w:val="0"/>
                    <w:spacing w:line="288" w:lineRule="auto"/>
                    <w:ind w:right="26"/>
                    <w:rPr>
                      <w:rFonts w:hint="eastAsia"/>
                      <w:sz w:val="21"/>
                      <w:szCs w:val="21"/>
                    </w:rPr>
                  </w:pPr>
                  <w:r>
                    <w:rPr>
                      <w:rFonts w:hint="eastAsia"/>
                      <w:sz w:val="21"/>
                      <w:szCs w:val="21"/>
                    </w:rPr>
                    <w:t>分析</w:t>
                  </w:r>
                  <w:r>
                    <w:rPr>
                      <w:rFonts w:hint="eastAsia" w:cs="Tahoma"/>
                      <w:sz w:val="21"/>
                      <w:szCs w:val="21"/>
                      <w:shd w:val="clear" w:color="auto" w:fill="FFFFFF"/>
                    </w:rPr>
                    <w:t>德国</w:t>
                  </w:r>
                  <w:r>
                    <w:rPr>
                      <w:rFonts w:hint="eastAsia"/>
                      <w:sz w:val="21"/>
                      <w:szCs w:val="21"/>
                    </w:rPr>
                    <w:t>森林幼儿园教育模式。</w:t>
                  </w:r>
                </w:p>
              </w:tc>
            </w:tr>
            <w:tr w14:paraId="4F2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6924BEDD">
                  <w:pPr>
                    <w:snapToGrid w:val="0"/>
                    <w:spacing w:line="288" w:lineRule="auto"/>
                    <w:ind w:right="26"/>
                    <w:rPr>
                      <w:rFonts w:hint="eastAsia"/>
                      <w:sz w:val="21"/>
                      <w:szCs w:val="21"/>
                      <w:shd w:val="clear" w:color="auto" w:fill="FFFFFF"/>
                    </w:rPr>
                  </w:pPr>
                  <w:r>
                    <w:rPr>
                      <w:rFonts w:hint="eastAsia"/>
                      <w:sz w:val="21"/>
                      <w:szCs w:val="21"/>
                    </w:rPr>
                    <w:t>第五单元</w:t>
                  </w:r>
                </w:p>
                <w:p w14:paraId="47D87812">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芬兰的学前教育</w:t>
                  </w:r>
                </w:p>
                <w:p w14:paraId="0AD60806">
                  <w:pPr>
                    <w:snapToGrid w:val="0"/>
                    <w:spacing w:line="288" w:lineRule="auto"/>
                    <w:ind w:right="26"/>
                    <w:rPr>
                      <w:rFonts w:hint="eastAsia"/>
                      <w:sz w:val="21"/>
                      <w:szCs w:val="21"/>
                    </w:rPr>
                  </w:pPr>
                </w:p>
              </w:tc>
              <w:tc>
                <w:tcPr>
                  <w:tcW w:w="2067" w:type="dxa"/>
                  <w:vAlign w:val="center"/>
                </w:tcPr>
                <w:p w14:paraId="4FFE77EA">
                  <w:pPr>
                    <w:snapToGrid w:val="0"/>
                    <w:spacing w:line="288" w:lineRule="auto"/>
                    <w:ind w:right="26"/>
                    <w:rPr>
                      <w:rFonts w:hint="eastAsia"/>
                      <w:sz w:val="21"/>
                      <w:szCs w:val="21"/>
                    </w:rPr>
                  </w:pPr>
                  <w:r>
                    <w:rPr>
                      <w:rFonts w:hint="eastAsia"/>
                      <w:sz w:val="21"/>
                      <w:szCs w:val="21"/>
                    </w:rPr>
                    <w:t>1.芬兰的学前教育发展特色。</w:t>
                  </w:r>
                </w:p>
                <w:p w14:paraId="704B2C83">
                  <w:pPr>
                    <w:snapToGrid w:val="0"/>
                    <w:spacing w:line="288" w:lineRule="auto"/>
                    <w:ind w:right="26"/>
                    <w:rPr>
                      <w:rFonts w:hint="eastAsia"/>
                      <w:sz w:val="21"/>
                      <w:szCs w:val="21"/>
                    </w:rPr>
                  </w:pPr>
                  <w:r>
                    <w:rPr>
                      <w:rFonts w:hint="eastAsia"/>
                      <w:sz w:val="21"/>
                      <w:szCs w:val="21"/>
                    </w:rPr>
                    <w:t>2．芬兰教育的改革发展</w:t>
                  </w:r>
                </w:p>
                <w:p w14:paraId="4C284999">
                  <w:pPr>
                    <w:snapToGrid w:val="0"/>
                    <w:spacing w:line="288" w:lineRule="auto"/>
                    <w:ind w:right="26"/>
                    <w:rPr>
                      <w:rFonts w:hint="eastAsia"/>
                      <w:sz w:val="21"/>
                      <w:szCs w:val="21"/>
                    </w:rPr>
                  </w:pPr>
                  <w:r>
                    <w:rPr>
                      <w:rFonts w:hint="eastAsia"/>
                      <w:sz w:val="21"/>
                      <w:szCs w:val="21"/>
                    </w:rPr>
                    <w:t>3.芬兰学前教育的现状</w:t>
                  </w:r>
                </w:p>
              </w:tc>
              <w:tc>
                <w:tcPr>
                  <w:tcW w:w="2065" w:type="dxa"/>
                  <w:vAlign w:val="center"/>
                </w:tcPr>
                <w:p w14:paraId="409C42C1">
                  <w:pPr>
                    <w:snapToGrid w:val="0"/>
                    <w:spacing w:line="288" w:lineRule="auto"/>
                    <w:ind w:right="26"/>
                    <w:rPr>
                      <w:rFonts w:hint="eastAsia"/>
                      <w:sz w:val="21"/>
                      <w:szCs w:val="21"/>
                    </w:rPr>
                  </w:pPr>
                  <w:r>
                    <w:rPr>
                      <w:rFonts w:hint="eastAsia"/>
                      <w:sz w:val="21"/>
                      <w:szCs w:val="21"/>
                    </w:rPr>
                    <w:t>1.知道芬兰学前教育发展特色。</w:t>
                  </w:r>
                </w:p>
                <w:p w14:paraId="53388667">
                  <w:pPr>
                    <w:snapToGrid w:val="0"/>
                    <w:spacing w:line="288" w:lineRule="auto"/>
                    <w:ind w:right="26"/>
                    <w:rPr>
                      <w:rFonts w:hint="eastAsia"/>
                      <w:sz w:val="21"/>
                      <w:szCs w:val="21"/>
                    </w:rPr>
                  </w:pPr>
                  <w:r>
                    <w:rPr>
                      <w:rFonts w:hint="eastAsia"/>
                      <w:sz w:val="21"/>
                      <w:szCs w:val="21"/>
                    </w:rPr>
                    <w:t>2.理解芬兰教育的改革发展历程。</w:t>
                  </w:r>
                </w:p>
                <w:p w14:paraId="3A890365">
                  <w:pPr>
                    <w:snapToGrid w:val="0"/>
                    <w:spacing w:line="288" w:lineRule="auto"/>
                    <w:ind w:right="26"/>
                    <w:rPr>
                      <w:rFonts w:hint="eastAsia"/>
                      <w:sz w:val="21"/>
                      <w:szCs w:val="21"/>
                    </w:rPr>
                  </w:pPr>
                  <w:r>
                    <w:rPr>
                      <w:rFonts w:hint="eastAsia"/>
                      <w:sz w:val="21"/>
                      <w:szCs w:val="21"/>
                    </w:rPr>
                    <w:t>3.掌握</w:t>
                  </w:r>
                  <w:r>
                    <w:rPr>
                      <w:rFonts w:hint="eastAsia" w:cs="Tahoma"/>
                      <w:sz w:val="21"/>
                      <w:szCs w:val="21"/>
                      <w:shd w:val="clear" w:color="auto" w:fill="FFFFFF"/>
                    </w:rPr>
                    <w:t>芬兰</w:t>
                  </w:r>
                  <w:r>
                    <w:rPr>
                      <w:rFonts w:hint="eastAsia"/>
                      <w:sz w:val="21"/>
                      <w:szCs w:val="21"/>
                    </w:rPr>
                    <w:t>学前教育发展现状。</w:t>
                  </w:r>
                </w:p>
                <w:p w14:paraId="0410EDC7">
                  <w:pPr>
                    <w:snapToGrid w:val="0"/>
                    <w:spacing w:line="288" w:lineRule="auto"/>
                    <w:ind w:right="26"/>
                    <w:rPr>
                      <w:rFonts w:hint="eastAsia"/>
                      <w:sz w:val="21"/>
                      <w:szCs w:val="21"/>
                    </w:rPr>
                  </w:pPr>
                </w:p>
              </w:tc>
              <w:tc>
                <w:tcPr>
                  <w:tcW w:w="2065" w:type="dxa"/>
                  <w:vAlign w:val="center"/>
                </w:tcPr>
                <w:p w14:paraId="187EAF8E">
                  <w:pPr>
                    <w:snapToGrid w:val="0"/>
                    <w:spacing w:line="288" w:lineRule="auto"/>
                    <w:ind w:right="26"/>
                    <w:rPr>
                      <w:rFonts w:hint="eastAsia"/>
                      <w:sz w:val="21"/>
                      <w:szCs w:val="21"/>
                    </w:rPr>
                  </w:pPr>
                  <w:r>
                    <w:rPr>
                      <w:rFonts w:hint="eastAsia"/>
                      <w:sz w:val="21"/>
                      <w:szCs w:val="21"/>
                    </w:rPr>
                    <w:t>理解</w:t>
                  </w:r>
                  <w:r>
                    <w:rPr>
                      <w:rFonts w:hint="eastAsia" w:cs="Tahoma"/>
                      <w:sz w:val="21"/>
                      <w:szCs w:val="21"/>
                      <w:shd w:val="clear" w:color="auto" w:fill="FFFFFF"/>
                    </w:rPr>
                    <w:t>芬兰</w:t>
                  </w:r>
                  <w:r>
                    <w:rPr>
                      <w:rFonts w:hint="eastAsia"/>
                      <w:sz w:val="21"/>
                      <w:szCs w:val="21"/>
                    </w:rPr>
                    <w:t>学前教育的特色和发展现状。</w:t>
                  </w:r>
                </w:p>
              </w:tc>
            </w:tr>
            <w:tr w14:paraId="2620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47A1EE83">
                  <w:pPr>
                    <w:snapToGrid w:val="0"/>
                    <w:spacing w:line="288" w:lineRule="auto"/>
                    <w:ind w:right="26"/>
                    <w:rPr>
                      <w:rFonts w:hint="eastAsia"/>
                      <w:sz w:val="21"/>
                      <w:szCs w:val="21"/>
                    </w:rPr>
                  </w:pPr>
                  <w:r>
                    <w:rPr>
                      <w:rFonts w:hint="eastAsia"/>
                      <w:sz w:val="21"/>
                      <w:szCs w:val="21"/>
                    </w:rPr>
                    <w:t>第六单元</w:t>
                  </w:r>
                </w:p>
                <w:p w14:paraId="675A71DB">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新西兰的学前教育</w:t>
                  </w:r>
                </w:p>
                <w:p w14:paraId="1288A04D">
                  <w:pPr>
                    <w:snapToGrid w:val="0"/>
                    <w:spacing w:line="288" w:lineRule="auto"/>
                    <w:ind w:right="26"/>
                    <w:rPr>
                      <w:rFonts w:hint="eastAsia"/>
                      <w:sz w:val="21"/>
                      <w:szCs w:val="21"/>
                    </w:rPr>
                  </w:pPr>
                </w:p>
              </w:tc>
              <w:tc>
                <w:tcPr>
                  <w:tcW w:w="2067" w:type="dxa"/>
                  <w:vAlign w:val="center"/>
                </w:tcPr>
                <w:p w14:paraId="1C72882E">
                  <w:pPr>
                    <w:snapToGrid w:val="0"/>
                    <w:spacing w:line="288" w:lineRule="auto"/>
                    <w:ind w:right="26"/>
                    <w:rPr>
                      <w:rFonts w:hint="eastAsia"/>
                      <w:sz w:val="21"/>
                      <w:szCs w:val="21"/>
                    </w:rPr>
                  </w:pPr>
                  <w:r>
                    <w:rPr>
                      <w:rFonts w:hint="eastAsia"/>
                      <w:sz w:val="21"/>
                      <w:szCs w:val="21"/>
                    </w:rPr>
                    <w:t>1.新西兰学前教育沿革</w:t>
                  </w:r>
                </w:p>
                <w:p w14:paraId="5530259E">
                  <w:pPr>
                    <w:snapToGrid w:val="0"/>
                    <w:spacing w:line="288" w:lineRule="auto"/>
                    <w:ind w:right="26"/>
                    <w:rPr>
                      <w:rFonts w:hint="eastAsia"/>
                      <w:sz w:val="21"/>
                      <w:szCs w:val="21"/>
                    </w:rPr>
                  </w:pPr>
                  <w:r>
                    <w:rPr>
                      <w:rFonts w:hint="eastAsia"/>
                      <w:sz w:val="21"/>
                      <w:szCs w:val="21"/>
                    </w:rPr>
                    <w:t>2.新西兰学前教育现状</w:t>
                  </w:r>
                </w:p>
                <w:p w14:paraId="1E7A5EA6">
                  <w:pPr>
                    <w:snapToGrid w:val="0"/>
                    <w:spacing w:line="288" w:lineRule="auto"/>
                    <w:ind w:right="26"/>
                    <w:rPr>
                      <w:rFonts w:hint="eastAsia"/>
                      <w:sz w:val="21"/>
                      <w:szCs w:val="21"/>
                    </w:rPr>
                  </w:pPr>
                  <w:r>
                    <w:rPr>
                      <w:rFonts w:hint="eastAsia"/>
                      <w:sz w:val="21"/>
                      <w:szCs w:val="21"/>
                    </w:rPr>
                    <w:t>3.新西兰学前教育的发展趋势</w:t>
                  </w:r>
                </w:p>
              </w:tc>
              <w:tc>
                <w:tcPr>
                  <w:tcW w:w="2065" w:type="dxa"/>
                  <w:vAlign w:val="center"/>
                </w:tcPr>
                <w:p w14:paraId="197C86BC">
                  <w:pPr>
                    <w:snapToGrid w:val="0"/>
                    <w:spacing w:line="288" w:lineRule="auto"/>
                    <w:ind w:right="26"/>
                    <w:rPr>
                      <w:rFonts w:hint="eastAsia"/>
                      <w:sz w:val="21"/>
                      <w:szCs w:val="21"/>
                    </w:rPr>
                  </w:pPr>
                  <w:r>
                    <w:rPr>
                      <w:rFonts w:hint="eastAsia"/>
                      <w:sz w:val="21"/>
                      <w:szCs w:val="21"/>
                    </w:rPr>
                    <w:t>1.了解新西兰学前教育沿革和发展趋势</w:t>
                  </w:r>
                </w:p>
                <w:p w14:paraId="59498B00">
                  <w:pPr>
                    <w:snapToGrid w:val="0"/>
                    <w:spacing w:line="288" w:lineRule="auto"/>
                    <w:ind w:right="26"/>
                    <w:rPr>
                      <w:rFonts w:hint="eastAsia"/>
                      <w:sz w:val="21"/>
                      <w:szCs w:val="21"/>
                    </w:rPr>
                  </w:pPr>
                  <w:r>
                    <w:rPr>
                      <w:rFonts w:hint="eastAsia"/>
                      <w:sz w:val="21"/>
                      <w:szCs w:val="21"/>
                    </w:rPr>
                    <w:t>2.理解新西兰学前教育现状</w:t>
                  </w:r>
                </w:p>
                <w:p w14:paraId="578DD461">
                  <w:pPr>
                    <w:snapToGrid w:val="0"/>
                    <w:spacing w:line="288" w:lineRule="auto"/>
                    <w:ind w:right="26"/>
                    <w:rPr>
                      <w:rFonts w:hint="eastAsia"/>
                      <w:sz w:val="21"/>
                      <w:szCs w:val="21"/>
                    </w:rPr>
                  </w:pPr>
                  <w:r>
                    <w:rPr>
                      <w:rFonts w:hint="eastAsia"/>
                      <w:sz w:val="21"/>
                      <w:szCs w:val="21"/>
                    </w:rPr>
                    <w:t>3.掌握新西兰特色课程与学习故事</w:t>
                  </w:r>
                </w:p>
              </w:tc>
              <w:tc>
                <w:tcPr>
                  <w:tcW w:w="2065" w:type="dxa"/>
                  <w:vAlign w:val="center"/>
                </w:tcPr>
                <w:p w14:paraId="7719716A">
                  <w:pPr>
                    <w:snapToGrid w:val="0"/>
                    <w:spacing w:line="288" w:lineRule="auto"/>
                    <w:ind w:right="26"/>
                    <w:rPr>
                      <w:rFonts w:hint="eastAsia"/>
                      <w:sz w:val="21"/>
                      <w:szCs w:val="21"/>
                    </w:rPr>
                  </w:pPr>
                  <w:r>
                    <w:rPr>
                      <w:rFonts w:hint="eastAsia"/>
                      <w:sz w:val="21"/>
                      <w:szCs w:val="21"/>
                    </w:rPr>
                    <w:t>掌握新西兰特色课程与学习故事</w:t>
                  </w:r>
                </w:p>
              </w:tc>
            </w:tr>
            <w:tr w14:paraId="2172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58A70A80">
                  <w:pPr>
                    <w:snapToGrid w:val="0"/>
                    <w:spacing w:line="288" w:lineRule="auto"/>
                    <w:ind w:right="26"/>
                    <w:rPr>
                      <w:rFonts w:hint="eastAsia"/>
                      <w:sz w:val="21"/>
                      <w:szCs w:val="21"/>
                    </w:rPr>
                  </w:pPr>
                  <w:r>
                    <w:rPr>
                      <w:rFonts w:hint="eastAsia"/>
                      <w:sz w:val="21"/>
                      <w:szCs w:val="21"/>
                    </w:rPr>
                    <w:t>第七单元</w:t>
                  </w:r>
                </w:p>
                <w:p w14:paraId="37D56ADE">
                  <w:pPr>
                    <w:snapToGrid w:val="0"/>
                    <w:spacing w:line="288" w:lineRule="auto"/>
                    <w:ind w:right="26"/>
                    <w:rPr>
                      <w:rFonts w:hint="eastAsia"/>
                      <w:sz w:val="21"/>
                      <w:szCs w:val="21"/>
                    </w:rPr>
                  </w:pPr>
                  <w:r>
                    <w:rPr>
                      <w:rFonts w:hint="eastAsia"/>
                      <w:sz w:val="21"/>
                      <w:szCs w:val="21"/>
                    </w:rPr>
                    <w:t>学前教育机构的比较</w:t>
                  </w:r>
                </w:p>
              </w:tc>
              <w:tc>
                <w:tcPr>
                  <w:tcW w:w="2067" w:type="dxa"/>
                  <w:vAlign w:val="center"/>
                </w:tcPr>
                <w:p w14:paraId="01EA7BF4">
                  <w:pPr>
                    <w:snapToGrid w:val="0"/>
                    <w:spacing w:line="288" w:lineRule="auto"/>
                    <w:ind w:right="26"/>
                    <w:rPr>
                      <w:rFonts w:hint="eastAsia"/>
                      <w:sz w:val="21"/>
                      <w:szCs w:val="21"/>
                    </w:rPr>
                  </w:pPr>
                  <w:r>
                    <w:rPr>
                      <w:rFonts w:hint="eastAsia"/>
                      <w:sz w:val="21"/>
                      <w:szCs w:val="21"/>
                    </w:rPr>
                    <w:t>1.学前教育机构类型的比较</w:t>
                  </w:r>
                </w:p>
                <w:p w14:paraId="23F60647">
                  <w:pPr>
                    <w:snapToGrid w:val="0"/>
                    <w:spacing w:line="288" w:lineRule="auto"/>
                    <w:ind w:right="26"/>
                    <w:rPr>
                      <w:rFonts w:hint="eastAsia"/>
                      <w:sz w:val="21"/>
                      <w:szCs w:val="21"/>
                    </w:rPr>
                  </w:pPr>
                  <w:r>
                    <w:rPr>
                      <w:rFonts w:hint="eastAsia"/>
                      <w:sz w:val="21"/>
                      <w:szCs w:val="21"/>
                    </w:rPr>
                    <w:t>2.学前教育机构功能的比较</w:t>
                  </w:r>
                </w:p>
                <w:p w14:paraId="0C894D58">
                  <w:pPr>
                    <w:snapToGrid w:val="0"/>
                    <w:spacing w:line="288" w:lineRule="auto"/>
                    <w:ind w:right="26"/>
                    <w:rPr>
                      <w:rFonts w:hint="eastAsia"/>
                      <w:sz w:val="21"/>
                      <w:szCs w:val="21"/>
                    </w:rPr>
                  </w:pPr>
                  <w:r>
                    <w:rPr>
                      <w:rFonts w:hint="eastAsia"/>
                      <w:sz w:val="21"/>
                      <w:szCs w:val="21"/>
                    </w:rPr>
                    <w:t>3.学前教育机构的发展趋势</w:t>
                  </w:r>
                </w:p>
              </w:tc>
              <w:tc>
                <w:tcPr>
                  <w:tcW w:w="2065" w:type="dxa"/>
                  <w:vAlign w:val="center"/>
                </w:tcPr>
                <w:p w14:paraId="0A68E909">
                  <w:pPr>
                    <w:snapToGrid w:val="0"/>
                    <w:spacing w:line="288" w:lineRule="auto"/>
                    <w:ind w:right="26"/>
                    <w:rPr>
                      <w:rFonts w:hint="eastAsia"/>
                      <w:sz w:val="21"/>
                      <w:szCs w:val="21"/>
                    </w:rPr>
                  </w:pPr>
                  <w:r>
                    <w:rPr>
                      <w:rFonts w:hint="eastAsia"/>
                      <w:sz w:val="21"/>
                      <w:szCs w:val="21"/>
                    </w:rPr>
                    <w:t>1.理解各国学前教育的机构类型、功能和发展趋势。</w:t>
                  </w:r>
                </w:p>
                <w:p w14:paraId="7E2D4A02">
                  <w:pPr>
                    <w:snapToGrid w:val="0"/>
                    <w:spacing w:line="288" w:lineRule="auto"/>
                    <w:ind w:right="26"/>
                    <w:rPr>
                      <w:rFonts w:hint="eastAsia"/>
                      <w:sz w:val="21"/>
                      <w:szCs w:val="21"/>
                    </w:rPr>
                  </w:pPr>
                  <w:r>
                    <w:rPr>
                      <w:rFonts w:hint="eastAsia"/>
                      <w:sz w:val="21"/>
                      <w:szCs w:val="21"/>
                    </w:rPr>
                    <w:t>2.运用比较的方法研究各国学前教育的机构。</w:t>
                  </w:r>
                </w:p>
              </w:tc>
              <w:tc>
                <w:tcPr>
                  <w:tcW w:w="2065" w:type="dxa"/>
                  <w:vAlign w:val="center"/>
                </w:tcPr>
                <w:p w14:paraId="2A7D3BF8">
                  <w:pPr>
                    <w:snapToGrid w:val="0"/>
                    <w:spacing w:line="288" w:lineRule="auto"/>
                    <w:ind w:right="26"/>
                    <w:rPr>
                      <w:rFonts w:hint="eastAsia"/>
                      <w:sz w:val="21"/>
                      <w:szCs w:val="21"/>
                    </w:rPr>
                  </w:pPr>
                  <w:r>
                    <w:rPr>
                      <w:rFonts w:hint="eastAsia"/>
                      <w:sz w:val="21"/>
                      <w:szCs w:val="21"/>
                    </w:rPr>
                    <w:t>运用比较的方法研究各国学前教育的机构。</w:t>
                  </w:r>
                </w:p>
              </w:tc>
            </w:tr>
            <w:tr w14:paraId="6D75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7C912FAA">
                  <w:pPr>
                    <w:snapToGrid w:val="0"/>
                    <w:spacing w:line="288" w:lineRule="auto"/>
                    <w:ind w:right="26"/>
                    <w:rPr>
                      <w:rFonts w:hint="eastAsia"/>
                      <w:sz w:val="21"/>
                      <w:szCs w:val="21"/>
                    </w:rPr>
                  </w:pPr>
                  <w:r>
                    <w:rPr>
                      <w:rFonts w:hint="eastAsia"/>
                      <w:sz w:val="21"/>
                      <w:szCs w:val="21"/>
                    </w:rPr>
                    <w:t>第八单元</w:t>
                  </w:r>
                </w:p>
                <w:p w14:paraId="767CE351">
                  <w:pPr>
                    <w:snapToGrid w:val="0"/>
                    <w:spacing w:line="288" w:lineRule="auto"/>
                    <w:ind w:right="26"/>
                    <w:rPr>
                      <w:rFonts w:hint="eastAsia"/>
                      <w:sz w:val="21"/>
                      <w:szCs w:val="21"/>
                    </w:rPr>
                  </w:pPr>
                  <w:r>
                    <w:rPr>
                      <w:rFonts w:hint="eastAsia"/>
                      <w:sz w:val="21"/>
                      <w:szCs w:val="21"/>
                    </w:rPr>
                    <w:t>学前教育课程的比较</w:t>
                  </w:r>
                </w:p>
              </w:tc>
              <w:tc>
                <w:tcPr>
                  <w:tcW w:w="2067" w:type="dxa"/>
                  <w:vAlign w:val="center"/>
                </w:tcPr>
                <w:p w14:paraId="7F84F3EA">
                  <w:pPr>
                    <w:snapToGrid w:val="0"/>
                    <w:spacing w:line="288" w:lineRule="auto"/>
                    <w:ind w:right="26"/>
                    <w:rPr>
                      <w:rFonts w:hint="eastAsia"/>
                      <w:sz w:val="21"/>
                      <w:szCs w:val="21"/>
                    </w:rPr>
                  </w:pPr>
                  <w:r>
                    <w:rPr>
                      <w:rFonts w:hint="eastAsia"/>
                      <w:sz w:val="21"/>
                      <w:szCs w:val="21"/>
                    </w:rPr>
                    <w:t>1.当代西方著名的学前教育课程模式2.课程管理的比较与发展趋势</w:t>
                  </w:r>
                </w:p>
                <w:p w14:paraId="6806480B">
                  <w:pPr>
                    <w:snapToGrid w:val="0"/>
                    <w:spacing w:line="288" w:lineRule="auto"/>
                    <w:ind w:right="26"/>
                    <w:rPr>
                      <w:rFonts w:hint="eastAsia"/>
                      <w:sz w:val="21"/>
                      <w:szCs w:val="21"/>
                    </w:rPr>
                  </w:pPr>
                  <w:r>
                    <w:rPr>
                      <w:rFonts w:hint="eastAsia"/>
                      <w:sz w:val="21"/>
                      <w:szCs w:val="21"/>
                    </w:rPr>
                    <w:t xml:space="preserve">3.课程目标的比较与发展趋势 </w:t>
                  </w:r>
                </w:p>
                <w:p w14:paraId="67169C93">
                  <w:pPr>
                    <w:snapToGrid w:val="0"/>
                    <w:spacing w:line="288" w:lineRule="auto"/>
                    <w:ind w:right="26"/>
                    <w:rPr>
                      <w:rFonts w:hint="eastAsia"/>
                      <w:sz w:val="21"/>
                      <w:szCs w:val="21"/>
                    </w:rPr>
                  </w:pPr>
                  <w:r>
                    <w:rPr>
                      <w:rFonts w:hint="eastAsia"/>
                      <w:sz w:val="21"/>
                      <w:szCs w:val="21"/>
                    </w:rPr>
                    <w:t xml:space="preserve">4.课程内容的比较与发展趋势 </w:t>
                  </w:r>
                </w:p>
                <w:p w14:paraId="30299ED3">
                  <w:pPr>
                    <w:snapToGrid w:val="0"/>
                    <w:spacing w:line="288" w:lineRule="auto"/>
                    <w:ind w:right="26"/>
                    <w:rPr>
                      <w:rFonts w:hint="eastAsia"/>
                      <w:sz w:val="21"/>
                      <w:szCs w:val="21"/>
                    </w:rPr>
                  </w:pPr>
                  <w:r>
                    <w:rPr>
                      <w:rFonts w:hint="eastAsia"/>
                      <w:sz w:val="21"/>
                      <w:szCs w:val="21"/>
                    </w:rPr>
                    <w:t>5.课程实施的比较与发展趋势</w:t>
                  </w:r>
                </w:p>
              </w:tc>
              <w:tc>
                <w:tcPr>
                  <w:tcW w:w="2065" w:type="dxa"/>
                  <w:vAlign w:val="center"/>
                </w:tcPr>
                <w:p w14:paraId="1D45E07C">
                  <w:pPr>
                    <w:snapToGrid w:val="0"/>
                    <w:spacing w:line="288" w:lineRule="auto"/>
                    <w:ind w:right="26"/>
                    <w:rPr>
                      <w:rFonts w:hint="eastAsia"/>
                      <w:sz w:val="21"/>
                      <w:szCs w:val="21"/>
                    </w:rPr>
                  </w:pPr>
                  <w:r>
                    <w:rPr>
                      <w:rFonts w:hint="eastAsia"/>
                      <w:sz w:val="21"/>
                      <w:szCs w:val="21"/>
                    </w:rPr>
                    <w:t>1.掌握并比较当代西方著名的学前教育课程模式（蒙台梭利课程模式、高瞻课程模式、瑞吉欧教育方案）</w:t>
                  </w:r>
                </w:p>
                <w:p w14:paraId="069A586F">
                  <w:pPr>
                    <w:snapToGrid w:val="0"/>
                    <w:spacing w:line="288" w:lineRule="auto"/>
                    <w:ind w:right="26"/>
                    <w:rPr>
                      <w:rFonts w:hint="eastAsia"/>
                      <w:sz w:val="21"/>
                      <w:szCs w:val="21"/>
                    </w:rPr>
                  </w:pPr>
                  <w:r>
                    <w:rPr>
                      <w:rFonts w:hint="eastAsia"/>
                      <w:sz w:val="21"/>
                      <w:szCs w:val="21"/>
                    </w:rPr>
                    <w:t>2.理解学前教育课程管理、课程目标、课程内容与课程实施的比较与发展趋势。</w:t>
                  </w:r>
                </w:p>
                <w:p w14:paraId="47BEDCFE">
                  <w:pPr>
                    <w:snapToGrid w:val="0"/>
                    <w:spacing w:line="288" w:lineRule="auto"/>
                    <w:ind w:right="26"/>
                    <w:rPr>
                      <w:rFonts w:hint="eastAsia"/>
                      <w:sz w:val="21"/>
                      <w:szCs w:val="21"/>
                    </w:rPr>
                  </w:pPr>
                </w:p>
              </w:tc>
              <w:tc>
                <w:tcPr>
                  <w:tcW w:w="2065" w:type="dxa"/>
                  <w:vAlign w:val="center"/>
                </w:tcPr>
                <w:p w14:paraId="3CF95A16">
                  <w:pPr>
                    <w:snapToGrid w:val="0"/>
                    <w:spacing w:line="288" w:lineRule="auto"/>
                    <w:ind w:right="26"/>
                    <w:rPr>
                      <w:rFonts w:hint="eastAsia"/>
                      <w:sz w:val="21"/>
                      <w:szCs w:val="21"/>
                    </w:rPr>
                  </w:pPr>
                  <w:r>
                    <w:rPr>
                      <w:rFonts w:hint="eastAsia"/>
                      <w:sz w:val="21"/>
                      <w:szCs w:val="21"/>
                    </w:rPr>
                    <w:t>掌握并比较当代西方著名的学前教育课程模式（蒙台梭利课程模式、高瞻课程模式、瑞吉欧教育方案）</w:t>
                  </w:r>
                </w:p>
                <w:p w14:paraId="0030DC09">
                  <w:pPr>
                    <w:snapToGrid w:val="0"/>
                    <w:spacing w:line="288" w:lineRule="auto"/>
                    <w:ind w:right="26"/>
                    <w:rPr>
                      <w:rFonts w:hint="eastAsia"/>
                      <w:sz w:val="21"/>
                      <w:szCs w:val="21"/>
                    </w:rPr>
                  </w:pPr>
                </w:p>
              </w:tc>
            </w:tr>
            <w:tr w14:paraId="0CBA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7DEAF143">
                  <w:pPr>
                    <w:snapToGrid w:val="0"/>
                    <w:spacing w:line="288" w:lineRule="auto"/>
                    <w:ind w:right="26"/>
                    <w:rPr>
                      <w:rFonts w:hint="eastAsia"/>
                      <w:sz w:val="21"/>
                      <w:szCs w:val="21"/>
                    </w:rPr>
                  </w:pPr>
                  <w:r>
                    <w:rPr>
                      <w:rFonts w:hint="eastAsia"/>
                      <w:sz w:val="21"/>
                      <w:szCs w:val="21"/>
                    </w:rPr>
                    <w:t>第九单元</w:t>
                  </w:r>
                </w:p>
                <w:p w14:paraId="2C43F436">
                  <w:pPr>
                    <w:snapToGrid w:val="0"/>
                    <w:spacing w:line="288" w:lineRule="auto"/>
                    <w:ind w:right="26"/>
                    <w:rPr>
                      <w:rFonts w:hint="eastAsia"/>
                      <w:sz w:val="21"/>
                      <w:szCs w:val="21"/>
                    </w:rPr>
                  </w:pPr>
                  <w:r>
                    <w:rPr>
                      <w:rFonts w:hint="eastAsia"/>
                      <w:sz w:val="21"/>
                      <w:szCs w:val="21"/>
                    </w:rPr>
                    <w:t>学前教师教育的比较</w:t>
                  </w:r>
                </w:p>
              </w:tc>
              <w:tc>
                <w:tcPr>
                  <w:tcW w:w="2067" w:type="dxa"/>
                  <w:vAlign w:val="center"/>
                </w:tcPr>
                <w:p w14:paraId="1FF2E910">
                  <w:pPr>
                    <w:snapToGrid w:val="0"/>
                    <w:spacing w:line="288" w:lineRule="auto"/>
                    <w:ind w:right="26"/>
                    <w:rPr>
                      <w:rFonts w:hint="eastAsia"/>
                      <w:sz w:val="21"/>
                      <w:szCs w:val="21"/>
                    </w:rPr>
                  </w:pPr>
                  <w:r>
                    <w:rPr>
                      <w:rFonts w:hint="eastAsia"/>
                      <w:sz w:val="21"/>
                      <w:szCs w:val="21"/>
                    </w:rPr>
                    <w:t>1.学前教师职前培养制度比较</w:t>
                  </w:r>
                </w:p>
                <w:p w14:paraId="45FC948F">
                  <w:pPr>
                    <w:snapToGrid w:val="0"/>
                    <w:spacing w:line="288" w:lineRule="auto"/>
                    <w:ind w:right="26"/>
                    <w:rPr>
                      <w:rFonts w:hint="eastAsia"/>
                      <w:sz w:val="21"/>
                      <w:szCs w:val="21"/>
                    </w:rPr>
                  </w:pPr>
                  <w:r>
                    <w:rPr>
                      <w:rFonts w:hint="eastAsia"/>
                      <w:sz w:val="21"/>
                      <w:szCs w:val="21"/>
                    </w:rPr>
                    <w:t>2.学前教师任用制度比较</w:t>
                  </w:r>
                </w:p>
              </w:tc>
              <w:tc>
                <w:tcPr>
                  <w:tcW w:w="2065" w:type="dxa"/>
                  <w:vAlign w:val="center"/>
                </w:tcPr>
                <w:p w14:paraId="3AB10D51">
                  <w:pPr>
                    <w:snapToGrid w:val="0"/>
                    <w:spacing w:line="288" w:lineRule="auto"/>
                    <w:ind w:right="26"/>
                    <w:rPr>
                      <w:rFonts w:hint="eastAsia"/>
                      <w:sz w:val="21"/>
                      <w:szCs w:val="21"/>
                    </w:rPr>
                  </w:pPr>
                  <w:r>
                    <w:rPr>
                      <w:rFonts w:hint="eastAsia"/>
                      <w:sz w:val="21"/>
                      <w:szCs w:val="21"/>
                    </w:rPr>
                    <w:t>1.从学前教师职前培养机构、培养课程方面比较职前培养制度，总结学前教师教育培养制度的发展趋势</w:t>
                  </w:r>
                </w:p>
                <w:p w14:paraId="05DBFCBB">
                  <w:pPr>
                    <w:snapToGrid w:val="0"/>
                    <w:spacing w:line="288" w:lineRule="auto"/>
                    <w:ind w:right="26"/>
                    <w:rPr>
                      <w:rFonts w:hint="eastAsia"/>
                      <w:sz w:val="21"/>
                      <w:szCs w:val="21"/>
                    </w:rPr>
                  </w:pPr>
                  <w:r>
                    <w:rPr>
                      <w:rFonts w:hint="eastAsia"/>
                      <w:sz w:val="21"/>
                      <w:szCs w:val="21"/>
                    </w:rPr>
                    <w:t>2.从幼儿教师职业准入标准、资格证书制度方面比较学前教师任用制度</w:t>
                  </w:r>
                </w:p>
              </w:tc>
              <w:tc>
                <w:tcPr>
                  <w:tcW w:w="2065" w:type="dxa"/>
                  <w:vAlign w:val="center"/>
                </w:tcPr>
                <w:p w14:paraId="3EE0567C">
                  <w:pPr>
                    <w:snapToGrid w:val="0"/>
                    <w:spacing w:line="288" w:lineRule="auto"/>
                    <w:ind w:right="26"/>
                    <w:rPr>
                      <w:rFonts w:hint="eastAsia"/>
                      <w:sz w:val="21"/>
                      <w:szCs w:val="21"/>
                    </w:rPr>
                  </w:pPr>
                  <w:r>
                    <w:rPr>
                      <w:rFonts w:hint="eastAsia"/>
                      <w:sz w:val="21"/>
                      <w:szCs w:val="21"/>
                    </w:rPr>
                    <w:t>总结学前教师教育培养制度和任用制度的发展趋势</w:t>
                  </w:r>
                </w:p>
                <w:p w14:paraId="637B500C">
                  <w:pPr>
                    <w:snapToGrid w:val="0"/>
                    <w:spacing w:line="288" w:lineRule="auto"/>
                    <w:ind w:right="26"/>
                    <w:rPr>
                      <w:rFonts w:hint="eastAsia"/>
                      <w:sz w:val="21"/>
                      <w:szCs w:val="21"/>
                    </w:rPr>
                  </w:pPr>
                </w:p>
              </w:tc>
            </w:tr>
            <w:tr w14:paraId="79D8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7" w:type="dxa"/>
                  <w:vAlign w:val="center"/>
                </w:tcPr>
                <w:p w14:paraId="27A83F23">
                  <w:pPr>
                    <w:snapToGrid w:val="0"/>
                    <w:spacing w:line="288" w:lineRule="auto"/>
                    <w:ind w:right="26"/>
                    <w:rPr>
                      <w:rFonts w:hint="eastAsia"/>
                      <w:sz w:val="21"/>
                      <w:szCs w:val="21"/>
                    </w:rPr>
                  </w:pPr>
                  <w:r>
                    <w:rPr>
                      <w:rFonts w:hint="eastAsia"/>
                      <w:sz w:val="21"/>
                      <w:szCs w:val="21"/>
                    </w:rPr>
                    <w:t>第十单元</w:t>
                  </w:r>
                </w:p>
                <w:p w14:paraId="3B34F496">
                  <w:pPr>
                    <w:snapToGrid w:val="0"/>
                    <w:spacing w:line="288" w:lineRule="auto"/>
                    <w:ind w:right="26"/>
                    <w:rPr>
                      <w:rFonts w:hint="eastAsia"/>
                      <w:sz w:val="21"/>
                      <w:szCs w:val="21"/>
                    </w:rPr>
                  </w:pPr>
                  <w:r>
                    <w:rPr>
                      <w:rFonts w:hint="eastAsia"/>
                      <w:sz w:val="21"/>
                      <w:szCs w:val="21"/>
                    </w:rPr>
                    <w:t>世界学前教育发展的基本经验和趋势</w:t>
                  </w:r>
                </w:p>
                <w:p w14:paraId="7998036B">
                  <w:pPr>
                    <w:snapToGrid w:val="0"/>
                    <w:spacing w:line="288" w:lineRule="auto"/>
                    <w:ind w:right="26"/>
                    <w:rPr>
                      <w:rFonts w:hint="eastAsia"/>
                      <w:sz w:val="21"/>
                      <w:szCs w:val="21"/>
                    </w:rPr>
                  </w:pPr>
                </w:p>
              </w:tc>
              <w:tc>
                <w:tcPr>
                  <w:tcW w:w="2067" w:type="dxa"/>
                  <w:vAlign w:val="center"/>
                </w:tcPr>
                <w:p w14:paraId="57C81369">
                  <w:pPr>
                    <w:snapToGrid w:val="0"/>
                    <w:spacing w:line="288" w:lineRule="auto"/>
                    <w:ind w:right="26"/>
                    <w:rPr>
                      <w:rFonts w:hint="eastAsia"/>
                      <w:sz w:val="21"/>
                      <w:szCs w:val="21"/>
                    </w:rPr>
                  </w:pPr>
                  <w:r>
                    <w:rPr>
                      <w:sz w:val="21"/>
                      <w:szCs w:val="21"/>
                    </w:rPr>
                    <w:t>1.</w:t>
                  </w:r>
                  <w:r>
                    <w:rPr>
                      <w:rFonts w:hint="eastAsia"/>
                      <w:sz w:val="21"/>
                      <w:szCs w:val="21"/>
                    </w:rPr>
                    <w:t>世界学前教育发展的基本经验。</w:t>
                  </w:r>
                </w:p>
                <w:p w14:paraId="319D8095">
                  <w:pPr>
                    <w:snapToGrid w:val="0"/>
                    <w:spacing w:line="288" w:lineRule="auto"/>
                    <w:ind w:right="26"/>
                    <w:rPr>
                      <w:rFonts w:hint="eastAsia"/>
                      <w:sz w:val="21"/>
                      <w:szCs w:val="21"/>
                    </w:rPr>
                  </w:pPr>
                  <w:r>
                    <w:rPr>
                      <w:rFonts w:hint="eastAsia"/>
                      <w:sz w:val="21"/>
                      <w:szCs w:val="21"/>
                    </w:rPr>
                    <w:t>2</w:t>
                  </w:r>
                  <w:r>
                    <w:rPr>
                      <w:sz w:val="21"/>
                      <w:szCs w:val="21"/>
                    </w:rPr>
                    <w:t>.</w:t>
                  </w:r>
                  <w:r>
                    <w:rPr>
                      <w:rFonts w:hint="eastAsia"/>
                      <w:sz w:val="21"/>
                      <w:szCs w:val="21"/>
                    </w:rPr>
                    <w:t>世界学前教育面临的主要问题。</w:t>
                  </w:r>
                </w:p>
                <w:p w14:paraId="025A9B04">
                  <w:pPr>
                    <w:snapToGrid w:val="0"/>
                    <w:spacing w:line="288" w:lineRule="auto"/>
                    <w:ind w:right="26"/>
                    <w:rPr>
                      <w:rFonts w:hint="eastAsia"/>
                      <w:sz w:val="21"/>
                      <w:szCs w:val="21"/>
                    </w:rPr>
                  </w:pPr>
                  <w:r>
                    <w:rPr>
                      <w:sz w:val="21"/>
                      <w:szCs w:val="21"/>
                    </w:rPr>
                    <w:t>3.</w:t>
                  </w:r>
                  <w:r>
                    <w:rPr>
                      <w:rFonts w:hint="eastAsia"/>
                      <w:sz w:val="21"/>
                      <w:szCs w:val="21"/>
                    </w:rPr>
                    <w:t>世界学前教育发展的趋势。</w:t>
                  </w:r>
                </w:p>
              </w:tc>
              <w:tc>
                <w:tcPr>
                  <w:tcW w:w="2065" w:type="dxa"/>
                  <w:vAlign w:val="center"/>
                </w:tcPr>
                <w:p w14:paraId="68F9957C">
                  <w:pPr>
                    <w:snapToGrid w:val="0"/>
                    <w:spacing w:line="288" w:lineRule="auto"/>
                    <w:ind w:right="26"/>
                    <w:rPr>
                      <w:rFonts w:hint="eastAsia"/>
                      <w:sz w:val="21"/>
                      <w:szCs w:val="21"/>
                    </w:rPr>
                  </w:pPr>
                  <w:r>
                    <w:rPr>
                      <w:rFonts w:hint="eastAsia"/>
                      <w:sz w:val="21"/>
                      <w:szCs w:val="21"/>
                    </w:rPr>
                    <w:t>1</w:t>
                  </w:r>
                  <w:r>
                    <w:rPr>
                      <w:sz w:val="21"/>
                      <w:szCs w:val="21"/>
                    </w:rPr>
                    <w:t>.</w:t>
                  </w:r>
                  <w:r>
                    <w:rPr>
                      <w:rFonts w:hint="eastAsia"/>
                      <w:sz w:val="21"/>
                      <w:szCs w:val="21"/>
                    </w:rPr>
                    <w:t>总结世界学前教育发展的基本经验</w:t>
                  </w:r>
                </w:p>
                <w:p w14:paraId="49E89642">
                  <w:pPr>
                    <w:snapToGrid w:val="0"/>
                    <w:spacing w:line="288" w:lineRule="auto"/>
                    <w:ind w:right="26"/>
                    <w:rPr>
                      <w:rFonts w:hint="eastAsia"/>
                      <w:sz w:val="21"/>
                      <w:szCs w:val="21"/>
                    </w:rPr>
                  </w:pPr>
                  <w:r>
                    <w:rPr>
                      <w:rFonts w:hint="eastAsia"/>
                      <w:sz w:val="21"/>
                      <w:szCs w:val="21"/>
                    </w:rPr>
                    <w:t>2</w:t>
                  </w:r>
                  <w:r>
                    <w:rPr>
                      <w:sz w:val="21"/>
                      <w:szCs w:val="21"/>
                    </w:rPr>
                    <w:t>.</w:t>
                  </w:r>
                  <w:r>
                    <w:rPr>
                      <w:rFonts w:hint="eastAsia"/>
                      <w:sz w:val="21"/>
                      <w:szCs w:val="21"/>
                    </w:rPr>
                    <w:t>理解世界学前教育面临的主要问题和未来发展的趋势。</w:t>
                  </w:r>
                </w:p>
              </w:tc>
              <w:tc>
                <w:tcPr>
                  <w:tcW w:w="2065" w:type="dxa"/>
                  <w:vAlign w:val="center"/>
                </w:tcPr>
                <w:p w14:paraId="7AD93525">
                  <w:pPr>
                    <w:snapToGrid w:val="0"/>
                    <w:spacing w:line="288" w:lineRule="auto"/>
                    <w:ind w:right="26"/>
                    <w:rPr>
                      <w:rFonts w:hint="eastAsia"/>
                      <w:sz w:val="21"/>
                      <w:szCs w:val="21"/>
                    </w:rPr>
                  </w:pPr>
                  <w:r>
                    <w:rPr>
                      <w:rFonts w:hint="eastAsia"/>
                      <w:sz w:val="21"/>
                      <w:szCs w:val="21"/>
                    </w:rPr>
                    <w:t>认识世界学前教育发展的基本经验和趋势。</w:t>
                  </w:r>
                </w:p>
              </w:tc>
            </w:tr>
          </w:tbl>
          <w:p w14:paraId="66AAA043">
            <w:pPr>
              <w:pStyle w:val="14"/>
              <w:widowControl w:val="0"/>
              <w:jc w:val="left"/>
              <w:rPr>
                <w:rFonts w:hint="eastAsia" w:ascii="仿宋" w:hAnsi="仿宋" w:eastAsia="仿宋" w:cs="仿宋"/>
              </w:rPr>
            </w:pPr>
          </w:p>
        </w:tc>
      </w:tr>
      <w:bookmarkEnd w:id="0"/>
      <w:bookmarkEnd w:id="1"/>
    </w:tbl>
    <w:p w14:paraId="52354DC4">
      <w:pPr>
        <w:pStyle w:val="17"/>
        <w:spacing w:before="81" w:after="163"/>
      </w:pPr>
      <w:r>
        <w:rPr>
          <w:rFonts w:hint="eastAsia"/>
        </w:rPr>
        <w:t>（二）教学单元对课程目标的支撑关系</w:t>
      </w:r>
    </w:p>
    <w:tbl>
      <w:tblPr>
        <w:tblStyle w:val="7"/>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045"/>
        <w:gridCol w:w="1451"/>
        <w:gridCol w:w="1305"/>
        <w:gridCol w:w="1361"/>
        <w:gridCol w:w="136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5" w:hRule="atLeast"/>
          <w:jc w:val="center"/>
        </w:trPr>
        <w:tc>
          <w:tcPr>
            <w:tcW w:w="3954"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418" w:type="dxa"/>
            <w:tcBorders>
              <w:top w:val="single" w:color="auto" w:sz="12" w:space="0"/>
            </w:tcBorders>
            <w:vAlign w:val="center"/>
          </w:tcPr>
          <w:p w14:paraId="6598841B">
            <w:pPr>
              <w:pStyle w:val="13"/>
              <w:rPr>
                <w:szCs w:val="16"/>
              </w:rPr>
            </w:pPr>
            <w:r>
              <w:rPr>
                <w:rFonts w:hint="eastAsia"/>
                <w:szCs w:val="16"/>
              </w:rPr>
              <w:t>1</w:t>
            </w:r>
          </w:p>
        </w:tc>
        <w:tc>
          <w:tcPr>
            <w:tcW w:w="1276" w:type="dxa"/>
            <w:tcBorders>
              <w:top w:val="single" w:color="auto" w:sz="12" w:space="0"/>
            </w:tcBorders>
            <w:vAlign w:val="center"/>
          </w:tcPr>
          <w:p w14:paraId="5609833D">
            <w:pPr>
              <w:pStyle w:val="13"/>
              <w:rPr>
                <w:szCs w:val="16"/>
              </w:rPr>
            </w:pPr>
            <w:r>
              <w:rPr>
                <w:rFonts w:hint="eastAsia"/>
                <w:szCs w:val="16"/>
              </w:rPr>
              <w:t>2</w:t>
            </w:r>
          </w:p>
        </w:tc>
        <w:tc>
          <w:tcPr>
            <w:tcW w:w="1330" w:type="dxa"/>
            <w:tcBorders>
              <w:top w:val="single" w:color="auto" w:sz="12" w:space="0"/>
            </w:tcBorders>
            <w:vAlign w:val="center"/>
          </w:tcPr>
          <w:p w14:paraId="23C6C844">
            <w:pPr>
              <w:pStyle w:val="13"/>
              <w:rPr>
                <w:szCs w:val="16"/>
              </w:rPr>
            </w:pPr>
            <w:r>
              <w:rPr>
                <w:rFonts w:hint="eastAsia"/>
                <w:szCs w:val="16"/>
              </w:rPr>
              <w:t>3</w:t>
            </w:r>
          </w:p>
        </w:tc>
        <w:tc>
          <w:tcPr>
            <w:tcW w:w="1330" w:type="dxa"/>
            <w:tcBorders>
              <w:top w:val="single" w:color="auto" w:sz="12" w:space="0"/>
            </w:tcBorders>
          </w:tcPr>
          <w:p w14:paraId="459FD45E">
            <w:pPr>
              <w:pStyle w:val="13"/>
              <w:rPr>
                <w:szCs w:val="16"/>
              </w:rPr>
            </w:pPr>
          </w:p>
          <w:p w14:paraId="3E782423">
            <w:pPr>
              <w:pStyle w:val="13"/>
              <w:ind w:firstLine="630" w:firstLineChars="300"/>
              <w:jc w:val="left"/>
              <w:rPr>
                <w:szCs w:val="16"/>
              </w:rPr>
            </w:pPr>
            <w:r>
              <w:rPr>
                <w:rFonts w:hint="eastAsia"/>
                <w:szCs w:val="16"/>
              </w:rPr>
              <w:t>4</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82" w:hRule="atLeast"/>
          <w:jc w:val="center"/>
        </w:trPr>
        <w:tc>
          <w:tcPr>
            <w:tcW w:w="3954" w:type="dxa"/>
            <w:tcBorders>
              <w:left w:val="single" w:color="auto" w:sz="12" w:space="0"/>
            </w:tcBorders>
          </w:tcPr>
          <w:p w14:paraId="2FBDDB88">
            <w:pPr>
              <w:snapToGrid w:val="0"/>
              <w:spacing w:line="288" w:lineRule="auto"/>
              <w:ind w:right="26"/>
              <w:rPr>
                <w:rFonts w:hint="eastAsia"/>
                <w:sz w:val="21"/>
                <w:szCs w:val="21"/>
              </w:rPr>
            </w:pPr>
            <w:bookmarkStart w:id="2" w:name="_Hlk155548002"/>
            <w:r>
              <w:rPr>
                <w:rFonts w:hint="eastAsia" w:cs="Tahoma"/>
                <w:sz w:val="21"/>
                <w:szCs w:val="21"/>
                <w:shd w:val="clear" w:color="auto" w:fill="FFFFFF"/>
              </w:rPr>
              <w:t>绪论</w:t>
            </w:r>
          </w:p>
        </w:tc>
        <w:tc>
          <w:tcPr>
            <w:tcW w:w="1418" w:type="dxa"/>
            <w:vAlign w:val="center"/>
          </w:tcPr>
          <w:p w14:paraId="786ED503">
            <w:pPr>
              <w:pStyle w:val="14"/>
            </w:pPr>
          </w:p>
        </w:tc>
        <w:tc>
          <w:tcPr>
            <w:tcW w:w="1276" w:type="dxa"/>
            <w:vAlign w:val="center"/>
          </w:tcPr>
          <w:p w14:paraId="37943175">
            <w:pPr>
              <w:pStyle w:val="14"/>
            </w:pPr>
          </w:p>
        </w:tc>
        <w:tc>
          <w:tcPr>
            <w:tcW w:w="1330" w:type="dxa"/>
            <w:vAlign w:val="center"/>
          </w:tcPr>
          <w:p w14:paraId="68F1D2A4">
            <w:pPr>
              <w:pStyle w:val="14"/>
            </w:pPr>
          </w:p>
        </w:tc>
        <w:tc>
          <w:tcPr>
            <w:tcW w:w="1330" w:type="dxa"/>
          </w:tcPr>
          <w:p w14:paraId="3D5ABC2B">
            <w:pPr>
              <w:pStyle w:val="14"/>
            </w:pPr>
            <w:r>
              <w:rPr>
                <w:rFonts w:hint="eastAsia"/>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701C37F8">
            <w:pPr>
              <w:snapToGrid w:val="0"/>
              <w:spacing w:line="288" w:lineRule="auto"/>
              <w:ind w:right="26"/>
              <w:rPr>
                <w:rFonts w:hint="eastAsia"/>
                <w:sz w:val="21"/>
                <w:szCs w:val="21"/>
              </w:rPr>
            </w:pPr>
            <w:r>
              <w:rPr>
                <w:rFonts w:hint="eastAsia"/>
                <w:sz w:val="21"/>
                <w:szCs w:val="21"/>
              </w:rPr>
              <w:t>第一单元</w:t>
            </w:r>
          </w:p>
          <w:p w14:paraId="6E43803B">
            <w:pPr>
              <w:snapToGrid w:val="0"/>
              <w:spacing w:line="288" w:lineRule="auto"/>
              <w:ind w:right="26"/>
              <w:rPr>
                <w:rFonts w:hint="eastAsia"/>
                <w:sz w:val="21"/>
                <w:szCs w:val="21"/>
              </w:rPr>
            </w:pPr>
            <w:r>
              <w:rPr>
                <w:rFonts w:hint="eastAsia" w:cs="Tahoma"/>
                <w:sz w:val="21"/>
                <w:szCs w:val="21"/>
                <w:shd w:val="clear" w:color="auto" w:fill="FFFFFF"/>
              </w:rPr>
              <w:t>日本的学前教育</w:t>
            </w:r>
          </w:p>
        </w:tc>
        <w:tc>
          <w:tcPr>
            <w:tcW w:w="1418" w:type="dxa"/>
            <w:vAlign w:val="center"/>
          </w:tcPr>
          <w:p w14:paraId="3833F6F2">
            <w:pPr>
              <w:pStyle w:val="14"/>
            </w:pPr>
            <w:r>
              <w:rPr>
                <w:rFonts w:hint="eastAsia"/>
              </w:rPr>
              <w:t>√</w:t>
            </w:r>
          </w:p>
        </w:tc>
        <w:tc>
          <w:tcPr>
            <w:tcW w:w="1276" w:type="dxa"/>
            <w:vAlign w:val="center"/>
          </w:tcPr>
          <w:p w14:paraId="0FECAF07">
            <w:pPr>
              <w:pStyle w:val="14"/>
            </w:pPr>
            <w:r>
              <w:rPr>
                <w:rFonts w:hint="eastAsia"/>
              </w:rPr>
              <w:t>√</w:t>
            </w:r>
          </w:p>
        </w:tc>
        <w:tc>
          <w:tcPr>
            <w:tcW w:w="1330" w:type="dxa"/>
            <w:vAlign w:val="center"/>
          </w:tcPr>
          <w:p w14:paraId="22F64818">
            <w:pPr>
              <w:pStyle w:val="14"/>
            </w:pPr>
            <w:r>
              <w:rPr>
                <w:rFonts w:hint="eastAsia"/>
              </w:rPr>
              <w:t>√</w:t>
            </w:r>
          </w:p>
        </w:tc>
        <w:tc>
          <w:tcPr>
            <w:tcW w:w="1330" w:type="dxa"/>
          </w:tcPr>
          <w:p w14:paraId="3C26D1B6">
            <w:pPr>
              <w:pStyle w:val="14"/>
            </w:pP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3A61F50C">
            <w:pPr>
              <w:snapToGrid w:val="0"/>
              <w:spacing w:line="288" w:lineRule="auto"/>
              <w:ind w:right="26"/>
              <w:rPr>
                <w:rFonts w:hint="eastAsia"/>
                <w:sz w:val="21"/>
                <w:szCs w:val="21"/>
              </w:rPr>
            </w:pPr>
            <w:r>
              <w:rPr>
                <w:rFonts w:hint="eastAsia"/>
                <w:sz w:val="21"/>
                <w:szCs w:val="21"/>
              </w:rPr>
              <w:t>第二单元</w:t>
            </w:r>
          </w:p>
          <w:p w14:paraId="185B5B84">
            <w:pPr>
              <w:snapToGrid w:val="0"/>
              <w:spacing w:line="288" w:lineRule="auto"/>
              <w:ind w:right="26"/>
              <w:rPr>
                <w:rFonts w:hint="eastAsia"/>
                <w:sz w:val="21"/>
                <w:szCs w:val="21"/>
              </w:rPr>
            </w:pPr>
            <w:r>
              <w:rPr>
                <w:rFonts w:hint="eastAsia" w:cs="Tahoma"/>
                <w:sz w:val="21"/>
                <w:szCs w:val="21"/>
                <w:shd w:val="clear" w:color="auto" w:fill="FFFFFF"/>
              </w:rPr>
              <w:t>英国的学前教育</w:t>
            </w:r>
          </w:p>
        </w:tc>
        <w:tc>
          <w:tcPr>
            <w:tcW w:w="1418" w:type="dxa"/>
            <w:vAlign w:val="center"/>
          </w:tcPr>
          <w:p w14:paraId="4DEA4A96">
            <w:pPr>
              <w:pStyle w:val="14"/>
            </w:pPr>
            <w:r>
              <w:rPr>
                <w:rFonts w:hint="eastAsia"/>
              </w:rPr>
              <w:t>√</w:t>
            </w:r>
          </w:p>
        </w:tc>
        <w:tc>
          <w:tcPr>
            <w:tcW w:w="1276" w:type="dxa"/>
            <w:vAlign w:val="center"/>
          </w:tcPr>
          <w:p w14:paraId="4804FEF4">
            <w:pPr>
              <w:pStyle w:val="14"/>
            </w:pPr>
            <w:r>
              <w:rPr>
                <w:rFonts w:hint="eastAsia"/>
              </w:rPr>
              <w:t>√</w:t>
            </w:r>
          </w:p>
        </w:tc>
        <w:tc>
          <w:tcPr>
            <w:tcW w:w="1330" w:type="dxa"/>
            <w:vAlign w:val="center"/>
          </w:tcPr>
          <w:p w14:paraId="5E7FFDC7">
            <w:pPr>
              <w:pStyle w:val="14"/>
            </w:pPr>
            <w:r>
              <w:rPr>
                <w:rFonts w:hint="eastAsia"/>
              </w:rPr>
              <w:t>√</w:t>
            </w:r>
          </w:p>
        </w:tc>
        <w:tc>
          <w:tcPr>
            <w:tcW w:w="1330" w:type="dxa"/>
          </w:tcPr>
          <w:p w14:paraId="3E233051">
            <w:pPr>
              <w:pStyle w:val="14"/>
            </w:pPr>
          </w:p>
        </w:tc>
      </w:tr>
      <w:tr w14:paraId="40F7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77361D1B">
            <w:pPr>
              <w:snapToGrid w:val="0"/>
              <w:spacing w:line="288" w:lineRule="auto"/>
              <w:ind w:right="26"/>
              <w:rPr>
                <w:rFonts w:hint="eastAsia"/>
                <w:sz w:val="21"/>
                <w:szCs w:val="21"/>
              </w:rPr>
            </w:pPr>
            <w:r>
              <w:rPr>
                <w:rFonts w:hint="eastAsia"/>
                <w:sz w:val="21"/>
                <w:szCs w:val="21"/>
              </w:rPr>
              <w:t>第三单元</w:t>
            </w:r>
          </w:p>
          <w:p w14:paraId="63704C22">
            <w:pPr>
              <w:snapToGrid w:val="0"/>
              <w:spacing w:line="288" w:lineRule="auto"/>
              <w:ind w:right="26"/>
              <w:rPr>
                <w:rFonts w:hint="eastAsia"/>
                <w:sz w:val="21"/>
                <w:szCs w:val="21"/>
              </w:rPr>
            </w:pPr>
            <w:r>
              <w:rPr>
                <w:rFonts w:hint="eastAsia" w:cs="Tahoma"/>
                <w:sz w:val="21"/>
                <w:szCs w:val="21"/>
                <w:shd w:val="clear" w:color="auto" w:fill="FFFFFF"/>
              </w:rPr>
              <w:t>美国的学前教育</w:t>
            </w:r>
          </w:p>
        </w:tc>
        <w:tc>
          <w:tcPr>
            <w:tcW w:w="1418" w:type="dxa"/>
            <w:vAlign w:val="center"/>
          </w:tcPr>
          <w:p w14:paraId="66259169">
            <w:pPr>
              <w:pStyle w:val="14"/>
            </w:pPr>
            <w:r>
              <w:rPr>
                <w:rFonts w:hint="eastAsia"/>
              </w:rPr>
              <w:t>√</w:t>
            </w:r>
          </w:p>
        </w:tc>
        <w:tc>
          <w:tcPr>
            <w:tcW w:w="1276" w:type="dxa"/>
            <w:vAlign w:val="center"/>
          </w:tcPr>
          <w:p w14:paraId="4A4859E9">
            <w:pPr>
              <w:pStyle w:val="14"/>
            </w:pPr>
            <w:r>
              <w:rPr>
                <w:rFonts w:hint="eastAsia"/>
              </w:rPr>
              <w:t>√</w:t>
            </w:r>
          </w:p>
        </w:tc>
        <w:tc>
          <w:tcPr>
            <w:tcW w:w="1330" w:type="dxa"/>
            <w:vAlign w:val="center"/>
          </w:tcPr>
          <w:p w14:paraId="54AE27A5">
            <w:pPr>
              <w:pStyle w:val="14"/>
            </w:pPr>
            <w:r>
              <w:rPr>
                <w:rFonts w:hint="eastAsia"/>
              </w:rPr>
              <w:t>√</w:t>
            </w:r>
          </w:p>
        </w:tc>
        <w:tc>
          <w:tcPr>
            <w:tcW w:w="1330" w:type="dxa"/>
          </w:tcPr>
          <w:p w14:paraId="3ACFB223">
            <w:pPr>
              <w:pStyle w:val="14"/>
            </w:pPr>
          </w:p>
        </w:tc>
      </w:tr>
      <w:bookmarkEnd w:id="2"/>
      <w:tr w14:paraId="1F22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67D67F2F">
            <w:pPr>
              <w:snapToGrid w:val="0"/>
              <w:spacing w:line="288" w:lineRule="auto"/>
              <w:ind w:right="26"/>
              <w:rPr>
                <w:rFonts w:hint="eastAsia"/>
                <w:sz w:val="21"/>
                <w:szCs w:val="21"/>
                <w:shd w:val="clear" w:color="auto" w:fill="FFFFFF"/>
              </w:rPr>
            </w:pPr>
            <w:r>
              <w:rPr>
                <w:rFonts w:hint="eastAsia"/>
                <w:sz w:val="21"/>
                <w:szCs w:val="21"/>
              </w:rPr>
              <w:t>第四单元</w:t>
            </w:r>
          </w:p>
          <w:p w14:paraId="4376372F">
            <w:pPr>
              <w:snapToGrid w:val="0"/>
              <w:spacing w:line="288" w:lineRule="auto"/>
              <w:ind w:right="26"/>
              <w:rPr>
                <w:rFonts w:hint="eastAsia"/>
                <w:sz w:val="21"/>
                <w:szCs w:val="21"/>
              </w:rPr>
            </w:pPr>
            <w:r>
              <w:rPr>
                <w:rFonts w:hint="eastAsia" w:cs="Tahoma"/>
                <w:sz w:val="21"/>
                <w:szCs w:val="21"/>
                <w:shd w:val="clear" w:color="auto" w:fill="FFFFFF"/>
              </w:rPr>
              <w:t>德国的学前教育</w:t>
            </w:r>
          </w:p>
        </w:tc>
        <w:tc>
          <w:tcPr>
            <w:tcW w:w="1418" w:type="dxa"/>
            <w:vAlign w:val="center"/>
          </w:tcPr>
          <w:p w14:paraId="292FE0F7">
            <w:pPr>
              <w:pStyle w:val="14"/>
            </w:pPr>
            <w:r>
              <w:rPr>
                <w:rFonts w:hint="eastAsia"/>
              </w:rPr>
              <w:t>√</w:t>
            </w:r>
          </w:p>
        </w:tc>
        <w:tc>
          <w:tcPr>
            <w:tcW w:w="1276" w:type="dxa"/>
            <w:vAlign w:val="center"/>
          </w:tcPr>
          <w:p w14:paraId="2CD623DF">
            <w:pPr>
              <w:pStyle w:val="14"/>
            </w:pPr>
            <w:r>
              <w:rPr>
                <w:rFonts w:hint="eastAsia"/>
              </w:rPr>
              <w:t>√</w:t>
            </w:r>
          </w:p>
        </w:tc>
        <w:tc>
          <w:tcPr>
            <w:tcW w:w="1330" w:type="dxa"/>
            <w:vAlign w:val="center"/>
          </w:tcPr>
          <w:p w14:paraId="2E2AE812">
            <w:pPr>
              <w:pStyle w:val="14"/>
            </w:pPr>
            <w:r>
              <w:rPr>
                <w:rFonts w:hint="eastAsia"/>
              </w:rPr>
              <w:t>√</w:t>
            </w:r>
          </w:p>
        </w:tc>
        <w:tc>
          <w:tcPr>
            <w:tcW w:w="1330" w:type="dxa"/>
          </w:tcPr>
          <w:p w14:paraId="71265A3D">
            <w:pPr>
              <w:pStyle w:val="14"/>
            </w:pPr>
          </w:p>
        </w:tc>
      </w:tr>
      <w:tr w14:paraId="691D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3DD951FE">
            <w:pPr>
              <w:snapToGrid w:val="0"/>
              <w:spacing w:line="288" w:lineRule="auto"/>
              <w:ind w:right="26"/>
              <w:rPr>
                <w:rFonts w:hint="eastAsia"/>
                <w:sz w:val="21"/>
                <w:szCs w:val="21"/>
                <w:shd w:val="clear" w:color="auto" w:fill="FFFFFF"/>
              </w:rPr>
            </w:pPr>
            <w:r>
              <w:rPr>
                <w:rFonts w:hint="eastAsia"/>
                <w:sz w:val="21"/>
                <w:szCs w:val="21"/>
              </w:rPr>
              <w:t>第五单元</w:t>
            </w:r>
          </w:p>
          <w:p w14:paraId="5B006867">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芬兰的学前教育</w:t>
            </w:r>
          </w:p>
        </w:tc>
        <w:tc>
          <w:tcPr>
            <w:tcW w:w="1418" w:type="dxa"/>
            <w:vAlign w:val="center"/>
          </w:tcPr>
          <w:p w14:paraId="39B211C8">
            <w:pPr>
              <w:pStyle w:val="14"/>
            </w:pPr>
            <w:r>
              <w:rPr>
                <w:rFonts w:hint="eastAsia"/>
              </w:rPr>
              <w:t>√</w:t>
            </w:r>
          </w:p>
        </w:tc>
        <w:tc>
          <w:tcPr>
            <w:tcW w:w="1276" w:type="dxa"/>
            <w:vAlign w:val="center"/>
          </w:tcPr>
          <w:p w14:paraId="7F6101BD">
            <w:pPr>
              <w:pStyle w:val="14"/>
            </w:pPr>
            <w:r>
              <w:rPr>
                <w:rFonts w:hint="eastAsia"/>
              </w:rPr>
              <w:t>√</w:t>
            </w:r>
          </w:p>
        </w:tc>
        <w:tc>
          <w:tcPr>
            <w:tcW w:w="1330" w:type="dxa"/>
            <w:vAlign w:val="center"/>
          </w:tcPr>
          <w:p w14:paraId="478CB8EE">
            <w:pPr>
              <w:pStyle w:val="14"/>
            </w:pPr>
            <w:r>
              <w:rPr>
                <w:rFonts w:hint="eastAsia"/>
              </w:rPr>
              <w:t>√</w:t>
            </w:r>
          </w:p>
        </w:tc>
        <w:tc>
          <w:tcPr>
            <w:tcW w:w="1330" w:type="dxa"/>
          </w:tcPr>
          <w:p w14:paraId="07D60D81">
            <w:pPr>
              <w:pStyle w:val="14"/>
            </w:pPr>
          </w:p>
        </w:tc>
      </w:tr>
      <w:tr w14:paraId="3AF6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1C9DCAAC">
            <w:pPr>
              <w:snapToGrid w:val="0"/>
              <w:spacing w:line="288" w:lineRule="auto"/>
              <w:ind w:right="26"/>
              <w:rPr>
                <w:rFonts w:hint="eastAsia"/>
                <w:sz w:val="21"/>
                <w:szCs w:val="21"/>
              </w:rPr>
            </w:pPr>
            <w:r>
              <w:rPr>
                <w:rFonts w:hint="eastAsia"/>
                <w:sz w:val="21"/>
                <w:szCs w:val="21"/>
              </w:rPr>
              <w:t>第六单元</w:t>
            </w:r>
          </w:p>
          <w:p w14:paraId="02962CC5">
            <w:pPr>
              <w:snapToGrid w:val="0"/>
              <w:spacing w:line="288" w:lineRule="auto"/>
              <w:ind w:right="26"/>
              <w:rPr>
                <w:rFonts w:hint="eastAsia" w:cs="Tahoma"/>
                <w:sz w:val="21"/>
                <w:szCs w:val="21"/>
                <w:shd w:val="clear" w:color="auto" w:fill="FFFFFF"/>
              </w:rPr>
            </w:pPr>
            <w:r>
              <w:rPr>
                <w:rFonts w:hint="eastAsia" w:cs="Tahoma"/>
                <w:sz w:val="21"/>
                <w:szCs w:val="21"/>
                <w:shd w:val="clear" w:color="auto" w:fill="FFFFFF"/>
              </w:rPr>
              <w:t>新西兰的学前教育</w:t>
            </w:r>
          </w:p>
        </w:tc>
        <w:tc>
          <w:tcPr>
            <w:tcW w:w="1418" w:type="dxa"/>
            <w:vAlign w:val="center"/>
          </w:tcPr>
          <w:p w14:paraId="56402275">
            <w:pPr>
              <w:pStyle w:val="14"/>
            </w:pPr>
            <w:r>
              <w:rPr>
                <w:rFonts w:hint="eastAsia"/>
              </w:rPr>
              <w:t>√</w:t>
            </w:r>
          </w:p>
        </w:tc>
        <w:tc>
          <w:tcPr>
            <w:tcW w:w="1276" w:type="dxa"/>
            <w:vAlign w:val="center"/>
          </w:tcPr>
          <w:p w14:paraId="7576D8BD">
            <w:pPr>
              <w:pStyle w:val="14"/>
            </w:pPr>
            <w:r>
              <w:rPr>
                <w:rFonts w:hint="eastAsia"/>
              </w:rPr>
              <w:t>√</w:t>
            </w:r>
          </w:p>
        </w:tc>
        <w:tc>
          <w:tcPr>
            <w:tcW w:w="1330" w:type="dxa"/>
            <w:vAlign w:val="center"/>
          </w:tcPr>
          <w:p w14:paraId="6B65D3A0">
            <w:pPr>
              <w:pStyle w:val="14"/>
            </w:pPr>
            <w:r>
              <w:rPr>
                <w:rFonts w:hint="eastAsia"/>
              </w:rPr>
              <w:t>√</w:t>
            </w:r>
          </w:p>
        </w:tc>
        <w:tc>
          <w:tcPr>
            <w:tcW w:w="1330" w:type="dxa"/>
          </w:tcPr>
          <w:p w14:paraId="1745A769">
            <w:pPr>
              <w:pStyle w:val="14"/>
            </w:pPr>
          </w:p>
        </w:tc>
      </w:tr>
      <w:tr w14:paraId="013E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09A4999A">
            <w:pPr>
              <w:snapToGrid w:val="0"/>
              <w:spacing w:line="288" w:lineRule="auto"/>
              <w:ind w:right="26"/>
              <w:rPr>
                <w:rFonts w:hint="eastAsia"/>
                <w:sz w:val="21"/>
                <w:szCs w:val="21"/>
              </w:rPr>
            </w:pPr>
            <w:r>
              <w:rPr>
                <w:rFonts w:hint="eastAsia"/>
                <w:sz w:val="21"/>
                <w:szCs w:val="21"/>
              </w:rPr>
              <w:t>第七单元</w:t>
            </w:r>
          </w:p>
          <w:p w14:paraId="45FD35D6">
            <w:pPr>
              <w:snapToGrid w:val="0"/>
              <w:spacing w:line="288" w:lineRule="auto"/>
              <w:ind w:right="26"/>
              <w:rPr>
                <w:rFonts w:hint="eastAsia" w:cs="Tahoma"/>
                <w:sz w:val="21"/>
                <w:szCs w:val="21"/>
                <w:shd w:val="clear" w:color="auto" w:fill="FFFFFF"/>
              </w:rPr>
            </w:pPr>
            <w:r>
              <w:rPr>
                <w:rFonts w:hint="eastAsia"/>
                <w:sz w:val="21"/>
                <w:szCs w:val="21"/>
              </w:rPr>
              <w:t>学前教育机构的比较</w:t>
            </w:r>
          </w:p>
        </w:tc>
        <w:tc>
          <w:tcPr>
            <w:tcW w:w="1418" w:type="dxa"/>
            <w:vAlign w:val="center"/>
          </w:tcPr>
          <w:p w14:paraId="1E0730EE">
            <w:pPr>
              <w:pStyle w:val="14"/>
            </w:pPr>
            <w:r>
              <w:rPr>
                <w:rFonts w:hint="eastAsia"/>
              </w:rPr>
              <w:t>√</w:t>
            </w:r>
          </w:p>
        </w:tc>
        <w:tc>
          <w:tcPr>
            <w:tcW w:w="1276" w:type="dxa"/>
            <w:vAlign w:val="center"/>
          </w:tcPr>
          <w:p w14:paraId="14ECDA4E">
            <w:pPr>
              <w:pStyle w:val="14"/>
            </w:pPr>
            <w:r>
              <w:rPr>
                <w:rFonts w:hint="eastAsia"/>
              </w:rPr>
              <w:t>√</w:t>
            </w:r>
          </w:p>
        </w:tc>
        <w:tc>
          <w:tcPr>
            <w:tcW w:w="1330" w:type="dxa"/>
            <w:vAlign w:val="center"/>
          </w:tcPr>
          <w:p w14:paraId="5D7F8C85">
            <w:pPr>
              <w:pStyle w:val="14"/>
            </w:pPr>
          </w:p>
        </w:tc>
        <w:tc>
          <w:tcPr>
            <w:tcW w:w="1330" w:type="dxa"/>
          </w:tcPr>
          <w:p w14:paraId="7B215293">
            <w:pPr>
              <w:pStyle w:val="14"/>
            </w:pPr>
            <w:r>
              <w:rPr>
                <w:rFonts w:hint="eastAsia"/>
              </w:rPr>
              <w:t>√</w:t>
            </w:r>
          </w:p>
        </w:tc>
      </w:tr>
      <w:tr w14:paraId="4311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46B3BEB3">
            <w:pPr>
              <w:snapToGrid w:val="0"/>
              <w:spacing w:line="288" w:lineRule="auto"/>
              <w:ind w:right="26"/>
              <w:rPr>
                <w:rFonts w:hint="eastAsia"/>
                <w:sz w:val="21"/>
                <w:szCs w:val="21"/>
              </w:rPr>
            </w:pPr>
            <w:r>
              <w:rPr>
                <w:rFonts w:hint="eastAsia"/>
                <w:sz w:val="21"/>
                <w:szCs w:val="21"/>
              </w:rPr>
              <w:t>第八单元</w:t>
            </w:r>
          </w:p>
          <w:p w14:paraId="19F0B6A3">
            <w:pPr>
              <w:snapToGrid w:val="0"/>
              <w:spacing w:line="288" w:lineRule="auto"/>
              <w:ind w:right="26"/>
              <w:rPr>
                <w:rFonts w:hint="eastAsia"/>
                <w:sz w:val="21"/>
                <w:szCs w:val="21"/>
              </w:rPr>
            </w:pPr>
            <w:r>
              <w:rPr>
                <w:rFonts w:hint="eastAsia"/>
                <w:sz w:val="21"/>
                <w:szCs w:val="21"/>
              </w:rPr>
              <w:t>学前教育课程的比较</w:t>
            </w:r>
          </w:p>
        </w:tc>
        <w:tc>
          <w:tcPr>
            <w:tcW w:w="1418" w:type="dxa"/>
            <w:vAlign w:val="center"/>
          </w:tcPr>
          <w:p w14:paraId="429B5BB0">
            <w:pPr>
              <w:pStyle w:val="14"/>
            </w:pPr>
            <w:r>
              <w:rPr>
                <w:rFonts w:hint="eastAsia"/>
              </w:rPr>
              <w:t>√</w:t>
            </w:r>
          </w:p>
        </w:tc>
        <w:tc>
          <w:tcPr>
            <w:tcW w:w="1276" w:type="dxa"/>
            <w:vAlign w:val="center"/>
          </w:tcPr>
          <w:p w14:paraId="5D194BEC">
            <w:pPr>
              <w:pStyle w:val="14"/>
            </w:pPr>
            <w:r>
              <w:rPr>
                <w:rFonts w:hint="eastAsia"/>
              </w:rPr>
              <w:t>√</w:t>
            </w:r>
          </w:p>
        </w:tc>
        <w:tc>
          <w:tcPr>
            <w:tcW w:w="1330" w:type="dxa"/>
            <w:vAlign w:val="center"/>
          </w:tcPr>
          <w:p w14:paraId="2E828689">
            <w:pPr>
              <w:pStyle w:val="14"/>
            </w:pPr>
          </w:p>
        </w:tc>
        <w:tc>
          <w:tcPr>
            <w:tcW w:w="1330" w:type="dxa"/>
          </w:tcPr>
          <w:p w14:paraId="606FFB87">
            <w:pPr>
              <w:pStyle w:val="14"/>
            </w:pPr>
            <w:r>
              <w:rPr>
                <w:rFonts w:hint="eastAsia"/>
              </w:rPr>
              <w:t>√</w:t>
            </w:r>
          </w:p>
        </w:tc>
      </w:tr>
      <w:tr w14:paraId="50D9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62ACCD54">
            <w:pPr>
              <w:snapToGrid w:val="0"/>
              <w:spacing w:line="288" w:lineRule="auto"/>
              <w:ind w:right="26"/>
              <w:rPr>
                <w:rFonts w:hint="eastAsia"/>
                <w:sz w:val="21"/>
                <w:szCs w:val="21"/>
              </w:rPr>
            </w:pPr>
            <w:r>
              <w:rPr>
                <w:rFonts w:hint="eastAsia"/>
                <w:sz w:val="21"/>
                <w:szCs w:val="21"/>
              </w:rPr>
              <w:t>第九单元</w:t>
            </w:r>
          </w:p>
          <w:p w14:paraId="7BCFFBB3">
            <w:pPr>
              <w:snapToGrid w:val="0"/>
              <w:spacing w:line="288" w:lineRule="auto"/>
              <w:ind w:right="26"/>
              <w:rPr>
                <w:rFonts w:hint="eastAsia"/>
                <w:sz w:val="21"/>
                <w:szCs w:val="21"/>
              </w:rPr>
            </w:pPr>
            <w:r>
              <w:rPr>
                <w:rFonts w:hint="eastAsia"/>
                <w:sz w:val="21"/>
                <w:szCs w:val="21"/>
              </w:rPr>
              <w:t>学前教师教育的比较</w:t>
            </w:r>
          </w:p>
        </w:tc>
        <w:tc>
          <w:tcPr>
            <w:tcW w:w="1418" w:type="dxa"/>
            <w:vAlign w:val="center"/>
          </w:tcPr>
          <w:p w14:paraId="74F7F3EA">
            <w:pPr>
              <w:pStyle w:val="14"/>
            </w:pPr>
            <w:r>
              <w:rPr>
                <w:rFonts w:hint="eastAsia"/>
              </w:rPr>
              <w:t>√</w:t>
            </w:r>
          </w:p>
        </w:tc>
        <w:tc>
          <w:tcPr>
            <w:tcW w:w="1276" w:type="dxa"/>
            <w:vAlign w:val="center"/>
          </w:tcPr>
          <w:p w14:paraId="67555BCE">
            <w:pPr>
              <w:pStyle w:val="14"/>
            </w:pPr>
            <w:r>
              <w:rPr>
                <w:rFonts w:hint="eastAsia"/>
              </w:rPr>
              <w:t>√</w:t>
            </w:r>
          </w:p>
        </w:tc>
        <w:tc>
          <w:tcPr>
            <w:tcW w:w="1330" w:type="dxa"/>
            <w:vAlign w:val="center"/>
          </w:tcPr>
          <w:p w14:paraId="50AFDB28">
            <w:pPr>
              <w:pStyle w:val="14"/>
            </w:pPr>
          </w:p>
        </w:tc>
        <w:tc>
          <w:tcPr>
            <w:tcW w:w="1330" w:type="dxa"/>
          </w:tcPr>
          <w:p w14:paraId="057767E6">
            <w:pPr>
              <w:pStyle w:val="14"/>
            </w:pPr>
            <w:r>
              <w:rPr>
                <w:rFonts w:hint="eastAsia"/>
              </w:rPr>
              <w:t>√</w:t>
            </w:r>
          </w:p>
        </w:tc>
      </w:tr>
      <w:tr w14:paraId="2875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3" w:hRule="atLeast"/>
          <w:jc w:val="center"/>
        </w:trPr>
        <w:tc>
          <w:tcPr>
            <w:tcW w:w="3954" w:type="dxa"/>
            <w:tcBorders>
              <w:left w:val="single" w:color="auto" w:sz="12" w:space="0"/>
            </w:tcBorders>
          </w:tcPr>
          <w:p w14:paraId="36DC0738">
            <w:pPr>
              <w:snapToGrid w:val="0"/>
              <w:spacing w:line="288" w:lineRule="auto"/>
              <w:ind w:right="26"/>
              <w:rPr>
                <w:rFonts w:hint="eastAsia"/>
                <w:sz w:val="21"/>
                <w:szCs w:val="21"/>
              </w:rPr>
            </w:pPr>
            <w:r>
              <w:rPr>
                <w:rFonts w:hint="eastAsia"/>
                <w:sz w:val="21"/>
                <w:szCs w:val="21"/>
              </w:rPr>
              <w:t>第十单元</w:t>
            </w:r>
          </w:p>
          <w:p w14:paraId="2A71241F">
            <w:pPr>
              <w:snapToGrid w:val="0"/>
              <w:spacing w:line="288" w:lineRule="auto"/>
              <w:ind w:right="26"/>
              <w:rPr>
                <w:rFonts w:hint="eastAsia"/>
                <w:sz w:val="21"/>
                <w:szCs w:val="21"/>
              </w:rPr>
            </w:pPr>
            <w:r>
              <w:rPr>
                <w:rFonts w:hint="eastAsia"/>
                <w:sz w:val="21"/>
                <w:szCs w:val="21"/>
              </w:rPr>
              <w:t>世界学前教育发展的基本经验和趋势</w:t>
            </w:r>
          </w:p>
        </w:tc>
        <w:tc>
          <w:tcPr>
            <w:tcW w:w="1418" w:type="dxa"/>
            <w:vAlign w:val="center"/>
          </w:tcPr>
          <w:p w14:paraId="51838D55">
            <w:pPr>
              <w:pStyle w:val="14"/>
            </w:pPr>
            <w:r>
              <w:rPr>
                <w:rFonts w:hint="eastAsia"/>
              </w:rPr>
              <w:t>√</w:t>
            </w:r>
          </w:p>
        </w:tc>
        <w:tc>
          <w:tcPr>
            <w:tcW w:w="1276" w:type="dxa"/>
            <w:vAlign w:val="center"/>
          </w:tcPr>
          <w:p w14:paraId="3ED1C813">
            <w:pPr>
              <w:pStyle w:val="14"/>
            </w:pPr>
            <w:r>
              <w:rPr>
                <w:rFonts w:hint="eastAsia"/>
              </w:rPr>
              <w:t>√</w:t>
            </w:r>
          </w:p>
        </w:tc>
        <w:tc>
          <w:tcPr>
            <w:tcW w:w="1330" w:type="dxa"/>
            <w:vAlign w:val="center"/>
          </w:tcPr>
          <w:p w14:paraId="10F564B6">
            <w:pPr>
              <w:pStyle w:val="14"/>
            </w:pPr>
          </w:p>
        </w:tc>
        <w:tc>
          <w:tcPr>
            <w:tcW w:w="1330" w:type="dxa"/>
          </w:tcPr>
          <w:p w14:paraId="1B0042A5">
            <w:pPr>
              <w:pStyle w:val="14"/>
            </w:pPr>
            <w:r>
              <w:rPr>
                <w:rFonts w:hint="eastAsia"/>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18"/>
        <w:gridCol w:w="2177"/>
        <w:gridCol w:w="2170"/>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restart"/>
            <w:tcBorders>
              <w:top w:val="single" w:color="auto" w:sz="12" w:space="0"/>
              <w:left w:val="single" w:color="auto" w:sz="12" w:space="0"/>
            </w:tcBorders>
            <w:vAlign w:val="center"/>
          </w:tcPr>
          <w:p w14:paraId="1047EB9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126"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2119" w:type="dxa"/>
            <w:vMerge w:val="restart"/>
            <w:tcBorders>
              <w:top w:val="single" w:color="auto" w:sz="12" w:space="0"/>
            </w:tcBorders>
            <w:vAlign w:val="center"/>
          </w:tcPr>
          <w:p w14:paraId="24EA7652">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970" w:type="dxa"/>
            <w:vMerge w:val="continue"/>
            <w:tcBorders>
              <w:left w:val="single" w:color="auto" w:sz="12" w:space="0"/>
            </w:tcBorders>
          </w:tcPr>
          <w:p w14:paraId="05A51759">
            <w:pPr>
              <w:widowControl w:val="0"/>
              <w:snapToGrid w:val="0"/>
              <w:jc w:val="center"/>
              <w:rPr>
                <w:rFonts w:hint="eastAsia" w:ascii="黑体" w:hAnsi="黑体" w:eastAsia="黑体"/>
                <w:bCs/>
                <w:sz w:val="21"/>
                <w:szCs w:val="21"/>
              </w:rPr>
            </w:pPr>
          </w:p>
        </w:tc>
        <w:tc>
          <w:tcPr>
            <w:tcW w:w="2126" w:type="dxa"/>
            <w:vMerge w:val="continue"/>
          </w:tcPr>
          <w:p w14:paraId="297D6615">
            <w:pPr>
              <w:widowControl w:val="0"/>
              <w:snapToGrid w:val="0"/>
              <w:jc w:val="center"/>
              <w:rPr>
                <w:rFonts w:hint="eastAsia" w:ascii="黑体" w:hAnsi="黑体" w:eastAsia="黑体"/>
                <w:bCs/>
                <w:sz w:val="21"/>
                <w:szCs w:val="21"/>
              </w:rPr>
            </w:pPr>
          </w:p>
        </w:tc>
        <w:tc>
          <w:tcPr>
            <w:tcW w:w="2119" w:type="dxa"/>
            <w:vMerge w:val="continue"/>
          </w:tcPr>
          <w:p w14:paraId="4B040DCF">
            <w:pPr>
              <w:widowControl w:val="0"/>
              <w:snapToGrid w:val="0"/>
              <w:jc w:val="center"/>
              <w:rPr>
                <w:rFonts w:hint="eastAsia" w:ascii="黑体" w:hAnsi="黑体" w:eastAsia="黑体"/>
                <w:bCs/>
                <w:sz w:val="21"/>
                <w:szCs w:val="21"/>
              </w:rPr>
            </w:pPr>
          </w:p>
        </w:tc>
        <w:tc>
          <w:tcPr>
            <w:tcW w:w="708" w:type="dxa"/>
            <w:vAlign w:val="center"/>
          </w:tcPr>
          <w:p w14:paraId="4AC208AC">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3EF6BE0D">
            <w:pPr>
              <w:widowControl w:val="0"/>
              <w:snapToGrid w:val="0"/>
              <w:spacing w:line="288" w:lineRule="auto"/>
              <w:ind w:right="26"/>
              <w:jc w:val="both"/>
              <w:rPr>
                <w:rFonts w:hint="eastAsia"/>
                <w:sz w:val="21"/>
                <w:szCs w:val="21"/>
              </w:rPr>
            </w:pPr>
            <w:r>
              <w:rPr>
                <w:rFonts w:hint="eastAsia" w:cs="Tahoma"/>
                <w:sz w:val="21"/>
                <w:szCs w:val="21"/>
                <w:shd w:val="clear" w:color="auto" w:fill="FFFFFF"/>
              </w:rPr>
              <w:t>绪论</w:t>
            </w:r>
          </w:p>
        </w:tc>
        <w:tc>
          <w:tcPr>
            <w:tcW w:w="2126" w:type="dxa"/>
            <w:vAlign w:val="center"/>
          </w:tcPr>
          <w:p w14:paraId="1AE5D317">
            <w:pPr>
              <w:widowControl w:val="0"/>
              <w:jc w:val="left"/>
              <w:rPr>
                <w:rFonts w:hint="eastAsia"/>
                <w:color w:val="000000"/>
                <w:sz w:val="20"/>
                <w:szCs w:val="20"/>
              </w:rPr>
            </w:pPr>
            <w:r>
              <w:rPr>
                <w:rFonts w:hint="eastAsia" w:ascii="Times New Roman" w:hAnsi="Times New Roman"/>
                <w:bCs/>
                <w:sz w:val="21"/>
                <w:szCs w:val="21"/>
              </w:rPr>
              <w:t>课堂讲授、自主阅读</w:t>
            </w:r>
          </w:p>
        </w:tc>
        <w:tc>
          <w:tcPr>
            <w:tcW w:w="2119" w:type="dxa"/>
            <w:vAlign w:val="center"/>
          </w:tcPr>
          <w:p w14:paraId="1671CBB1">
            <w:pPr>
              <w:widowControl w:val="0"/>
              <w:snapToGrid w:val="0"/>
              <w:jc w:val="center"/>
              <w:rPr>
                <w:rFonts w:ascii="Times New Roman" w:hAnsi="Times New Roman"/>
                <w:bCs/>
                <w:sz w:val="21"/>
                <w:szCs w:val="21"/>
              </w:rPr>
            </w:pPr>
            <w:r>
              <w:rPr>
                <w:rFonts w:hint="eastAsia" w:ascii="Times New Roman" w:hAnsi="Times New Roman"/>
                <w:bCs/>
                <w:sz w:val="21"/>
                <w:szCs w:val="21"/>
              </w:rPr>
              <w:t>平时表现、课后作业</w:t>
            </w:r>
          </w:p>
        </w:tc>
        <w:tc>
          <w:tcPr>
            <w:tcW w:w="708"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3" w:hRule="atLeast"/>
          <w:jc w:val="center"/>
        </w:trPr>
        <w:tc>
          <w:tcPr>
            <w:tcW w:w="1970" w:type="dxa"/>
            <w:tcBorders>
              <w:left w:val="single" w:color="auto" w:sz="12" w:space="0"/>
            </w:tcBorders>
          </w:tcPr>
          <w:p w14:paraId="4C4E635A">
            <w:pPr>
              <w:widowControl w:val="0"/>
              <w:snapToGrid w:val="0"/>
              <w:spacing w:line="288" w:lineRule="auto"/>
              <w:ind w:right="26"/>
              <w:jc w:val="both"/>
              <w:rPr>
                <w:rFonts w:hint="eastAsia"/>
                <w:sz w:val="21"/>
                <w:szCs w:val="21"/>
              </w:rPr>
            </w:pPr>
            <w:r>
              <w:rPr>
                <w:rFonts w:hint="eastAsia"/>
                <w:sz w:val="21"/>
                <w:szCs w:val="21"/>
              </w:rPr>
              <w:t>第一单元</w:t>
            </w:r>
          </w:p>
          <w:p w14:paraId="336D78AA">
            <w:pPr>
              <w:widowControl w:val="0"/>
              <w:snapToGrid w:val="0"/>
              <w:spacing w:line="288" w:lineRule="auto"/>
              <w:ind w:right="26"/>
              <w:jc w:val="both"/>
              <w:rPr>
                <w:rFonts w:hint="eastAsia"/>
                <w:sz w:val="21"/>
                <w:szCs w:val="21"/>
              </w:rPr>
            </w:pPr>
            <w:r>
              <w:rPr>
                <w:rFonts w:hint="eastAsia" w:cs="Tahoma"/>
                <w:sz w:val="21"/>
                <w:szCs w:val="21"/>
                <w:shd w:val="clear" w:color="auto" w:fill="FFFFFF"/>
              </w:rPr>
              <w:t>日本的学前教育</w:t>
            </w:r>
          </w:p>
        </w:tc>
        <w:tc>
          <w:tcPr>
            <w:tcW w:w="2126" w:type="dxa"/>
            <w:vAlign w:val="center"/>
          </w:tcPr>
          <w:p w14:paraId="09BAD965">
            <w:pPr>
              <w:widowControl w:val="0"/>
              <w:snapToGrid w:val="0"/>
              <w:jc w:val="left"/>
              <w:rPr>
                <w:rFonts w:ascii="Times New Roman" w:hAnsi="Times New Roman"/>
                <w:bCs/>
                <w:sz w:val="21"/>
                <w:szCs w:val="21"/>
              </w:rPr>
            </w:pPr>
            <w:r>
              <w:rPr>
                <w:rFonts w:hint="eastAsia" w:ascii="Times New Roman" w:hAnsi="Times New Roman"/>
                <w:bCs/>
                <w:sz w:val="21"/>
                <w:szCs w:val="21"/>
              </w:rPr>
              <w:t>课堂讲授、小组合作</w:t>
            </w:r>
          </w:p>
        </w:tc>
        <w:tc>
          <w:tcPr>
            <w:tcW w:w="2119" w:type="dxa"/>
            <w:vAlign w:val="center"/>
          </w:tcPr>
          <w:p w14:paraId="6456A219">
            <w:pPr>
              <w:widowControl w:val="0"/>
              <w:snapToGrid w:val="0"/>
              <w:jc w:val="center"/>
              <w:rPr>
                <w:rFonts w:ascii="Times New Roman" w:hAnsi="Times New Roman"/>
                <w:bCs/>
                <w:sz w:val="21"/>
                <w:szCs w:val="21"/>
              </w:rPr>
            </w:pPr>
            <w:r>
              <w:rPr>
                <w:rFonts w:hint="eastAsia" w:ascii="Times New Roman" w:hAnsi="Times New Roman"/>
                <w:bCs/>
                <w:sz w:val="21"/>
                <w:szCs w:val="21"/>
              </w:rPr>
              <w:t>平时表现</w:t>
            </w:r>
          </w:p>
        </w:tc>
        <w:tc>
          <w:tcPr>
            <w:tcW w:w="708"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87" w:hRule="atLeast"/>
          <w:jc w:val="center"/>
        </w:trPr>
        <w:tc>
          <w:tcPr>
            <w:tcW w:w="1970" w:type="dxa"/>
            <w:tcBorders>
              <w:left w:val="single" w:color="auto" w:sz="12" w:space="0"/>
            </w:tcBorders>
          </w:tcPr>
          <w:p w14:paraId="4633FA1E">
            <w:pPr>
              <w:widowControl w:val="0"/>
              <w:snapToGrid w:val="0"/>
              <w:spacing w:line="288" w:lineRule="auto"/>
              <w:ind w:right="26"/>
              <w:jc w:val="both"/>
              <w:rPr>
                <w:rFonts w:hint="eastAsia"/>
                <w:sz w:val="21"/>
                <w:szCs w:val="21"/>
              </w:rPr>
            </w:pPr>
            <w:r>
              <w:rPr>
                <w:rFonts w:hint="eastAsia"/>
                <w:sz w:val="21"/>
                <w:szCs w:val="21"/>
              </w:rPr>
              <w:t>第二单元</w:t>
            </w:r>
          </w:p>
          <w:p w14:paraId="6658EB62">
            <w:pPr>
              <w:widowControl w:val="0"/>
              <w:snapToGrid w:val="0"/>
              <w:spacing w:line="288" w:lineRule="auto"/>
              <w:ind w:right="26"/>
              <w:jc w:val="both"/>
              <w:rPr>
                <w:rFonts w:hint="eastAsia"/>
                <w:sz w:val="21"/>
                <w:szCs w:val="21"/>
              </w:rPr>
            </w:pPr>
            <w:r>
              <w:rPr>
                <w:rFonts w:hint="eastAsia" w:cs="Tahoma"/>
                <w:sz w:val="21"/>
                <w:szCs w:val="21"/>
                <w:shd w:val="clear" w:color="auto" w:fill="FFFFFF"/>
              </w:rPr>
              <w:t>英国的学前教育</w:t>
            </w:r>
          </w:p>
        </w:tc>
        <w:tc>
          <w:tcPr>
            <w:tcW w:w="2126" w:type="dxa"/>
            <w:vAlign w:val="center"/>
          </w:tcPr>
          <w:p w14:paraId="7C4AF4A7">
            <w:pPr>
              <w:widowControl w:val="0"/>
              <w:snapToGrid w:val="0"/>
              <w:jc w:val="left"/>
              <w:rPr>
                <w:rFonts w:ascii="Times New Roman" w:hAnsi="Times New Roman"/>
                <w:bCs/>
                <w:sz w:val="21"/>
                <w:szCs w:val="21"/>
              </w:rPr>
            </w:pPr>
            <w:r>
              <w:rPr>
                <w:rFonts w:hint="eastAsia" w:ascii="Times New Roman" w:hAnsi="Times New Roman"/>
                <w:bCs/>
                <w:sz w:val="21"/>
                <w:szCs w:val="21"/>
              </w:rPr>
              <w:t>课堂讲授、小组合作</w:t>
            </w:r>
          </w:p>
        </w:tc>
        <w:tc>
          <w:tcPr>
            <w:tcW w:w="2119" w:type="dxa"/>
            <w:vAlign w:val="center"/>
          </w:tcPr>
          <w:p w14:paraId="054C380B">
            <w:pPr>
              <w:widowControl w:val="0"/>
              <w:snapToGrid w:val="0"/>
              <w:jc w:val="center"/>
              <w:rPr>
                <w:rFonts w:ascii="Times New Roman" w:hAnsi="Times New Roman"/>
                <w:bCs/>
                <w:sz w:val="21"/>
                <w:szCs w:val="21"/>
              </w:rPr>
            </w:pPr>
            <w:r>
              <w:rPr>
                <w:rFonts w:hint="eastAsia" w:ascii="Times New Roman" w:hAnsi="Times New Roman"/>
                <w:bCs/>
                <w:sz w:val="21"/>
                <w:szCs w:val="21"/>
              </w:rPr>
              <w:t>学习总结、小组汇报</w:t>
            </w:r>
          </w:p>
        </w:tc>
        <w:tc>
          <w:tcPr>
            <w:tcW w:w="708"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351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6A47C45">
            <w:pPr>
              <w:widowControl w:val="0"/>
              <w:snapToGrid w:val="0"/>
              <w:spacing w:line="288" w:lineRule="auto"/>
              <w:ind w:right="26"/>
              <w:jc w:val="both"/>
              <w:rPr>
                <w:rFonts w:hint="eastAsia"/>
                <w:sz w:val="21"/>
                <w:szCs w:val="21"/>
              </w:rPr>
            </w:pPr>
            <w:r>
              <w:rPr>
                <w:rFonts w:hint="eastAsia"/>
                <w:sz w:val="21"/>
                <w:szCs w:val="21"/>
              </w:rPr>
              <w:t>第三单元</w:t>
            </w:r>
          </w:p>
          <w:p w14:paraId="039357E5">
            <w:pPr>
              <w:widowControl w:val="0"/>
              <w:snapToGrid w:val="0"/>
              <w:spacing w:line="288" w:lineRule="auto"/>
              <w:ind w:right="26"/>
              <w:jc w:val="both"/>
              <w:rPr>
                <w:rFonts w:hint="eastAsia"/>
                <w:sz w:val="21"/>
                <w:szCs w:val="21"/>
              </w:rPr>
            </w:pPr>
            <w:r>
              <w:rPr>
                <w:rFonts w:hint="eastAsia" w:cs="Tahoma"/>
                <w:sz w:val="21"/>
                <w:szCs w:val="21"/>
                <w:shd w:val="clear" w:color="auto" w:fill="FFFFFF"/>
              </w:rPr>
              <w:t>美国的学前教育</w:t>
            </w:r>
          </w:p>
        </w:tc>
        <w:tc>
          <w:tcPr>
            <w:tcW w:w="2126" w:type="dxa"/>
            <w:vAlign w:val="center"/>
          </w:tcPr>
          <w:p w14:paraId="469FA6A3">
            <w:pPr>
              <w:widowControl w:val="0"/>
              <w:snapToGrid w:val="0"/>
              <w:jc w:val="left"/>
              <w:rPr>
                <w:rFonts w:ascii="Times New Roman" w:hAnsi="Times New Roman"/>
                <w:bCs/>
                <w:sz w:val="21"/>
                <w:szCs w:val="21"/>
              </w:rPr>
            </w:pPr>
            <w:r>
              <w:rPr>
                <w:rFonts w:hint="eastAsia" w:ascii="Times New Roman" w:hAnsi="Times New Roman"/>
                <w:bCs/>
                <w:sz w:val="21"/>
                <w:szCs w:val="21"/>
              </w:rPr>
              <w:t>课堂讲授、小组合作</w:t>
            </w:r>
          </w:p>
        </w:tc>
        <w:tc>
          <w:tcPr>
            <w:tcW w:w="2119" w:type="dxa"/>
            <w:vAlign w:val="center"/>
          </w:tcPr>
          <w:p w14:paraId="75C888C3">
            <w:pPr>
              <w:widowControl w:val="0"/>
              <w:snapToGrid w:val="0"/>
              <w:jc w:val="center"/>
              <w:rPr>
                <w:rFonts w:ascii="Times New Roman" w:hAnsi="Times New Roman"/>
                <w:bCs/>
                <w:sz w:val="21"/>
                <w:szCs w:val="21"/>
              </w:rPr>
            </w:pPr>
            <w:r>
              <w:rPr>
                <w:rFonts w:hint="eastAsia" w:ascii="Times New Roman" w:hAnsi="Times New Roman"/>
                <w:bCs/>
                <w:sz w:val="21"/>
                <w:szCs w:val="21"/>
              </w:rPr>
              <w:t>学习总结、小组汇报</w:t>
            </w:r>
          </w:p>
        </w:tc>
        <w:tc>
          <w:tcPr>
            <w:tcW w:w="708" w:type="dxa"/>
            <w:vAlign w:val="center"/>
          </w:tcPr>
          <w:p w14:paraId="2933A0F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3CB314F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7735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5F4D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4E9AC101">
            <w:pPr>
              <w:widowControl w:val="0"/>
              <w:snapToGrid w:val="0"/>
              <w:spacing w:line="288" w:lineRule="auto"/>
              <w:ind w:right="26"/>
              <w:jc w:val="both"/>
              <w:rPr>
                <w:rFonts w:hint="eastAsia"/>
                <w:sz w:val="21"/>
                <w:szCs w:val="21"/>
                <w:shd w:val="clear" w:color="auto" w:fill="FFFFFF"/>
              </w:rPr>
            </w:pPr>
            <w:r>
              <w:rPr>
                <w:rFonts w:hint="eastAsia"/>
                <w:sz w:val="21"/>
                <w:szCs w:val="21"/>
              </w:rPr>
              <w:t>第四单元</w:t>
            </w:r>
          </w:p>
          <w:p w14:paraId="57A8DB1B">
            <w:pPr>
              <w:widowControl w:val="0"/>
              <w:snapToGrid w:val="0"/>
              <w:spacing w:line="288" w:lineRule="auto"/>
              <w:ind w:right="26"/>
              <w:jc w:val="both"/>
              <w:rPr>
                <w:rFonts w:hint="eastAsia"/>
                <w:sz w:val="21"/>
                <w:szCs w:val="21"/>
              </w:rPr>
            </w:pPr>
            <w:r>
              <w:rPr>
                <w:rFonts w:hint="eastAsia" w:cs="Tahoma"/>
                <w:sz w:val="21"/>
                <w:szCs w:val="21"/>
                <w:shd w:val="clear" w:color="auto" w:fill="FFFFFF"/>
              </w:rPr>
              <w:t>德国的学前教育</w:t>
            </w:r>
          </w:p>
        </w:tc>
        <w:tc>
          <w:tcPr>
            <w:tcW w:w="2126" w:type="dxa"/>
            <w:vAlign w:val="center"/>
          </w:tcPr>
          <w:p w14:paraId="03EA90AD">
            <w:pPr>
              <w:widowControl w:val="0"/>
              <w:snapToGrid w:val="0"/>
              <w:jc w:val="left"/>
              <w:rPr>
                <w:rFonts w:ascii="Times New Roman" w:hAnsi="Times New Roman"/>
                <w:bCs/>
                <w:sz w:val="21"/>
                <w:szCs w:val="21"/>
              </w:rPr>
            </w:pPr>
            <w:r>
              <w:rPr>
                <w:rFonts w:hint="eastAsia" w:ascii="Times New Roman" w:hAnsi="Times New Roman"/>
                <w:bCs/>
                <w:sz w:val="21"/>
                <w:szCs w:val="21"/>
              </w:rPr>
              <w:t>案例分析、小组合作</w:t>
            </w:r>
          </w:p>
        </w:tc>
        <w:tc>
          <w:tcPr>
            <w:tcW w:w="2119" w:type="dxa"/>
            <w:vAlign w:val="center"/>
          </w:tcPr>
          <w:p w14:paraId="58BCE59C">
            <w:pPr>
              <w:widowControl w:val="0"/>
              <w:snapToGrid w:val="0"/>
              <w:jc w:val="center"/>
              <w:rPr>
                <w:rFonts w:ascii="Times New Roman" w:hAnsi="Times New Roman"/>
                <w:bCs/>
                <w:sz w:val="21"/>
                <w:szCs w:val="21"/>
              </w:rPr>
            </w:pPr>
            <w:r>
              <w:rPr>
                <w:rFonts w:hint="eastAsia" w:ascii="Times New Roman" w:hAnsi="Times New Roman"/>
                <w:bCs/>
                <w:sz w:val="21"/>
                <w:szCs w:val="21"/>
              </w:rPr>
              <w:t>平时表现、课后作业</w:t>
            </w:r>
          </w:p>
        </w:tc>
        <w:tc>
          <w:tcPr>
            <w:tcW w:w="708" w:type="dxa"/>
            <w:vAlign w:val="center"/>
          </w:tcPr>
          <w:p w14:paraId="61C1645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3325EA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E66F83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93A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7C270C72">
            <w:pPr>
              <w:widowControl w:val="0"/>
              <w:snapToGrid w:val="0"/>
              <w:spacing w:line="288" w:lineRule="auto"/>
              <w:ind w:right="26"/>
              <w:jc w:val="both"/>
              <w:rPr>
                <w:rFonts w:hint="eastAsia"/>
                <w:sz w:val="21"/>
                <w:szCs w:val="21"/>
                <w:shd w:val="clear" w:color="auto" w:fill="FFFFFF"/>
              </w:rPr>
            </w:pPr>
            <w:r>
              <w:rPr>
                <w:rFonts w:hint="eastAsia"/>
                <w:sz w:val="21"/>
                <w:szCs w:val="21"/>
              </w:rPr>
              <w:t>第五单元</w:t>
            </w:r>
          </w:p>
          <w:p w14:paraId="558C5BFA">
            <w:pPr>
              <w:widowControl w:val="0"/>
              <w:snapToGrid w:val="0"/>
              <w:spacing w:line="288" w:lineRule="auto"/>
              <w:ind w:right="26"/>
              <w:jc w:val="both"/>
              <w:rPr>
                <w:rFonts w:hint="eastAsia"/>
                <w:sz w:val="21"/>
                <w:szCs w:val="21"/>
              </w:rPr>
            </w:pPr>
            <w:r>
              <w:rPr>
                <w:rFonts w:hint="eastAsia" w:cs="Tahoma"/>
                <w:sz w:val="21"/>
                <w:szCs w:val="21"/>
                <w:shd w:val="clear" w:color="auto" w:fill="FFFFFF"/>
              </w:rPr>
              <w:t>芬兰的学前教育</w:t>
            </w:r>
          </w:p>
        </w:tc>
        <w:tc>
          <w:tcPr>
            <w:tcW w:w="2126" w:type="dxa"/>
            <w:vAlign w:val="center"/>
          </w:tcPr>
          <w:p w14:paraId="04B167D5">
            <w:pPr>
              <w:widowControl w:val="0"/>
              <w:snapToGrid w:val="0"/>
              <w:jc w:val="left"/>
              <w:rPr>
                <w:rFonts w:ascii="Times New Roman" w:hAnsi="Times New Roman"/>
                <w:bCs/>
                <w:sz w:val="21"/>
                <w:szCs w:val="21"/>
              </w:rPr>
            </w:pPr>
            <w:r>
              <w:rPr>
                <w:rFonts w:hint="eastAsia" w:ascii="Times New Roman" w:hAnsi="Times New Roman"/>
                <w:bCs/>
                <w:sz w:val="21"/>
                <w:szCs w:val="21"/>
              </w:rPr>
              <w:t>课堂讲授、自主讨论</w:t>
            </w:r>
          </w:p>
        </w:tc>
        <w:tc>
          <w:tcPr>
            <w:tcW w:w="2119" w:type="dxa"/>
            <w:vAlign w:val="center"/>
          </w:tcPr>
          <w:p w14:paraId="24E8F9F9">
            <w:pPr>
              <w:widowControl w:val="0"/>
              <w:snapToGrid w:val="0"/>
              <w:jc w:val="center"/>
              <w:rPr>
                <w:rFonts w:ascii="Times New Roman" w:hAnsi="Times New Roman"/>
                <w:bCs/>
                <w:sz w:val="21"/>
                <w:szCs w:val="21"/>
              </w:rPr>
            </w:pPr>
            <w:r>
              <w:rPr>
                <w:rFonts w:hint="eastAsia" w:ascii="Times New Roman" w:hAnsi="Times New Roman"/>
                <w:bCs/>
                <w:sz w:val="21"/>
                <w:szCs w:val="21"/>
              </w:rPr>
              <w:t>平时表现</w:t>
            </w:r>
          </w:p>
        </w:tc>
        <w:tc>
          <w:tcPr>
            <w:tcW w:w="708" w:type="dxa"/>
            <w:vAlign w:val="center"/>
          </w:tcPr>
          <w:p w14:paraId="18CA83A6">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2C29480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6BC19E4">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007C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4BEFEABC">
            <w:pPr>
              <w:widowControl w:val="0"/>
              <w:snapToGrid w:val="0"/>
              <w:spacing w:line="288" w:lineRule="auto"/>
              <w:ind w:right="26"/>
              <w:jc w:val="both"/>
              <w:rPr>
                <w:rFonts w:hint="eastAsia"/>
                <w:sz w:val="21"/>
                <w:szCs w:val="21"/>
              </w:rPr>
            </w:pPr>
            <w:r>
              <w:rPr>
                <w:rFonts w:hint="eastAsia"/>
                <w:sz w:val="21"/>
                <w:szCs w:val="21"/>
              </w:rPr>
              <w:t>第六单元</w:t>
            </w:r>
          </w:p>
          <w:p w14:paraId="451079D1">
            <w:pPr>
              <w:pStyle w:val="14"/>
              <w:widowControl w:val="0"/>
              <w:jc w:val="left"/>
              <w:rPr>
                <w:rFonts w:hint="eastAsia" w:ascii="宋体" w:hAnsi="宋体"/>
                <w:bCs/>
              </w:rPr>
            </w:pPr>
            <w:r>
              <w:rPr>
                <w:rFonts w:hint="eastAsia" w:cs="Tahoma"/>
                <w:shd w:val="clear" w:color="auto" w:fill="FFFFFF"/>
              </w:rPr>
              <w:t>新西兰的学前教育</w:t>
            </w:r>
          </w:p>
        </w:tc>
        <w:tc>
          <w:tcPr>
            <w:tcW w:w="2126" w:type="dxa"/>
            <w:vAlign w:val="center"/>
          </w:tcPr>
          <w:p w14:paraId="241E2723">
            <w:pPr>
              <w:widowControl w:val="0"/>
              <w:snapToGrid w:val="0"/>
              <w:jc w:val="left"/>
              <w:rPr>
                <w:rFonts w:ascii="Times New Roman" w:hAnsi="Times New Roman"/>
                <w:bCs/>
                <w:sz w:val="21"/>
                <w:szCs w:val="21"/>
              </w:rPr>
            </w:pPr>
            <w:r>
              <w:rPr>
                <w:rFonts w:hint="eastAsia" w:ascii="Times New Roman" w:hAnsi="Times New Roman"/>
                <w:bCs/>
                <w:sz w:val="21"/>
                <w:szCs w:val="21"/>
              </w:rPr>
              <w:t>案例分析、小组合作</w:t>
            </w:r>
          </w:p>
        </w:tc>
        <w:tc>
          <w:tcPr>
            <w:tcW w:w="2119" w:type="dxa"/>
            <w:vAlign w:val="center"/>
          </w:tcPr>
          <w:p w14:paraId="33D025E2">
            <w:pPr>
              <w:widowControl w:val="0"/>
              <w:snapToGrid w:val="0"/>
              <w:jc w:val="center"/>
              <w:rPr>
                <w:rFonts w:ascii="Times New Roman" w:hAnsi="Times New Roman"/>
                <w:bCs/>
                <w:sz w:val="21"/>
                <w:szCs w:val="21"/>
              </w:rPr>
            </w:pPr>
            <w:r>
              <w:rPr>
                <w:rFonts w:hint="eastAsia" w:ascii="Times New Roman" w:hAnsi="Times New Roman"/>
                <w:bCs/>
                <w:sz w:val="21"/>
                <w:szCs w:val="21"/>
              </w:rPr>
              <w:t>课后作业</w:t>
            </w:r>
          </w:p>
        </w:tc>
        <w:tc>
          <w:tcPr>
            <w:tcW w:w="708" w:type="dxa"/>
            <w:vAlign w:val="center"/>
          </w:tcPr>
          <w:p w14:paraId="534A2378">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c>
          <w:tcPr>
            <w:tcW w:w="653" w:type="dxa"/>
            <w:vAlign w:val="center"/>
          </w:tcPr>
          <w:p w14:paraId="5E3FA0A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A036D14">
            <w:pPr>
              <w:widowControl w:val="0"/>
              <w:snapToGrid w:val="0"/>
              <w:jc w:val="center"/>
              <w:rPr>
                <w:rFonts w:ascii="Times New Roman" w:hAnsi="Times New Roman"/>
                <w:bCs/>
                <w:sz w:val="21"/>
                <w:szCs w:val="21"/>
              </w:rPr>
            </w:pPr>
            <w:r>
              <w:rPr>
                <w:rFonts w:hint="eastAsia" w:ascii="Times New Roman" w:hAnsi="Times New Roman"/>
                <w:bCs/>
                <w:sz w:val="21"/>
                <w:szCs w:val="21"/>
              </w:rPr>
              <w:t>3</w:t>
            </w:r>
          </w:p>
        </w:tc>
      </w:tr>
      <w:tr w14:paraId="6106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2F2CF27">
            <w:pPr>
              <w:widowControl w:val="0"/>
              <w:snapToGrid w:val="0"/>
              <w:spacing w:line="288" w:lineRule="auto"/>
              <w:ind w:right="26"/>
              <w:jc w:val="both"/>
              <w:rPr>
                <w:rFonts w:hint="eastAsia"/>
                <w:sz w:val="21"/>
                <w:szCs w:val="21"/>
              </w:rPr>
            </w:pPr>
            <w:r>
              <w:rPr>
                <w:rFonts w:hint="eastAsia"/>
                <w:sz w:val="21"/>
                <w:szCs w:val="21"/>
              </w:rPr>
              <w:t>第七单元</w:t>
            </w:r>
          </w:p>
          <w:p w14:paraId="497F2EB1">
            <w:pPr>
              <w:widowControl w:val="0"/>
              <w:snapToGrid w:val="0"/>
              <w:spacing w:line="288" w:lineRule="auto"/>
              <w:ind w:right="26"/>
              <w:jc w:val="both"/>
              <w:rPr>
                <w:rFonts w:hint="eastAsia"/>
                <w:sz w:val="21"/>
                <w:szCs w:val="21"/>
              </w:rPr>
            </w:pPr>
            <w:r>
              <w:rPr>
                <w:rFonts w:hint="eastAsia"/>
                <w:sz w:val="21"/>
                <w:szCs w:val="21"/>
              </w:rPr>
              <w:t>学前教育机构的比较</w:t>
            </w:r>
          </w:p>
        </w:tc>
        <w:tc>
          <w:tcPr>
            <w:tcW w:w="2126" w:type="dxa"/>
            <w:vAlign w:val="center"/>
          </w:tcPr>
          <w:p w14:paraId="2F2F1DB5">
            <w:pPr>
              <w:widowControl w:val="0"/>
              <w:snapToGrid w:val="0"/>
              <w:jc w:val="left"/>
              <w:rPr>
                <w:rFonts w:ascii="Times New Roman" w:hAnsi="Times New Roman"/>
                <w:bCs/>
                <w:sz w:val="21"/>
                <w:szCs w:val="21"/>
              </w:rPr>
            </w:pPr>
            <w:r>
              <w:rPr>
                <w:rFonts w:hint="eastAsia" w:ascii="Times New Roman" w:hAnsi="Times New Roman"/>
                <w:bCs/>
                <w:sz w:val="21"/>
                <w:szCs w:val="21"/>
              </w:rPr>
              <w:t>课堂讲授、小组合作</w:t>
            </w:r>
          </w:p>
        </w:tc>
        <w:tc>
          <w:tcPr>
            <w:tcW w:w="2119" w:type="dxa"/>
            <w:vAlign w:val="center"/>
          </w:tcPr>
          <w:p w14:paraId="3D9387B0">
            <w:pPr>
              <w:widowControl w:val="0"/>
              <w:snapToGrid w:val="0"/>
              <w:jc w:val="center"/>
              <w:rPr>
                <w:rFonts w:ascii="Times New Roman" w:hAnsi="Times New Roman"/>
                <w:bCs/>
                <w:sz w:val="21"/>
                <w:szCs w:val="21"/>
              </w:rPr>
            </w:pPr>
            <w:r>
              <w:rPr>
                <w:rFonts w:hint="eastAsia" w:ascii="Times New Roman" w:hAnsi="Times New Roman"/>
                <w:bCs/>
                <w:sz w:val="21"/>
                <w:szCs w:val="21"/>
              </w:rPr>
              <w:t>小组汇报</w:t>
            </w:r>
          </w:p>
        </w:tc>
        <w:tc>
          <w:tcPr>
            <w:tcW w:w="708" w:type="dxa"/>
            <w:vAlign w:val="center"/>
          </w:tcPr>
          <w:p w14:paraId="5FC94A1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482C6EC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BA2D6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635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09B9FBC2">
            <w:pPr>
              <w:widowControl w:val="0"/>
              <w:snapToGrid w:val="0"/>
              <w:spacing w:line="288" w:lineRule="auto"/>
              <w:ind w:right="26"/>
              <w:jc w:val="both"/>
              <w:rPr>
                <w:rFonts w:hint="eastAsia"/>
                <w:sz w:val="21"/>
                <w:szCs w:val="21"/>
              </w:rPr>
            </w:pPr>
            <w:r>
              <w:rPr>
                <w:rFonts w:hint="eastAsia"/>
                <w:sz w:val="21"/>
                <w:szCs w:val="21"/>
              </w:rPr>
              <w:t>第八单元</w:t>
            </w:r>
          </w:p>
          <w:p w14:paraId="387D352E">
            <w:pPr>
              <w:widowControl w:val="0"/>
              <w:snapToGrid w:val="0"/>
              <w:spacing w:line="288" w:lineRule="auto"/>
              <w:ind w:right="26"/>
              <w:jc w:val="both"/>
              <w:rPr>
                <w:rFonts w:hint="eastAsia"/>
                <w:sz w:val="21"/>
                <w:szCs w:val="21"/>
              </w:rPr>
            </w:pPr>
            <w:r>
              <w:rPr>
                <w:rFonts w:hint="eastAsia"/>
                <w:sz w:val="21"/>
                <w:szCs w:val="21"/>
              </w:rPr>
              <w:t>学前教育课程的比较</w:t>
            </w:r>
          </w:p>
        </w:tc>
        <w:tc>
          <w:tcPr>
            <w:tcW w:w="2126" w:type="dxa"/>
            <w:vAlign w:val="center"/>
          </w:tcPr>
          <w:p w14:paraId="366DF044">
            <w:pPr>
              <w:widowControl w:val="0"/>
              <w:snapToGrid w:val="0"/>
              <w:jc w:val="both"/>
              <w:rPr>
                <w:rFonts w:ascii="Times New Roman" w:hAnsi="Times New Roman"/>
                <w:bCs/>
                <w:sz w:val="21"/>
                <w:szCs w:val="21"/>
              </w:rPr>
            </w:pPr>
            <w:r>
              <w:rPr>
                <w:rFonts w:hint="eastAsia" w:ascii="Times New Roman" w:hAnsi="Times New Roman"/>
                <w:bCs/>
                <w:sz w:val="21"/>
                <w:szCs w:val="21"/>
              </w:rPr>
              <w:t>案例分析、小组合作</w:t>
            </w:r>
          </w:p>
        </w:tc>
        <w:tc>
          <w:tcPr>
            <w:tcW w:w="2119" w:type="dxa"/>
            <w:vAlign w:val="center"/>
          </w:tcPr>
          <w:p w14:paraId="32A73047">
            <w:pPr>
              <w:widowControl w:val="0"/>
              <w:snapToGrid w:val="0"/>
              <w:jc w:val="center"/>
              <w:rPr>
                <w:rFonts w:ascii="Times New Roman" w:hAnsi="Times New Roman"/>
                <w:bCs/>
                <w:sz w:val="21"/>
                <w:szCs w:val="21"/>
              </w:rPr>
            </w:pPr>
            <w:r>
              <w:rPr>
                <w:rFonts w:hint="eastAsia" w:ascii="Times New Roman" w:hAnsi="Times New Roman"/>
                <w:bCs/>
                <w:sz w:val="21"/>
                <w:szCs w:val="21"/>
              </w:rPr>
              <w:t>学习总结、小组汇报</w:t>
            </w:r>
          </w:p>
        </w:tc>
        <w:tc>
          <w:tcPr>
            <w:tcW w:w="708" w:type="dxa"/>
            <w:vAlign w:val="center"/>
          </w:tcPr>
          <w:p w14:paraId="52F3E9E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26077F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9E80C88">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3B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64557646">
            <w:pPr>
              <w:widowControl w:val="0"/>
              <w:snapToGrid w:val="0"/>
              <w:spacing w:line="288" w:lineRule="auto"/>
              <w:ind w:right="26"/>
              <w:jc w:val="both"/>
              <w:rPr>
                <w:rFonts w:hint="eastAsia"/>
                <w:sz w:val="21"/>
                <w:szCs w:val="21"/>
              </w:rPr>
            </w:pPr>
            <w:r>
              <w:rPr>
                <w:rFonts w:hint="eastAsia"/>
                <w:sz w:val="21"/>
                <w:szCs w:val="21"/>
              </w:rPr>
              <w:t>第九单元</w:t>
            </w:r>
          </w:p>
          <w:p w14:paraId="78B0FB93">
            <w:pPr>
              <w:widowControl w:val="0"/>
              <w:snapToGrid w:val="0"/>
              <w:spacing w:line="288" w:lineRule="auto"/>
              <w:ind w:right="26"/>
              <w:jc w:val="both"/>
              <w:rPr>
                <w:rFonts w:hint="eastAsia"/>
                <w:sz w:val="21"/>
                <w:szCs w:val="21"/>
              </w:rPr>
            </w:pPr>
            <w:r>
              <w:rPr>
                <w:rFonts w:hint="eastAsia"/>
                <w:sz w:val="21"/>
                <w:szCs w:val="21"/>
              </w:rPr>
              <w:t>学前教师教育的比较</w:t>
            </w:r>
          </w:p>
        </w:tc>
        <w:tc>
          <w:tcPr>
            <w:tcW w:w="2126" w:type="dxa"/>
            <w:vAlign w:val="center"/>
          </w:tcPr>
          <w:p w14:paraId="38B0255F">
            <w:pPr>
              <w:widowControl w:val="0"/>
              <w:snapToGrid w:val="0"/>
              <w:jc w:val="both"/>
              <w:rPr>
                <w:rFonts w:ascii="Times New Roman" w:hAnsi="Times New Roman"/>
                <w:bCs/>
                <w:sz w:val="21"/>
                <w:szCs w:val="21"/>
              </w:rPr>
            </w:pPr>
            <w:r>
              <w:rPr>
                <w:rFonts w:hint="eastAsia" w:ascii="Times New Roman" w:hAnsi="Times New Roman"/>
                <w:bCs/>
                <w:sz w:val="21"/>
                <w:szCs w:val="21"/>
              </w:rPr>
              <w:t>课堂讲授、小组合作</w:t>
            </w:r>
          </w:p>
        </w:tc>
        <w:tc>
          <w:tcPr>
            <w:tcW w:w="2119" w:type="dxa"/>
            <w:vAlign w:val="center"/>
          </w:tcPr>
          <w:p w14:paraId="589687CD">
            <w:pPr>
              <w:widowControl w:val="0"/>
              <w:snapToGrid w:val="0"/>
              <w:jc w:val="center"/>
              <w:rPr>
                <w:rFonts w:ascii="Times New Roman" w:hAnsi="Times New Roman"/>
                <w:bCs/>
                <w:sz w:val="21"/>
                <w:szCs w:val="21"/>
              </w:rPr>
            </w:pPr>
            <w:r>
              <w:rPr>
                <w:rFonts w:hint="eastAsia" w:ascii="Times New Roman" w:hAnsi="Times New Roman"/>
                <w:bCs/>
                <w:sz w:val="21"/>
                <w:szCs w:val="21"/>
              </w:rPr>
              <w:t>学习总结、小组汇报</w:t>
            </w:r>
          </w:p>
        </w:tc>
        <w:tc>
          <w:tcPr>
            <w:tcW w:w="708" w:type="dxa"/>
            <w:vAlign w:val="center"/>
          </w:tcPr>
          <w:p w14:paraId="21E4989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9BEBFE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5D4119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A96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970" w:type="dxa"/>
            <w:tcBorders>
              <w:left w:val="single" w:color="auto" w:sz="12" w:space="0"/>
            </w:tcBorders>
          </w:tcPr>
          <w:p w14:paraId="568A7D82">
            <w:pPr>
              <w:widowControl w:val="0"/>
              <w:snapToGrid w:val="0"/>
              <w:spacing w:line="288" w:lineRule="auto"/>
              <w:ind w:right="26"/>
              <w:jc w:val="both"/>
              <w:rPr>
                <w:rFonts w:hint="eastAsia"/>
                <w:sz w:val="21"/>
                <w:szCs w:val="21"/>
              </w:rPr>
            </w:pPr>
            <w:r>
              <w:rPr>
                <w:rFonts w:hint="eastAsia"/>
                <w:sz w:val="21"/>
                <w:szCs w:val="21"/>
              </w:rPr>
              <w:t>第十单元</w:t>
            </w:r>
          </w:p>
          <w:p w14:paraId="19C58491">
            <w:pPr>
              <w:widowControl w:val="0"/>
              <w:snapToGrid w:val="0"/>
              <w:spacing w:line="288" w:lineRule="auto"/>
              <w:ind w:right="26"/>
              <w:jc w:val="both"/>
              <w:rPr>
                <w:rFonts w:hint="eastAsia"/>
                <w:sz w:val="21"/>
                <w:szCs w:val="21"/>
              </w:rPr>
            </w:pPr>
            <w:r>
              <w:rPr>
                <w:rFonts w:hint="eastAsia"/>
                <w:sz w:val="21"/>
                <w:szCs w:val="21"/>
              </w:rPr>
              <w:t>世界学前教育发展的基本经验和趋势</w:t>
            </w:r>
          </w:p>
        </w:tc>
        <w:tc>
          <w:tcPr>
            <w:tcW w:w="2126" w:type="dxa"/>
            <w:vAlign w:val="center"/>
          </w:tcPr>
          <w:p w14:paraId="497B5FFA">
            <w:pPr>
              <w:widowControl w:val="0"/>
              <w:snapToGrid w:val="0"/>
              <w:jc w:val="both"/>
              <w:rPr>
                <w:rFonts w:ascii="Times New Roman" w:hAnsi="Times New Roman"/>
                <w:bCs/>
                <w:sz w:val="21"/>
                <w:szCs w:val="21"/>
              </w:rPr>
            </w:pPr>
            <w:r>
              <w:rPr>
                <w:rFonts w:hint="eastAsia" w:ascii="Times New Roman" w:hAnsi="Times New Roman"/>
                <w:bCs/>
                <w:sz w:val="21"/>
                <w:szCs w:val="21"/>
              </w:rPr>
              <w:t>课堂讲授、自主讨论</w:t>
            </w:r>
          </w:p>
        </w:tc>
        <w:tc>
          <w:tcPr>
            <w:tcW w:w="2119" w:type="dxa"/>
            <w:vAlign w:val="center"/>
          </w:tcPr>
          <w:p w14:paraId="1D1DE798">
            <w:pPr>
              <w:widowControl w:val="0"/>
              <w:snapToGrid w:val="0"/>
              <w:jc w:val="center"/>
              <w:rPr>
                <w:rFonts w:ascii="Times New Roman" w:hAnsi="Times New Roman"/>
                <w:bCs/>
                <w:sz w:val="21"/>
                <w:szCs w:val="21"/>
              </w:rPr>
            </w:pPr>
            <w:r>
              <w:rPr>
                <w:rFonts w:hint="eastAsia" w:ascii="Times New Roman" w:hAnsi="Times New Roman"/>
                <w:bCs/>
                <w:sz w:val="21"/>
                <w:szCs w:val="21"/>
              </w:rPr>
              <w:t>学习总结、小组汇报</w:t>
            </w:r>
          </w:p>
        </w:tc>
        <w:tc>
          <w:tcPr>
            <w:tcW w:w="708" w:type="dxa"/>
            <w:vAlign w:val="center"/>
          </w:tcPr>
          <w:p w14:paraId="1F4A69A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04C4887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02B4BBD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c>
          <w:tcPr>
            <w:tcW w:w="653"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4A6079A1">
      <w:pPr>
        <w:pStyle w:val="16"/>
        <w:spacing w:before="326" w:beforeLines="100" w:line="360" w:lineRule="auto"/>
        <w:ind w:firstLine="140" w:firstLineChars="50"/>
        <w:rPr>
          <w:rFonts w:hint="eastAsia"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1782E18D">
            <w:pPr>
              <w:pStyle w:val="14"/>
              <w:widowControl w:val="0"/>
              <w:ind w:firstLine="420" w:firstLineChars="200"/>
              <w:jc w:val="left"/>
              <w:rPr>
                <w:rFonts w:hint="eastAsia" w:ascii="宋体" w:hAnsi="宋体"/>
              </w:rPr>
            </w:pPr>
            <w:r>
              <w:rPr>
                <w:rFonts w:hint="eastAsia" w:ascii="宋体" w:hAnsi="宋体"/>
              </w:rPr>
              <w:t>结合学前比较教育课程的特点，立足于本国文化和学前教育实际，在课程中融入最新相关素材，让学生对课程感兴趣，具备国际视野，尝试运用比较的方法进行学前教育的学习研究，</w:t>
            </w:r>
            <w:r>
              <w:rPr>
                <w:rFonts w:ascii="宋体" w:hAnsi="宋体"/>
              </w:rPr>
              <w:t>科学地考核学前</w:t>
            </w:r>
            <w:r>
              <w:rPr>
                <w:rFonts w:hint="eastAsia" w:ascii="宋体" w:hAnsi="宋体"/>
              </w:rPr>
              <w:t>比较教育</w:t>
            </w:r>
            <w:r>
              <w:rPr>
                <w:rFonts w:ascii="宋体" w:hAnsi="宋体"/>
              </w:rPr>
              <w:t>课程，实现课程全方位全过程育人。</w:t>
            </w:r>
          </w:p>
          <w:p w14:paraId="5C97333D">
            <w:pPr>
              <w:pStyle w:val="14"/>
              <w:widowControl w:val="0"/>
              <w:ind w:firstLine="420" w:firstLineChars="200"/>
              <w:jc w:val="left"/>
              <w:rPr>
                <w:rFonts w:hint="eastAsia" w:ascii="宋体" w:hAnsi="宋体"/>
              </w:rPr>
            </w:pPr>
            <w:r>
              <w:rPr>
                <w:rFonts w:hint="eastAsia" w:ascii="宋体" w:hAnsi="宋体"/>
              </w:rPr>
              <w:t>从课程教学内容中探索思政元素。</w:t>
            </w:r>
            <w:bookmarkStart w:id="5" w:name="_Hlk156330320"/>
            <w:r>
              <w:rPr>
                <w:rFonts w:ascii="宋体" w:hAnsi="宋体"/>
              </w:rPr>
              <w:t>精选贴切的教育案例</w:t>
            </w:r>
            <w:r>
              <w:rPr>
                <w:rFonts w:hint="eastAsia" w:ascii="宋体" w:hAnsi="宋体"/>
              </w:rPr>
              <w:t>，</w:t>
            </w:r>
            <w:r>
              <w:rPr>
                <w:rFonts w:ascii="宋体" w:hAnsi="宋体"/>
              </w:rPr>
              <w:t>针对每一单元的教学内容，选择</w:t>
            </w:r>
            <w:r>
              <w:rPr>
                <w:rFonts w:hint="eastAsia" w:ascii="宋体" w:hAnsi="宋体"/>
              </w:rPr>
              <w:t>优秀的案例材料供学生学习，</w:t>
            </w:r>
            <w:r>
              <w:rPr>
                <w:rFonts w:ascii="宋体" w:hAnsi="宋体"/>
              </w:rPr>
              <w:t>观看</w:t>
            </w:r>
            <w:r>
              <w:rPr>
                <w:rFonts w:hint="eastAsia" w:ascii="宋体" w:hAnsi="宋体"/>
              </w:rPr>
              <w:t>跨文化教育视频</w:t>
            </w:r>
            <w:r>
              <w:rPr>
                <w:rFonts w:ascii="宋体" w:hAnsi="宋体"/>
              </w:rPr>
              <w:t>，</w:t>
            </w:r>
            <w:bookmarkEnd w:id="5"/>
            <w:r>
              <w:rPr>
                <w:rFonts w:hint="eastAsia"/>
              </w:rPr>
              <w:t>帮助学生提高运用比较方法进行学习和研究的能力。同时，引导学生</w:t>
            </w:r>
            <w:r>
              <w:rPr>
                <w:rFonts w:hint="eastAsia" w:ascii="宋体" w:hAnsi="宋体"/>
                <w:bCs/>
              </w:rPr>
              <w:t>树立文化自信，形成开放视野，立足我国学前教育实际，借鉴国外先进理念和经验，辩证分析，结合国情为我所用</w:t>
            </w:r>
            <w:r>
              <w:rPr>
                <w:rFonts w:hint="eastAsia"/>
              </w:rPr>
              <w:t>。</w:t>
            </w:r>
          </w:p>
          <w:p w14:paraId="5A1D022B">
            <w:pPr>
              <w:pStyle w:val="14"/>
              <w:widowControl w:val="0"/>
              <w:ind w:firstLine="420" w:firstLineChars="200"/>
              <w:jc w:val="left"/>
              <w:rPr>
                <w:rFonts w:hint="eastAsia" w:ascii="宋体" w:hAnsi="宋体"/>
              </w:rPr>
            </w:pPr>
            <w:r>
              <w:rPr>
                <w:rFonts w:hint="eastAsia" w:ascii="宋体" w:hAnsi="宋体"/>
              </w:rPr>
              <w:t>从课程效果评价中探索思政元素。构建多维化的学习效果评价模式，尤其学生通过自评、小组互评方式，有针对性、有目标地评价自己的不足、进步和发展，使学生能够从多维度正确认识自己，发展自己。</w:t>
            </w:r>
          </w:p>
        </w:tc>
      </w:tr>
    </w:tbl>
    <w:p w14:paraId="13F3A459">
      <w:pPr>
        <w:pStyle w:val="16"/>
        <w:spacing w:before="326" w:beforeLines="100" w:line="360" w:lineRule="auto"/>
        <w:rPr>
          <w:rFonts w:hint="eastAsia" w:ascii="黑体" w:hAnsi="宋体"/>
        </w:rPr>
      </w:pPr>
      <w:r>
        <w:rPr>
          <w:rFonts w:hint="eastAsia" w:ascii="黑体" w:hAnsi="宋体"/>
        </w:rPr>
        <w:t>五、课程考核</w:t>
      </w:r>
      <w:bookmarkStart w:id="6" w:name="OLE_LINK4"/>
      <w:bookmarkStart w:id="7" w:name="OLE_LINK3"/>
    </w:p>
    <w:bookmarkEnd w:id="6"/>
    <w:bookmarkEnd w:id="7"/>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691"/>
        <w:gridCol w:w="2040"/>
        <w:gridCol w:w="1066"/>
        <w:gridCol w:w="1019"/>
        <w:gridCol w:w="1019"/>
        <w:gridCol w:w="807"/>
        <w:gridCol w:w="857"/>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Merge w:val="restart"/>
            <w:tcBorders>
              <w:top w:val="single" w:color="auto" w:sz="12" w:space="0"/>
              <w:left w:val="single" w:color="auto" w:sz="12" w:space="0"/>
            </w:tcBorders>
            <w:vAlign w:val="center"/>
          </w:tcPr>
          <w:p w14:paraId="7307AA7A">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91" w:type="dxa"/>
            <w:vMerge w:val="restart"/>
            <w:tcBorders>
              <w:top w:val="single" w:color="auto" w:sz="12" w:space="0"/>
            </w:tcBorders>
            <w:vAlign w:val="center"/>
          </w:tcPr>
          <w:p w14:paraId="08240BA6">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040" w:type="dxa"/>
            <w:vMerge w:val="restart"/>
            <w:tcBorders>
              <w:top w:val="single" w:color="auto" w:sz="12" w:space="0"/>
              <w:right w:val="double" w:color="auto" w:sz="4" w:space="0"/>
            </w:tcBorders>
            <w:vAlign w:val="center"/>
          </w:tcPr>
          <w:p w14:paraId="4DFC742A">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911" w:type="dxa"/>
            <w:gridSpan w:val="4"/>
            <w:tcBorders>
              <w:top w:val="single" w:color="auto" w:sz="12" w:space="0"/>
              <w:left w:val="double" w:color="auto" w:sz="4" w:space="0"/>
            </w:tcBorders>
            <w:vAlign w:val="center"/>
          </w:tcPr>
          <w:p w14:paraId="3A5AF28B">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857"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vMerge w:val="continue"/>
            <w:tcBorders>
              <w:left w:val="single" w:color="auto" w:sz="12" w:space="0"/>
            </w:tcBorders>
          </w:tcPr>
          <w:p w14:paraId="2CEA6531">
            <w:pPr>
              <w:widowControl w:val="0"/>
              <w:snapToGrid w:val="0"/>
              <w:jc w:val="center"/>
              <w:rPr>
                <w:rFonts w:hint="eastAsia" w:ascii="黑体" w:hAnsi="黑体" w:eastAsia="黑体"/>
                <w:bCs/>
                <w:sz w:val="21"/>
                <w:szCs w:val="21"/>
              </w:rPr>
            </w:pPr>
          </w:p>
        </w:tc>
        <w:tc>
          <w:tcPr>
            <w:tcW w:w="691" w:type="dxa"/>
            <w:vMerge w:val="continue"/>
          </w:tcPr>
          <w:p w14:paraId="3738C857">
            <w:pPr>
              <w:pStyle w:val="16"/>
              <w:widowControl w:val="0"/>
              <w:jc w:val="both"/>
              <w:rPr>
                <w:rFonts w:hint="eastAsia" w:ascii="黑体" w:hAnsi="黑体"/>
                <w:bCs/>
                <w:sz w:val="21"/>
                <w:szCs w:val="21"/>
              </w:rPr>
            </w:pPr>
          </w:p>
        </w:tc>
        <w:tc>
          <w:tcPr>
            <w:tcW w:w="2040" w:type="dxa"/>
            <w:vMerge w:val="continue"/>
            <w:tcBorders>
              <w:right w:val="double" w:color="auto" w:sz="4" w:space="0"/>
            </w:tcBorders>
          </w:tcPr>
          <w:p w14:paraId="72218CF5">
            <w:pPr>
              <w:pStyle w:val="16"/>
              <w:widowControl w:val="0"/>
              <w:jc w:val="both"/>
              <w:rPr>
                <w:rFonts w:hint="eastAsia" w:ascii="黑体" w:hAnsi="黑体"/>
                <w:bCs/>
                <w:sz w:val="21"/>
                <w:szCs w:val="21"/>
              </w:rPr>
            </w:pPr>
          </w:p>
        </w:tc>
        <w:tc>
          <w:tcPr>
            <w:tcW w:w="1066" w:type="dxa"/>
            <w:tcBorders>
              <w:left w:val="double" w:color="auto" w:sz="4" w:space="0"/>
            </w:tcBorders>
            <w:vAlign w:val="center"/>
          </w:tcPr>
          <w:p w14:paraId="5B0A7718">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1019" w:type="dxa"/>
            <w:vAlign w:val="center"/>
          </w:tcPr>
          <w:p w14:paraId="3B87B02E">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1019" w:type="dxa"/>
            <w:vAlign w:val="center"/>
          </w:tcPr>
          <w:p w14:paraId="186A8CA5">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807" w:type="dxa"/>
          </w:tcPr>
          <w:p w14:paraId="7BA05CE0">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857" w:type="dxa"/>
            <w:vMerge w:val="continue"/>
            <w:tcBorders>
              <w:right w:val="single" w:color="auto" w:sz="12" w:space="0"/>
            </w:tcBorders>
          </w:tcPr>
          <w:p w14:paraId="62E91C4C">
            <w:pPr>
              <w:pStyle w:val="16"/>
              <w:widowControl w:val="0"/>
              <w:spacing w:line="240" w:lineRule="auto"/>
              <w:jc w:val="center"/>
              <w:rPr>
                <w:rFonts w:hint="eastAsia"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91" w:type="dxa"/>
          </w:tcPr>
          <w:p w14:paraId="35BA31A6">
            <w:pPr>
              <w:pStyle w:val="14"/>
              <w:widowControl w:val="0"/>
            </w:pPr>
            <w:r>
              <w:rPr>
                <w:rFonts w:hint="eastAsia"/>
              </w:rPr>
              <w:t>3</w:t>
            </w:r>
            <w:r>
              <w:t>5%</w:t>
            </w:r>
          </w:p>
        </w:tc>
        <w:tc>
          <w:tcPr>
            <w:tcW w:w="2040" w:type="dxa"/>
            <w:tcBorders>
              <w:right w:val="double" w:color="auto" w:sz="4" w:space="0"/>
            </w:tcBorders>
          </w:tcPr>
          <w:p w14:paraId="302F7EF4">
            <w:pPr>
              <w:pStyle w:val="14"/>
              <w:widowControl w:val="0"/>
            </w:pPr>
            <w:r>
              <w:rPr>
                <w:rFonts w:hint="eastAsia"/>
              </w:rPr>
              <w:t>学习总结</w:t>
            </w:r>
          </w:p>
        </w:tc>
        <w:tc>
          <w:tcPr>
            <w:tcW w:w="1066" w:type="dxa"/>
            <w:tcBorders>
              <w:left w:val="double" w:color="auto" w:sz="4" w:space="0"/>
            </w:tcBorders>
            <w:vAlign w:val="center"/>
          </w:tcPr>
          <w:p w14:paraId="24F71567">
            <w:pPr>
              <w:pStyle w:val="14"/>
              <w:widowControl w:val="0"/>
            </w:pPr>
            <w:r>
              <w:rPr>
                <w:rFonts w:hint="eastAsia"/>
              </w:rPr>
              <w:t>30</w:t>
            </w:r>
          </w:p>
        </w:tc>
        <w:tc>
          <w:tcPr>
            <w:tcW w:w="1019" w:type="dxa"/>
            <w:vAlign w:val="center"/>
          </w:tcPr>
          <w:p w14:paraId="4EBA91CC">
            <w:pPr>
              <w:pStyle w:val="14"/>
              <w:widowControl w:val="0"/>
            </w:pPr>
            <w:r>
              <w:rPr>
                <w:rFonts w:hint="eastAsia"/>
              </w:rPr>
              <w:t>20</w:t>
            </w:r>
          </w:p>
        </w:tc>
        <w:tc>
          <w:tcPr>
            <w:tcW w:w="1019" w:type="dxa"/>
            <w:vAlign w:val="center"/>
          </w:tcPr>
          <w:p w14:paraId="561A033C">
            <w:pPr>
              <w:pStyle w:val="14"/>
              <w:widowControl w:val="0"/>
            </w:pPr>
            <w:r>
              <w:rPr>
                <w:rFonts w:hint="eastAsia"/>
              </w:rPr>
              <w:t>40</w:t>
            </w:r>
          </w:p>
        </w:tc>
        <w:tc>
          <w:tcPr>
            <w:tcW w:w="807" w:type="dxa"/>
          </w:tcPr>
          <w:p w14:paraId="7B7F3E7F">
            <w:pPr>
              <w:pStyle w:val="14"/>
              <w:widowControl w:val="0"/>
            </w:pPr>
            <w:r>
              <w:rPr>
                <w:rFonts w:hint="eastAsia"/>
              </w:rPr>
              <w:t>10</w:t>
            </w:r>
          </w:p>
        </w:tc>
        <w:tc>
          <w:tcPr>
            <w:tcW w:w="857"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1" w:type="dxa"/>
          </w:tcPr>
          <w:p w14:paraId="35561B62">
            <w:pPr>
              <w:pStyle w:val="14"/>
              <w:widowControl w:val="0"/>
            </w:pPr>
            <w:r>
              <w:rPr>
                <w:rFonts w:hint="eastAsia"/>
              </w:rPr>
              <w:t>30</w:t>
            </w:r>
            <w:r>
              <w:t>%</w:t>
            </w:r>
          </w:p>
        </w:tc>
        <w:tc>
          <w:tcPr>
            <w:tcW w:w="2040" w:type="dxa"/>
            <w:tcBorders>
              <w:right w:val="double" w:color="auto" w:sz="4" w:space="0"/>
            </w:tcBorders>
          </w:tcPr>
          <w:p w14:paraId="36A92CAE">
            <w:pPr>
              <w:pStyle w:val="14"/>
              <w:widowControl w:val="0"/>
            </w:pPr>
            <w:r>
              <w:rPr>
                <w:rFonts w:hint="eastAsia"/>
              </w:rPr>
              <w:t>小组汇报</w:t>
            </w:r>
          </w:p>
        </w:tc>
        <w:tc>
          <w:tcPr>
            <w:tcW w:w="1066" w:type="dxa"/>
            <w:tcBorders>
              <w:left w:val="double" w:color="auto" w:sz="4" w:space="0"/>
            </w:tcBorders>
            <w:vAlign w:val="center"/>
          </w:tcPr>
          <w:p w14:paraId="3E63E94F">
            <w:pPr>
              <w:pStyle w:val="14"/>
              <w:widowControl w:val="0"/>
            </w:pPr>
            <w:r>
              <w:rPr>
                <w:rFonts w:hint="eastAsia"/>
              </w:rPr>
              <w:t>30</w:t>
            </w:r>
          </w:p>
        </w:tc>
        <w:tc>
          <w:tcPr>
            <w:tcW w:w="1019" w:type="dxa"/>
            <w:vAlign w:val="center"/>
          </w:tcPr>
          <w:p w14:paraId="2833F605">
            <w:pPr>
              <w:pStyle w:val="14"/>
              <w:widowControl w:val="0"/>
            </w:pPr>
            <w:r>
              <w:rPr>
                <w:rFonts w:hint="eastAsia"/>
              </w:rPr>
              <w:t>10</w:t>
            </w:r>
          </w:p>
        </w:tc>
        <w:tc>
          <w:tcPr>
            <w:tcW w:w="1019" w:type="dxa"/>
            <w:vAlign w:val="center"/>
          </w:tcPr>
          <w:p w14:paraId="07583520">
            <w:pPr>
              <w:pStyle w:val="14"/>
              <w:widowControl w:val="0"/>
              <w:jc w:val="left"/>
            </w:pPr>
            <w:r>
              <w:t xml:space="preserve">   </w:t>
            </w:r>
            <w:r>
              <w:rPr>
                <w:rFonts w:hint="eastAsia"/>
              </w:rPr>
              <w:t>50</w:t>
            </w:r>
          </w:p>
        </w:tc>
        <w:tc>
          <w:tcPr>
            <w:tcW w:w="807" w:type="dxa"/>
          </w:tcPr>
          <w:p w14:paraId="5D55F6E9">
            <w:pPr>
              <w:pStyle w:val="14"/>
              <w:widowControl w:val="0"/>
            </w:pPr>
            <w:r>
              <w:rPr>
                <w:rFonts w:hint="eastAsia"/>
              </w:rPr>
              <w:t>10</w:t>
            </w:r>
          </w:p>
        </w:tc>
        <w:tc>
          <w:tcPr>
            <w:tcW w:w="857"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1" w:type="dxa"/>
          </w:tcPr>
          <w:p w14:paraId="3AA5FAE4">
            <w:pPr>
              <w:pStyle w:val="14"/>
              <w:widowControl w:val="0"/>
            </w:pPr>
            <w:r>
              <w:t>20%</w:t>
            </w:r>
          </w:p>
        </w:tc>
        <w:tc>
          <w:tcPr>
            <w:tcW w:w="2040" w:type="dxa"/>
            <w:tcBorders>
              <w:right w:val="double" w:color="auto" w:sz="4" w:space="0"/>
            </w:tcBorders>
          </w:tcPr>
          <w:p w14:paraId="60E4A998">
            <w:pPr>
              <w:pStyle w:val="14"/>
              <w:widowControl w:val="0"/>
            </w:pPr>
            <w:r>
              <w:rPr>
                <w:rFonts w:hint="eastAsia"/>
              </w:rPr>
              <w:t>课后作业</w:t>
            </w:r>
          </w:p>
        </w:tc>
        <w:tc>
          <w:tcPr>
            <w:tcW w:w="1066" w:type="dxa"/>
            <w:tcBorders>
              <w:left w:val="double" w:color="auto" w:sz="4" w:space="0"/>
            </w:tcBorders>
            <w:vAlign w:val="center"/>
          </w:tcPr>
          <w:p w14:paraId="350F1107">
            <w:pPr>
              <w:pStyle w:val="14"/>
              <w:widowControl w:val="0"/>
            </w:pPr>
            <w:r>
              <w:rPr>
                <w:rFonts w:hint="eastAsia"/>
              </w:rPr>
              <w:t>50</w:t>
            </w:r>
          </w:p>
        </w:tc>
        <w:tc>
          <w:tcPr>
            <w:tcW w:w="1019" w:type="dxa"/>
            <w:vAlign w:val="center"/>
          </w:tcPr>
          <w:p w14:paraId="69878D1A">
            <w:pPr>
              <w:pStyle w:val="14"/>
              <w:widowControl w:val="0"/>
            </w:pPr>
            <w:r>
              <w:rPr>
                <w:rFonts w:hint="eastAsia"/>
              </w:rPr>
              <w:t>30</w:t>
            </w:r>
          </w:p>
        </w:tc>
        <w:tc>
          <w:tcPr>
            <w:tcW w:w="1019" w:type="dxa"/>
            <w:vAlign w:val="center"/>
          </w:tcPr>
          <w:p w14:paraId="26EED124">
            <w:pPr>
              <w:pStyle w:val="14"/>
              <w:widowControl w:val="0"/>
            </w:pPr>
          </w:p>
        </w:tc>
        <w:tc>
          <w:tcPr>
            <w:tcW w:w="807" w:type="dxa"/>
          </w:tcPr>
          <w:p w14:paraId="5D1AD04B">
            <w:pPr>
              <w:pStyle w:val="14"/>
              <w:widowControl w:val="0"/>
            </w:pPr>
            <w:r>
              <w:rPr>
                <w:rFonts w:hint="eastAsia"/>
              </w:rPr>
              <w:t>20</w:t>
            </w:r>
          </w:p>
        </w:tc>
        <w:tc>
          <w:tcPr>
            <w:tcW w:w="857" w:type="dxa"/>
            <w:tcBorders>
              <w:right w:val="single" w:color="auto" w:sz="12" w:space="0"/>
            </w:tcBorders>
            <w:vAlign w:val="center"/>
          </w:tcPr>
          <w:p w14:paraId="7667BBD9">
            <w:pPr>
              <w:pStyle w:val="14"/>
              <w:widowControl w:val="0"/>
            </w:pPr>
            <w:r>
              <w:rPr>
                <w:rFonts w:hint="eastAsia"/>
              </w:rPr>
              <w:t>1</w:t>
            </w:r>
            <w:r>
              <w:t>00</w:t>
            </w:r>
          </w:p>
        </w:tc>
      </w:tr>
      <w:tr w14:paraId="26C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tcBorders>
              <w:left w:val="single" w:color="auto" w:sz="12" w:space="0"/>
            </w:tcBorders>
            <w:vAlign w:val="center"/>
          </w:tcPr>
          <w:p w14:paraId="72EE34EB">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691" w:type="dxa"/>
          </w:tcPr>
          <w:p w14:paraId="3770FF54">
            <w:pPr>
              <w:pStyle w:val="14"/>
              <w:widowControl w:val="0"/>
            </w:pPr>
            <w:r>
              <w:t>15%</w:t>
            </w:r>
          </w:p>
        </w:tc>
        <w:tc>
          <w:tcPr>
            <w:tcW w:w="2040" w:type="dxa"/>
            <w:tcBorders>
              <w:right w:val="double" w:color="auto" w:sz="4" w:space="0"/>
            </w:tcBorders>
          </w:tcPr>
          <w:p w14:paraId="406FEE5E">
            <w:pPr>
              <w:pStyle w:val="14"/>
              <w:widowControl w:val="0"/>
            </w:pPr>
            <w:r>
              <w:rPr>
                <w:rFonts w:hint="eastAsia"/>
              </w:rPr>
              <w:t>平时表现</w:t>
            </w:r>
          </w:p>
        </w:tc>
        <w:tc>
          <w:tcPr>
            <w:tcW w:w="1066" w:type="dxa"/>
            <w:tcBorders>
              <w:left w:val="double" w:color="auto" w:sz="4" w:space="0"/>
            </w:tcBorders>
            <w:vAlign w:val="center"/>
          </w:tcPr>
          <w:p w14:paraId="7600F008">
            <w:pPr>
              <w:pStyle w:val="14"/>
              <w:widowControl w:val="0"/>
            </w:pPr>
          </w:p>
        </w:tc>
        <w:tc>
          <w:tcPr>
            <w:tcW w:w="1019" w:type="dxa"/>
            <w:vAlign w:val="center"/>
          </w:tcPr>
          <w:p w14:paraId="0EA35378">
            <w:pPr>
              <w:pStyle w:val="14"/>
              <w:widowControl w:val="0"/>
            </w:pPr>
            <w:r>
              <w:rPr>
                <w:rFonts w:hint="eastAsia"/>
              </w:rPr>
              <w:t>30</w:t>
            </w:r>
          </w:p>
        </w:tc>
        <w:tc>
          <w:tcPr>
            <w:tcW w:w="1019" w:type="dxa"/>
            <w:vAlign w:val="center"/>
          </w:tcPr>
          <w:p w14:paraId="0BB48108">
            <w:pPr>
              <w:pStyle w:val="14"/>
              <w:widowControl w:val="0"/>
            </w:pPr>
            <w:r>
              <w:rPr>
                <w:rFonts w:hint="eastAsia"/>
              </w:rPr>
              <w:t>30</w:t>
            </w:r>
          </w:p>
        </w:tc>
        <w:tc>
          <w:tcPr>
            <w:tcW w:w="807" w:type="dxa"/>
          </w:tcPr>
          <w:p w14:paraId="1DD491C7">
            <w:pPr>
              <w:pStyle w:val="14"/>
              <w:widowControl w:val="0"/>
            </w:pPr>
            <w:r>
              <w:rPr>
                <w:rFonts w:hint="eastAsia"/>
              </w:rPr>
              <w:t>40</w:t>
            </w:r>
          </w:p>
        </w:tc>
        <w:tc>
          <w:tcPr>
            <w:tcW w:w="857" w:type="dxa"/>
            <w:tcBorders>
              <w:right w:val="single" w:color="auto" w:sz="12" w:space="0"/>
            </w:tcBorders>
            <w:vAlign w:val="center"/>
          </w:tcPr>
          <w:p w14:paraId="4F463E76">
            <w:pPr>
              <w:pStyle w:val="14"/>
              <w:widowControl w:val="0"/>
            </w:pPr>
            <w:r>
              <w:rPr>
                <w:rFonts w:hint="eastAsia"/>
              </w:rPr>
              <w:t>1</w:t>
            </w:r>
            <w:r>
              <w:t>00</w:t>
            </w:r>
          </w:p>
        </w:tc>
      </w:tr>
    </w:tbl>
    <w:p w14:paraId="509743C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1908"/>
    <w:rsid w:val="0000419C"/>
    <w:rsid w:val="000145AE"/>
    <w:rsid w:val="00020270"/>
    <w:rsid w:val="000203E0"/>
    <w:rsid w:val="000210E0"/>
    <w:rsid w:val="00021EF5"/>
    <w:rsid w:val="00030534"/>
    <w:rsid w:val="00033082"/>
    <w:rsid w:val="00044088"/>
    <w:rsid w:val="00053590"/>
    <w:rsid w:val="0006001D"/>
    <w:rsid w:val="00066041"/>
    <w:rsid w:val="00076794"/>
    <w:rsid w:val="0008122A"/>
    <w:rsid w:val="00081500"/>
    <w:rsid w:val="00087488"/>
    <w:rsid w:val="0009050A"/>
    <w:rsid w:val="00091C71"/>
    <w:rsid w:val="0009721F"/>
    <w:rsid w:val="000A4E73"/>
    <w:rsid w:val="000B1BD2"/>
    <w:rsid w:val="000C0F0D"/>
    <w:rsid w:val="000C13BC"/>
    <w:rsid w:val="000C6B8B"/>
    <w:rsid w:val="000D28E5"/>
    <w:rsid w:val="000D34D7"/>
    <w:rsid w:val="00100633"/>
    <w:rsid w:val="001064F6"/>
    <w:rsid w:val="001072BC"/>
    <w:rsid w:val="00107BB8"/>
    <w:rsid w:val="00114BD6"/>
    <w:rsid w:val="00117C4A"/>
    <w:rsid w:val="0012305A"/>
    <w:rsid w:val="001255C9"/>
    <w:rsid w:val="00125C4D"/>
    <w:rsid w:val="00130F6D"/>
    <w:rsid w:val="00133554"/>
    <w:rsid w:val="00144082"/>
    <w:rsid w:val="001443E5"/>
    <w:rsid w:val="00160509"/>
    <w:rsid w:val="0016381F"/>
    <w:rsid w:val="00163A48"/>
    <w:rsid w:val="00164258"/>
    <w:rsid w:val="00164E36"/>
    <w:rsid w:val="001678A2"/>
    <w:rsid w:val="00183AA1"/>
    <w:rsid w:val="0018767C"/>
    <w:rsid w:val="001916A0"/>
    <w:rsid w:val="001A135C"/>
    <w:rsid w:val="001B07F6"/>
    <w:rsid w:val="001B0D49"/>
    <w:rsid w:val="001B1EB6"/>
    <w:rsid w:val="001B546F"/>
    <w:rsid w:val="001B7D0F"/>
    <w:rsid w:val="001C106B"/>
    <w:rsid w:val="001C16FC"/>
    <w:rsid w:val="001C2E3E"/>
    <w:rsid w:val="001C388D"/>
    <w:rsid w:val="001D61C6"/>
    <w:rsid w:val="001E0494"/>
    <w:rsid w:val="001E1D2D"/>
    <w:rsid w:val="001E4310"/>
    <w:rsid w:val="001E5A17"/>
    <w:rsid w:val="001F07DD"/>
    <w:rsid w:val="001F08EE"/>
    <w:rsid w:val="001F284E"/>
    <w:rsid w:val="001F332E"/>
    <w:rsid w:val="00204EBE"/>
    <w:rsid w:val="00217861"/>
    <w:rsid w:val="002204E4"/>
    <w:rsid w:val="002211BF"/>
    <w:rsid w:val="0022570E"/>
    <w:rsid w:val="00233F15"/>
    <w:rsid w:val="002420F1"/>
    <w:rsid w:val="00251B2F"/>
    <w:rsid w:val="00252F36"/>
    <w:rsid w:val="00253AC8"/>
    <w:rsid w:val="00256B39"/>
    <w:rsid w:val="0026033C"/>
    <w:rsid w:val="0026727C"/>
    <w:rsid w:val="0027339A"/>
    <w:rsid w:val="00274E82"/>
    <w:rsid w:val="002757AB"/>
    <w:rsid w:val="0027777C"/>
    <w:rsid w:val="00277FE7"/>
    <w:rsid w:val="00280384"/>
    <w:rsid w:val="002877FA"/>
    <w:rsid w:val="00290962"/>
    <w:rsid w:val="0029110B"/>
    <w:rsid w:val="00291F73"/>
    <w:rsid w:val="002A4649"/>
    <w:rsid w:val="002A7227"/>
    <w:rsid w:val="002B0773"/>
    <w:rsid w:val="002B0C48"/>
    <w:rsid w:val="002B13CA"/>
    <w:rsid w:val="002B3650"/>
    <w:rsid w:val="002B53CD"/>
    <w:rsid w:val="002B7322"/>
    <w:rsid w:val="002C58B6"/>
    <w:rsid w:val="002C7A06"/>
    <w:rsid w:val="002D0E86"/>
    <w:rsid w:val="002D67F8"/>
    <w:rsid w:val="002D7C47"/>
    <w:rsid w:val="002E06AB"/>
    <w:rsid w:val="002E33CE"/>
    <w:rsid w:val="002E3721"/>
    <w:rsid w:val="002E6F95"/>
    <w:rsid w:val="002E764D"/>
    <w:rsid w:val="002F0FA3"/>
    <w:rsid w:val="002F3157"/>
    <w:rsid w:val="002F6BD5"/>
    <w:rsid w:val="00305F23"/>
    <w:rsid w:val="00313BBA"/>
    <w:rsid w:val="00317E29"/>
    <w:rsid w:val="00321515"/>
    <w:rsid w:val="0032602E"/>
    <w:rsid w:val="00327B8C"/>
    <w:rsid w:val="00331638"/>
    <w:rsid w:val="003344A7"/>
    <w:rsid w:val="00334623"/>
    <w:rsid w:val="003367AE"/>
    <w:rsid w:val="00340169"/>
    <w:rsid w:val="00340439"/>
    <w:rsid w:val="00344EF2"/>
    <w:rsid w:val="00347EB8"/>
    <w:rsid w:val="00347F8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4109"/>
    <w:rsid w:val="003A5874"/>
    <w:rsid w:val="003B0717"/>
    <w:rsid w:val="003B1258"/>
    <w:rsid w:val="003B4A81"/>
    <w:rsid w:val="003C1E42"/>
    <w:rsid w:val="003C1F8D"/>
    <w:rsid w:val="003C5409"/>
    <w:rsid w:val="003C61A5"/>
    <w:rsid w:val="003D1968"/>
    <w:rsid w:val="003D4994"/>
    <w:rsid w:val="003E023D"/>
    <w:rsid w:val="003E10A5"/>
    <w:rsid w:val="003E58DC"/>
    <w:rsid w:val="003E7D72"/>
    <w:rsid w:val="003F10D5"/>
    <w:rsid w:val="003F30EF"/>
    <w:rsid w:val="003F3923"/>
    <w:rsid w:val="003F43F6"/>
    <w:rsid w:val="003F49A0"/>
    <w:rsid w:val="004019DB"/>
    <w:rsid w:val="00402B67"/>
    <w:rsid w:val="00403C91"/>
    <w:rsid w:val="0040433E"/>
    <w:rsid w:val="00404974"/>
    <w:rsid w:val="0040726A"/>
    <w:rsid w:val="004100B0"/>
    <w:rsid w:val="0041267F"/>
    <w:rsid w:val="0042031B"/>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F98"/>
    <w:rsid w:val="004852BF"/>
    <w:rsid w:val="00487A46"/>
    <w:rsid w:val="00493504"/>
    <w:rsid w:val="00494579"/>
    <w:rsid w:val="00497334"/>
    <w:rsid w:val="004A4645"/>
    <w:rsid w:val="004A656E"/>
    <w:rsid w:val="004A6F3A"/>
    <w:rsid w:val="004B1332"/>
    <w:rsid w:val="004B408D"/>
    <w:rsid w:val="004B6F68"/>
    <w:rsid w:val="004B73F7"/>
    <w:rsid w:val="004D4FB3"/>
    <w:rsid w:val="004D51ED"/>
    <w:rsid w:val="004D75A6"/>
    <w:rsid w:val="004E3456"/>
    <w:rsid w:val="004E4FFF"/>
    <w:rsid w:val="004E711A"/>
    <w:rsid w:val="004F3DF0"/>
    <w:rsid w:val="004F6218"/>
    <w:rsid w:val="005074E1"/>
    <w:rsid w:val="00507B00"/>
    <w:rsid w:val="005126F1"/>
    <w:rsid w:val="00513F2F"/>
    <w:rsid w:val="0051612A"/>
    <w:rsid w:val="00517176"/>
    <w:rsid w:val="00520A08"/>
    <w:rsid w:val="0052192E"/>
    <w:rsid w:val="00524300"/>
    <w:rsid w:val="0054059C"/>
    <w:rsid w:val="00541F72"/>
    <w:rsid w:val="00542388"/>
    <w:rsid w:val="00544523"/>
    <w:rsid w:val="005467DC"/>
    <w:rsid w:val="00546A82"/>
    <w:rsid w:val="00547C51"/>
    <w:rsid w:val="00551335"/>
    <w:rsid w:val="005519BB"/>
    <w:rsid w:val="005523FD"/>
    <w:rsid w:val="005537D0"/>
    <w:rsid w:val="00553D03"/>
    <w:rsid w:val="00555BA0"/>
    <w:rsid w:val="00556E41"/>
    <w:rsid w:val="0057496F"/>
    <w:rsid w:val="00574FCB"/>
    <w:rsid w:val="005770A6"/>
    <w:rsid w:val="00585AC0"/>
    <w:rsid w:val="0059045B"/>
    <w:rsid w:val="00597EC2"/>
    <w:rsid w:val="005A12C8"/>
    <w:rsid w:val="005A13AB"/>
    <w:rsid w:val="005A2A33"/>
    <w:rsid w:val="005A36AE"/>
    <w:rsid w:val="005B1150"/>
    <w:rsid w:val="005B1FFC"/>
    <w:rsid w:val="005B2B6D"/>
    <w:rsid w:val="005B4B4E"/>
    <w:rsid w:val="005C3A76"/>
    <w:rsid w:val="005C5BE9"/>
    <w:rsid w:val="005C7D8D"/>
    <w:rsid w:val="005D138C"/>
    <w:rsid w:val="005D5B6F"/>
    <w:rsid w:val="005D6A3C"/>
    <w:rsid w:val="005E38A5"/>
    <w:rsid w:val="005F5185"/>
    <w:rsid w:val="0062115C"/>
    <w:rsid w:val="0062265B"/>
    <w:rsid w:val="00623402"/>
    <w:rsid w:val="00624B5C"/>
    <w:rsid w:val="00624FE1"/>
    <w:rsid w:val="0062577D"/>
    <w:rsid w:val="0063249D"/>
    <w:rsid w:val="006331EE"/>
    <w:rsid w:val="006355E6"/>
    <w:rsid w:val="00637E00"/>
    <w:rsid w:val="0064038A"/>
    <w:rsid w:val="0065167D"/>
    <w:rsid w:val="00652D13"/>
    <w:rsid w:val="0066595A"/>
    <w:rsid w:val="00666206"/>
    <w:rsid w:val="00672788"/>
    <w:rsid w:val="00673787"/>
    <w:rsid w:val="00674159"/>
    <w:rsid w:val="00676183"/>
    <w:rsid w:val="00680DA3"/>
    <w:rsid w:val="0068178B"/>
    <w:rsid w:val="0068377F"/>
    <w:rsid w:val="00683B6A"/>
    <w:rsid w:val="00691B24"/>
    <w:rsid w:val="00693716"/>
    <w:rsid w:val="00695B93"/>
    <w:rsid w:val="00697C16"/>
    <w:rsid w:val="006A25E5"/>
    <w:rsid w:val="006A4F37"/>
    <w:rsid w:val="006A5A89"/>
    <w:rsid w:val="006B25B1"/>
    <w:rsid w:val="006B3BB9"/>
    <w:rsid w:val="006B48AC"/>
    <w:rsid w:val="006B5977"/>
    <w:rsid w:val="006B65B0"/>
    <w:rsid w:val="006B794D"/>
    <w:rsid w:val="006C3948"/>
    <w:rsid w:val="006C4B2D"/>
    <w:rsid w:val="006D1B59"/>
    <w:rsid w:val="006D2F9C"/>
    <w:rsid w:val="006D4351"/>
    <w:rsid w:val="006D52ED"/>
    <w:rsid w:val="006D5424"/>
    <w:rsid w:val="006E3EC8"/>
    <w:rsid w:val="006E5CA9"/>
    <w:rsid w:val="006E5E98"/>
    <w:rsid w:val="006E7A37"/>
    <w:rsid w:val="006F3151"/>
    <w:rsid w:val="0070013F"/>
    <w:rsid w:val="007011CA"/>
    <w:rsid w:val="007034F6"/>
    <w:rsid w:val="00703EBE"/>
    <w:rsid w:val="007056DE"/>
    <w:rsid w:val="00706121"/>
    <w:rsid w:val="00710B6B"/>
    <w:rsid w:val="007129E0"/>
    <w:rsid w:val="00712A2C"/>
    <w:rsid w:val="00712E84"/>
    <w:rsid w:val="00714914"/>
    <w:rsid w:val="007208D6"/>
    <w:rsid w:val="00725964"/>
    <w:rsid w:val="00726786"/>
    <w:rsid w:val="00732152"/>
    <w:rsid w:val="007428DF"/>
    <w:rsid w:val="00742BD1"/>
    <w:rsid w:val="00742E7A"/>
    <w:rsid w:val="0074424F"/>
    <w:rsid w:val="007513F2"/>
    <w:rsid w:val="00761F3F"/>
    <w:rsid w:val="00764FD9"/>
    <w:rsid w:val="00771EEC"/>
    <w:rsid w:val="007740B2"/>
    <w:rsid w:val="00774C1F"/>
    <w:rsid w:val="007765B7"/>
    <w:rsid w:val="0078194F"/>
    <w:rsid w:val="007934A4"/>
    <w:rsid w:val="007A0AC9"/>
    <w:rsid w:val="007A1B70"/>
    <w:rsid w:val="007A1CA1"/>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D87"/>
    <w:rsid w:val="00815B8D"/>
    <w:rsid w:val="00815B8E"/>
    <w:rsid w:val="00816982"/>
    <w:rsid w:val="00816D99"/>
    <w:rsid w:val="0082324C"/>
    <w:rsid w:val="00823D71"/>
    <w:rsid w:val="008245AF"/>
    <w:rsid w:val="008256B9"/>
    <w:rsid w:val="0083005C"/>
    <w:rsid w:val="0083705D"/>
    <w:rsid w:val="0084242F"/>
    <w:rsid w:val="00845795"/>
    <w:rsid w:val="00846E0F"/>
    <w:rsid w:val="00847437"/>
    <w:rsid w:val="00847644"/>
    <w:rsid w:val="00873C49"/>
    <w:rsid w:val="00882DBC"/>
    <w:rsid w:val="00882E15"/>
    <w:rsid w:val="00883C73"/>
    <w:rsid w:val="0088558D"/>
    <w:rsid w:val="008901A2"/>
    <w:rsid w:val="008A08B0"/>
    <w:rsid w:val="008B0385"/>
    <w:rsid w:val="008B0926"/>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28E4"/>
    <w:rsid w:val="008F253F"/>
    <w:rsid w:val="008F7F31"/>
    <w:rsid w:val="00900019"/>
    <w:rsid w:val="009023B1"/>
    <w:rsid w:val="00905F9F"/>
    <w:rsid w:val="009147D6"/>
    <w:rsid w:val="00914D98"/>
    <w:rsid w:val="00925F8C"/>
    <w:rsid w:val="00927324"/>
    <w:rsid w:val="00932ED7"/>
    <w:rsid w:val="00933990"/>
    <w:rsid w:val="00941B89"/>
    <w:rsid w:val="00941DEA"/>
    <w:rsid w:val="00942C8A"/>
    <w:rsid w:val="009450FA"/>
    <w:rsid w:val="00950BFA"/>
    <w:rsid w:val="00960C79"/>
    <w:rsid w:val="009643C5"/>
    <w:rsid w:val="009656CC"/>
    <w:rsid w:val="00970E8C"/>
    <w:rsid w:val="00971671"/>
    <w:rsid w:val="00981A37"/>
    <w:rsid w:val="009830B2"/>
    <w:rsid w:val="0099063E"/>
    <w:rsid w:val="00992356"/>
    <w:rsid w:val="00992674"/>
    <w:rsid w:val="00994793"/>
    <w:rsid w:val="00996AE3"/>
    <w:rsid w:val="0099732C"/>
    <w:rsid w:val="009A0450"/>
    <w:rsid w:val="009A1E27"/>
    <w:rsid w:val="009A307B"/>
    <w:rsid w:val="009B04E7"/>
    <w:rsid w:val="009B14E8"/>
    <w:rsid w:val="009B4D21"/>
    <w:rsid w:val="009B5A73"/>
    <w:rsid w:val="009C54C9"/>
    <w:rsid w:val="009C589C"/>
    <w:rsid w:val="009D192B"/>
    <w:rsid w:val="009D2582"/>
    <w:rsid w:val="009D33E1"/>
    <w:rsid w:val="009D3B45"/>
    <w:rsid w:val="009D6302"/>
    <w:rsid w:val="009D7CF9"/>
    <w:rsid w:val="009E2CCC"/>
    <w:rsid w:val="009E2CDD"/>
    <w:rsid w:val="009E366E"/>
    <w:rsid w:val="009E5A2B"/>
    <w:rsid w:val="009E6FC4"/>
    <w:rsid w:val="009E7D06"/>
    <w:rsid w:val="009F00DC"/>
    <w:rsid w:val="009F3199"/>
    <w:rsid w:val="009F3355"/>
    <w:rsid w:val="009F3648"/>
    <w:rsid w:val="009F3B7A"/>
    <w:rsid w:val="009F4B58"/>
    <w:rsid w:val="009F54D0"/>
    <w:rsid w:val="00A03D9B"/>
    <w:rsid w:val="00A04523"/>
    <w:rsid w:val="00A16159"/>
    <w:rsid w:val="00A161E6"/>
    <w:rsid w:val="00A16408"/>
    <w:rsid w:val="00A169F8"/>
    <w:rsid w:val="00A17885"/>
    <w:rsid w:val="00A2337D"/>
    <w:rsid w:val="00A25A31"/>
    <w:rsid w:val="00A31BBE"/>
    <w:rsid w:val="00A31D34"/>
    <w:rsid w:val="00A333EF"/>
    <w:rsid w:val="00A33F85"/>
    <w:rsid w:val="00A40645"/>
    <w:rsid w:val="00A51F53"/>
    <w:rsid w:val="00A6016C"/>
    <w:rsid w:val="00A769B1"/>
    <w:rsid w:val="00A77DA3"/>
    <w:rsid w:val="00A837D5"/>
    <w:rsid w:val="00A83E04"/>
    <w:rsid w:val="00A91091"/>
    <w:rsid w:val="00A93EE3"/>
    <w:rsid w:val="00A94BA9"/>
    <w:rsid w:val="00AA4970"/>
    <w:rsid w:val="00AA536D"/>
    <w:rsid w:val="00AB22C0"/>
    <w:rsid w:val="00AB28FC"/>
    <w:rsid w:val="00AB2FF9"/>
    <w:rsid w:val="00AB49E4"/>
    <w:rsid w:val="00AC1479"/>
    <w:rsid w:val="00AC2AAC"/>
    <w:rsid w:val="00AC40F1"/>
    <w:rsid w:val="00AC4C45"/>
    <w:rsid w:val="00AC5AD9"/>
    <w:rsid w:val="00AD1085"/>
    <w:rsid w:val="00AD5B40"/>
    <w:rsid w:val="00AE7E58"/>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37B1"/>
    <w:rsid w:val="00B84854"/>
    <w:rsid w:val="00B919FA"/>
    <w:rsid w:val="00B94A16"/>
    <w:rsid w:val="00BA6044"/>
    <w:rsid w:val="00BB1A93"/>
    <w:rsid w:val="00BB45BD"/>
    <w:rsid w:val="00BC14BF"/>
    <w:rsid w:val="00BC2625"/>
    <w:rsid w:val="00BC301F"/>
    <w:rsid w:val="00BC3200"/>
    <w:rsid w:val="00BC338A"/>
    <w:rsid w:val="00BC7291"/>
    <w:rsid w:val="00BD7AB0"/>
    <w:rsid w:val="00BE2879"/>
    <w:rsid w:val="00BE527E"/>
    <w:rsid w:val="00BF3C20"/>
    <w:rsid w:val="00C011BC"/>
    <w:rsid w:val="00C03DBA"/>
    <w:rsid w:val="00C07997"/>
    <w:rsid w:val="00C10727"/>
    <w:rsid w:val="00C112E7"/>
    <w:rsid w:val="00C11C78"/>
    <w:rsid w:val="00C11CD4"/>
    <w:rsid w:val="00C14B17"/>
    <w:rsid w:val="00C15061"/>
    <w:rsid w:val="00C1713D"/>
    <w:rsid w:val="00C20D9D"/>
    <w:rsid w:val="00C2134F"/>
    <w:rsid w:val="00C22DF5"/>
    <w:rsid w:val="00C24718"/>
    <w:rsid w:val="00C2675D"/>
    <w:rsid w:val="00C30AEE"/>
    <w:rsid w:val="00C33362"/>
    <w:rsid w:val="00C353AE"/>
    <w:rsid w:val="00C4194E"/>
    <w:rsid w:val="00C516B1"/>
    <w:rsid w:val="00C523E5"/>
    <w:rsid w:val="00C5350C"/>
    <w:rsid w:val="00C56E09"/>
    <w:rsid w:val="00C606AC"/>
    <w:rsid w:val="00C61B1B"/>
    <w:rsid w:val="00C656E0"/>
    <w:rsid w:val="00C66AB7"/>
    <w:rsid w:val="00C673D1"/>
    <w:rsid w:val="00C746CB"/>
    <w:rsid w:val="00C77AAE"/>
    <w:rsid w:val="00C77BBF"/>
    <w:rsid w:val="00C77D64"/>
    <w:rsid w:val="00C81564"/>
    <w:rsid w:val="00C9080C"/>
    <w:rsid w:val="00C93B56"/>
    <w:rsid w:val="00C94429"/>
    <w:rsid w:val="00CA18FD"/>
    <w:rsid w:val="00CA27E5"/>
    <w:rsid w:val="00CA4897"/>
    <w:rsid w:val="00CA6928"/>
    <w:rsid w:val="00CB1C4F"/>
    <w:rsid w:val="00CB3D3F"/>
    <w:rsid w:val="00CB5A1A"/>
    <w:rsid w:val="00CC2E0F"/>
    <w:rsid w:val="00CC44A4"/>
    <w:rsid w:val="00CC59E6"/>
    <w:rsid w:val="00CD0FFB"/>
    <w:rsid w:val="00CD5BDD"/>
    <w:rsid w:val="00CE6F40"/>
    <w:rsid w:val="00CF096B"/>
    <w:rsid w:val="00CF10F7"/>
    <w:rsid w:val="00CF3691"/>
    <w:rsid w:val="00CF5EE3"/>
    <w:rsid w:val="00CF691F"/>
    <w:rsid w:val="00D00D99"/>
    <w:rsid w:val="00D013A4"/>
    <w:rsid w:val="00D0253B"/>
    <w:rsid w:val="00D026DC"/>
    <w:rsid w:val="00D15595"/>
    <w:rsid w:val="00D30586"/>
    <w:rsid w:val="00D343A8"/>
    <w:rsid w:val="00D37832"/>
    <w:rsid w:val="00D4291B"/>
    <w:rsid w:val="00D44860"/>
    <w:rsid w:val="00D47689"/>
    <w:rsid w:val="00D50C42"/>
    <w:rsid w:val="00D57CF5"/>
    <w:rsid w:val="00D60ED8"/>
    <w:rsid w:val="00D612BC"/>
    <w:rsid w:val="00D62F98"/>
    <w:rsid w:val="00D66FD6"/>
    <w:rsid w:val="00D8285B"/>
    <w:rsid w:val="00D862EB"/>
    <w:rsid w:val="00D86619"/>
    <w:rsid w:val="00D90B4C"/>
    <w:rsid w:val="00D93E7C"/>
    <w:rsid w:val="00DB2BE6"/>
    <w:rsid w:val="00DB751A"/>
    <w:rsid w:val="00DB76B3"/>
    <w:rsid w:val="00DC4924"/>
    <w:rsid w:val="00DC4C4E"/>
    <w:rsid w:val="00DD1052"/>
    <w:rsid w:val="00DD3C7B"/>
    <w:rsid w:val="00DE2B21"/>
    <w:rsid w:val="00DE48DE"/>
    <w:rsid w:val="00DF25F2"/>
    <w:rsid w:val="00DF4166"/>
    <w:rsid w:val="00DF55CF"/>
    <w:rsid w:val="00E000F4"/>
    <w:rsid w:val="00E01231"/>
    <w:rsid w:val="00E04279"/>
    <w:rsid w:val="00E11393"/>
    <w:rsid w:val="00E125D9"/>
    <w:rsid w:val="00E16D30"/>
    <w:rsid w:val="00E22571"/>
    <w:rsid w:val="00E31E69"/>
    <w:rsid w:val="00E32489"/>
    <w:rsid w:val="00E33169"/>
    <w:rsid w:val="00E34A7B"/>
    <w:rsid w:val="00E34EB8"/>
    <w:rsid w:val="00E40973"/>
    <w:rsid w:val="00E5179F"/>
    <w:rsid w:val="00E545FF"/>
    <w:rsid w:val="00E6080E"/>
    <w:rsid w:val="00E64168"/>
    <w:rsid w:val="00E655B3"/>
    <w:rsid w:val="00E66419"/>
    <w:rsid w:val="00E7081D"/>
    <w:rsid w:val="00E70904"/>
    <w:rsid w:val="00E71319"/>
    <w:rsid w:val="00E74EA0"/>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0315"/>
    <w:rsid w:val="00EE1C85"/>
    <w:rsid w:val="00EF21D9"/>
    <w:rsid w:val="00EF2A94"/>
    <w:rsid w:val="00EF32FB"/>
    <w:rsid w:val="00EF44B1"/>
    <w:rsid w:val="00EF45A4"/>
    <w:rsid w:val="00EF4865"/>
    <w:rsid w:val="00EF5954"/>
    <w:rsid w:val="00F049D7"/>
    <w:rsid w:val="00F100D2"/>
    <w:rsid w:val="00F12942"/>
    <w:rsid w:val="00F13C41"/>
    <w:rsid w:val="00F14886"/>
    <w:rsid w:val="00F15432"/>
    <w:rsid w:val="00F16421"/>
    <w:rsid w:val="00F201EE"/>
    <w:rsid w:val="00F35AA0"/>
    <w:rsid w:val="00F40EDB"/>
    <w:rsid w:val="00F43C49"/>
    <w:rsid w:val="00F45C12"/>
    <w:rsid w:val="00F52EF8"/>
    <w:rsid w:val="00F544A2"/>
    <w:rsid w:val="00F60C33"/>
    <w:rsid w:val="00F73D03"/>
    <w:rsid w:val="00F76CB9"/>
    <w:rsid w:val="00F77A73"/>
    <w:rsid w:val="00F80E46"/>
    <w:rsid w:val="00F96236"/>
    <w:rsid w:val="00FA10CE"/>
    <w:rsid w:val="00FA222F"/>
    <w:rsid w:val="00FA2891"/>
    <w:rsid w:val="00FA582C"/>
    <w:rsid w:val="00FA6019"/>
    <w:rsid w:val="00FB693D"/>
    <w:rsid w:val="00FB7768"/>
    <w:rsid w:val="00FB7EDF"/>
    <w:rsid w:val="00FC490C"/>
    <w:rsid w:val="00FC7489"/>
    <w:rsid w:val="00FD1BA8"/>
    <w:rsid w:val="00FD218F"/>
    <w:rsid w:val="00FD5663"/>
    <w:rsid w:val="00FD56C6"/>
    <w:rsid w:val="00FE2F61"/>
    <w:rsid w:val="00FE3221"/>
    <w:rsid w:val="00FE48EA"/>
    <w:rsid w:val="00FE571F"/>
    <w:rsid w:val="00FF47F6"/>
    <w:rsid w:val="016E63C2"/>
    <w:rsid w:val="024B0C39"/>
    <w:rsid w:val="0A8128A6"/>
    <w:rsid w:val="0BF32A1B"/>
    <w:rsid w:val="10BD2C22"/>
    <w:rsid w:val="22987C80"/>
    <w:rsid w:val="24192CCC"/>
    <w:rsid w:val="39A66CD4"/>
    <w:rsid w:val="3CD52CE1"/>
    <w:rsid w:val="3FE550D2"/>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2526</Words>
  <Characters>2684</Characters>
  <Lines>29</Lines>
  <Paragraphs>8</Paragraphs>
  <TotalTime>1</TotalTime>
  <ScaleCrop>false</ScaleCrop>
  <LinksUpToDate>false</LinksUpToDate>
  <CharactersWithSpaces>2697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2025-09-15T07:57:27Z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675436BB76DA4CCB968A1A4FBD41B2FF_12</vt:lpwstr>
  </property>
</Properties>
</file>