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婴儿家庭教育指导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2130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795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胡毓婷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9240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教育学院323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每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周二、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三下午   学生事务中心324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1655B7">
            <w:pPr>
              <w:snapToGrid w:val="0"/>
              <w:spacing w:line="288" w:lineRule="auto"/>
              <w:rPr>
                <w:rFonts w:hint="eastAsia" w:asciiTheme="minorEastAsia" w:hAnsiTheme="minorEastAsia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0"/>
                <w:szCs w:val="20"/>
                <w:lang w:eastAsia="zh-CN"/>
              </w:rPr>
              <w:t>云班课号：3980213</w:t>
            </w:r>
          </w:p>
          <w:p w14:paraId="1C215F08">
            <w:pPr>
              <w:snapToGrid w:val="0"/>
              <w:spacing w:line="288" w:lineRule="auto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instrText xml:space="preserve"> HYPERLINK "https://my.gench.edu.cn/FAP5.Portal/pc.html?rnd=892899959" </w:instrText>
            </w:r>
            <w:r>
              <w:fldChar w:fldCharType="separate"/>
            </w:r>
            <w:r>
              <w:rPr>
                <w:rStyle w:val="9"/>
                <w:rFonts w:asciiTheme="minorEastAsia" w:hAnsiTheme="minorEastAsia" w:eastAsiaTheme="minorEastAsia"/>
                <w:sz w:val="20"/>
                <w:szCs w:val="20"/>
                <w:lang w:eastAsia="zh-CN"/>
              </w:rPr>
              <w:t>https://my.gench.edu.cn/FAP5.Portal/pc.html?rnd=892899959</w:t>
            </w:r>
            <w:r>
              <w:rPr>
                <w:rStyle w:val="9"/>
                <w:rFonts w:asciiTheme="minorEastAsia" w:hAnsiTheme="minorEastAsia" w:eastAsiaTheme="minorEastAsia"/>
                <w:sz w:val="20"/>
                <w:szCs w:val="20"/>
                <w:lang w:eastAsia="zh-CN"/>
              </w:rPr>
              <w:fldChar w:fldCharType="end"/>
            </w:r>
          </w:p>
          <w:p w14:paraId="19AE7650">
            <w:pPr>
              <w:snapToGrid w:val="0"/>
              <w:spacing w:line="288" w:lineRule="auto"/>
              <w:rPr>
                <w:rFonts w:eastAsiaTheme="minorEastAsia"/>
                <w:color w:val="0000FF"/>
                <w:u w:val="single"/>
                <w:lang w:eastAsia="zh-CN"/>
              </w:rPr>
            </w:pPr>
            <w:r>
              <w:fldChar w:fldCharType="begin"/>
            </w:r>
            <w:r>
              <w:instrText xml:space="preserve"> HYPERLINK "https://list.youku.com/albumlist/show/id_50236206.html?sf=10601" </w:instrText>
            </w:r>
            <w:r>
              <w:fldChar w:fldCharType="separate"/>
            </w:r>
            <w:r>
              <w:rPr>
                <w:rStyle w:val="9"/>
                <w:rFonts w:hint="eastAsia"/>
                <w:sz w:val="20"/>
                <w:szCs w:val="20"/>
              </w:rPr>
              <w:t>https://list.youku.com/albumlist/show/id_50236206.html?sf=10601</w:t>
            </w:r>
            <w:r>
              <w:rPr>
                <w:rStyle w:val="9"/>
                <w:rFonts w:hint="eastAsia"/>
                <w:sz w:val="20"/>
                <w:szCs w:val="20"/>
              </w:rPr>
              <w:fldChar w:fldCharType="end"/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54295B6">
            <w:pPr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《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0-3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岁婴幼儿家庭教育与指导》，吴晓丹，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ISBN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： 9787303281701</w:t>
            </w:r>
          </w:p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 xml:space="preserve"> 北京师范大学出版社，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年第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3F83A72">
            <w:pPr>
              <w:snapToGrid w:val="0"/>
              <w:spacing w:line="288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【《0-3岁儿童观察与评估》，周念丽，华东师范大学出版社，2013年】</w:t>
            </w:r>
          </w:p>
          <w:p w14:paraId="547DFE9C">
            <w:pPr>
              <w:snapToGrid w:val="0"/>
              <w:spacing w:line="288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【《0-3岁儿童保健与营养》，许环环，复旦大学出版社，2015年】</w:t>
            </w:r>
          </w:p>
          <w:p w14:paraId="5617BDF9">
            <w:pPr>
              <w:snapToGrid w:val="0"/>
              <w:spacing w:line="288" w:lineRule="auto"/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【《0-3岁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婴幼儿家庭教育与咨询指导》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吴洪建，北京师范大学出版社，2022年】</w:t>
            </w:r>
          </w:p>
        </w:tc>
      </w:tr>
    </w:tbl>
    <w:p w14:paraId="5E0482E7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916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752"/>
        <w:gridCol w:w="3260"/>
        <w:gridCol w:w="1134"/>
        <w:gridCol w:w="2437"/>
      </w:tblGrid>
      <w:tr w14:paraId="472F0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5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6A7903">
            <w:pPr>
              <w:widowControl/>
              <w:spacing w:before="120" w:after="120" w:line="240" w:lineRule="exact"/>
              <w:jc w:val="center"/>
              <w:rPr>
                <w:rFonts w:hint="default" w:asciiTheme="minorEastAsia" w:hAnsiTheme="minorEastAsia" w:eastAsiaTheme="minorEastAsia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课次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1DAD2">
            <w:pPr>
              <w:widowControl/>
              <w:spacing w:before="120" w:after="120" w:line="24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课时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48F39">
            <w:pPr>
              <w:widowControl/>
              <w:spacing w:line="240" w:lineRule="exact"/>
              <w:ind w:firstLine="357"/>
              <w:jc w:val="center"/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72486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0DF9B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86FB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5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77B9A">
            <w:pPr>
              <w:widowControl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1-2</w:t>
            </w:r>
          </w:p>
        </w:tc>
        <w:tc>
          <w:tcPr>
            <w:tcW w:w="17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F05A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第一单元</w:t>
            </w:r>
          </w:p>
          <w:p w14:paraId="07BE214B">
            <w:pPr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婴幼儿家庭教育指导概述</w:t>
            </w:r>
          </w:p>
          <w:p w14:paraId="2D2704A7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（4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课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时）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18459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0-3岁婴幼儿家庭教育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内涵</w:t>
            </w:r>
          </w:p>
          <w:p w14:paraId="709C2C26">
            <w:pP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0-3岁婴幼儿家庭教育的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特点和功能</w:t>
            </w:r>
          </w:p>
          <w:p w14:paraId="1CD58AE3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重难点：</w:t>
            </w:r>
          </w:p>
          <w:p w14:paraId="32C6B339">
            <w:pPr>
              <w:autoSpaceDE w:val="0"/>
              <w:autoSpaceDN w:val="0"/>
              <w:adjustRightInd w:val="0"/>
              <w:spacing w:line="360" w:lineRule="exac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明晰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0-3岁婴幼儿家庭教育与指导的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影响因素</w:t>
            </w:r>
          </w:p>
          <w:p w14:paraId="3EB8FA3F"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0-3岁婴幼儿家庭教育指导的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相关理论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E628EA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34BC83A2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小组讨论</w:t>
            </w:r>
          </w:p>
          <w:p w14:paraId="5B3BE87A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情景模拟</w:t>
            </w:r>
          </w:p>
          <w:p w14:paraId="3F12A389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4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C5BF7"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情景模拟</w:t>
            </w:r>
          </w:p>
          <w:p w14:paraId="11D25583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任务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列出小组收集出的比较专业的育儿公众号或APP，假想自己是家长，最关心哪些问题。做一份育儿群日常维护方案（以周为单位）</w:t>
            </w:r>
          </w:p>
          <w:p w14:paraId="16D66672"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目的：帮助学生学习对知识的筛选和梳理、规划。</w:t>
            </w:r>
          </w:p>
        </w:tc>
      </w:tr>
      <w:tr w14:paraId="0DC6F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5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34F8A">
            <w:pPr>
              <w:widowControl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2F6B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</w:p>
          <w:p w14:paraId="4ED89A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第二单元</w:t>
            </w:r>
          </w:p>
          <w:p w14:paraId="66B0BF4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婴幼儿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家庭教育的实施</w:t>
            </w:r>
          </w:p>
          <w:p w14:paraId="45418523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2课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时）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82E81">
            <w:pPr>
              <w:autoSpaceDE w:val="0"/>
              <w:autoSpaceDN w:val="0"/>
              <w:adjustRightInd w:val="0"/>
              <w:spacing w:line="360" w:lineRule="exac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0-3岁婴幼儿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家庭教育的目的、意义和任务。</w:t>
            </w:r>
          </w:p>
          <w:p w14:paraId="381EE307">
            <w:pP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0-3岁婴幼儿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家庭教育的原则</w:t>
            </w:r>
          </w:p>
          <w:p w14:paraId="37DFCB7F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重难点：</w:t>
            </w:r>
          </w:p>
          <w:p w14:paraId="6B6BC918">
            <w:pPr>
              <w:autoSpaceDE w:val="0"/>
              <w:autoSpaceDN w:val="0"/>
              <w:adjustRightInd w:val="0"/>
              <w:spacing w:line="360" w:lineRule="exac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如何结合实际情况为0-3岁儿童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选择适合的家庭教育方法？</w:t>
            </w:r>
          </w:p>
          <w:p w14:paraId="0D173700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867DC3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3321C6C4"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小组讨论</w:t>
            </w:r>
          </w:p>
        </w:tc>
        <w:tc>
          <w:tcPr>
            <w:tcW w:w="24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2D8174"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小组讨论</w:t>
            </w:r>
          </w:p>
          <w:p w14:paraId="10419F00">
            <w:pPr>
              <w:ind w:left="-50" w:right="-5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任务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:复习回顾斯金纳提出的操作性条件反射相关知识点。以小组为单位，设计一个通过强化法帮助小朋友形成某种行为习惯的方案，并上台分享。</w:t>
            </w:r>
          </w:p>
          <w:p w14:paraId="31D32F36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目的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提高理论和实践相结合的能力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22298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5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AF2E1">
            <w:pPr>
              <w:widowControl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AC25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  <w:p w14:paraId="1DE859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第三单元</w:t>
            </w:r>
          </w:p>
          <w:p w14:paraId="5D0EE6A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婴幼儿家庭教育的指导</w:t>
            </w:r>
          </w:p>
          <w:p w14:paraId="408A7ED2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2课时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41B45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婴幼儿家庭教育指导的目的与意义</w:t>
            </w:r>
          </w:p>
          <w:p w14:paraId="2BF30675">
            <w:pPr>
              <w:numPr>
                <w:ilvl w:val="0"/>
                <w:numId w:val="1"/>
              </w:numP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婴幼儿家庭教育指导的内容和原则</w:t>
            </w:r>
          </w:p>
          <w:p w14:paraId="61E1D22D">
            <w:pPr>
              <w:numPr>
                <w:ilvl w:val="0"/>
                <w:numId w:val="1"/>
              </w:numP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婴幼儿家庭教育指导的实施</w:t>
            </w:r>
          </w:p>
          <w:p w14:paraId="149246F1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重难点：</w:t>
            </w:r>
          </w:p>
          <w:p w14:paraId="24360C09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1.婴幼儿家庭教育指导的实施，</w:t>
            </w:r>
          </w:p>
          <w:p w14:paraId="577B66ED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2.早教机构对家庭教育资源的科学利用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28724E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5F8EB18F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案例分析</w:t>
            </w:r>
          </w:p>
          <w:p w14:paraId="7056775C"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讨论法</w:t>
            </w:r>
          </w:p>
          <w:p w14:paraId="0EB5FCDF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4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96873B"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7DD9D532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任务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根据材料案例，说出哪位老师的组织更符合沙龙的组织形式？并给另一位老师的沙龙活动提出改进建议。</w:t>
            </w:r>
          </w:p>
          <w:p w14:paraId="558F2979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目的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帮助学生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学习换位思考，同时锻炼沟通能力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能力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和解决问题的能力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3B2EC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5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A3C93">
            <w:pPr>
              <w:widowControl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5-7</w:t>
            </w:r>
          </w:p>
        </w:tc>
        <w:tc>
          <w:tcPr>
            <w:tcW w:w="17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47FE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</w:p>
          <w:p w14:paraId="459F98C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第四单元</w:t>
            </w:r>
          </w:p>
          <w:p w14:paraId="16B5414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婴幼儿家庭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照护</w:t>
            </w:r>
          </w:p>
          <w:p w14:paraId="07BEB420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6课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时）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055F0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婴幼儿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的身体发育特点和保育要点</w:t>
            </w:r>
          </w:p>
          <w:p w14:paraId="045DADD6">
            <w:pPr>
              <w:autoSpaceDE w:val="0"/>
              <w:autoSpaceDN w:val="0"/>
              <w:adjustRightInd w:val="0"/>
              <w:spacing w:line="360" w:lineRule="exact"/>
              <w:rPr>
                <w:rFonts w:hint="default"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婴幼儿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日常照护和卫生保健的相关知识</w:t>
            </w:r>
          </w:p>
          <w:p w14:paraId="0B7431D9">
            <w:pPr>
              <w:rPr>
                <w:rFonts w:hint="default"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婴幼儿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日常照护和卫生保健的基本方法</w:t>
            </w:r>
          </w:p>
          <w:p w14:paraId="25A4A57E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重难点：</w:t>
            </w:r>
          </w:p>
          <w:p w14:paraId="2FA57B9B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能够富有爱心的对0-3岁婴幼儿进行回应性照料</w:t>
            </w:r>
          </w:p>
          <w:p w14:paraId="2A328593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如何运用相关家庭认知教育理论的来指导婴幼儿家庭进行合理的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照护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？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8DD2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3E5D93D2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讨论法</w:t>
            </w:r>
          </w:p>
          <w:p w14:paraId="26FCB3A9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案例分析</w:t>
            </w:r>
          </w:p>
          <w:p w14:paraId="31967D8E"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翻转课堂</w:t>
            </w:r>
          </w:p>
        </w:tc>
        <w:tc>
          <w:tcPr>
            <w:tcW w:w="24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3245E1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结合第四单元所学，给出指导家长掌握培养婴幼儿良好饮食习惯/如厕习惯/睡眠习惯的方法，形成一个【家长课堂】内容。以小组为单位展示。</w:t>
            </w:r>
          </w:p>
          <w:p w14:paraId="597A12C4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目的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翻转课堂，帮助学生锻炼对家长的指导实践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430C2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5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D5E72C">
            <w:pPr>
              <w:widowControl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8-9</w:t>
            </w:r>
          </w:p>
        </w:tc>
        <w:tc>
          <w:tcPr>
            <w:tcW w:w="17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48043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</w:p>
          <w:p w14:paraId="3D7FAC4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第五单元</w:t>
            </w:r>
          </w:p>
          <w:p w14:paraId="4CA42EA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婴幼儿家庭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动作发展及家庭教育</w:t>
            </w:r>
          </w:p>
          <w:p w14:paraId="5F1A75B3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（4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课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时）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7F45D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0-3岁婴幼儿动作发展特点</w:t>
            </w:r>
          </w:p>
          <w:p w14:paraId="0A6B06AC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0-3岁婴幼儿家庭健康教育任务与方法</w:t>
            </w:r>
          </w:p>
          <w:p w14:paraId="55A95A76"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0-3岁婴幼儿家庭健康教育指导策略</w:t>
            </w:r>
          </w:p>
          <w:p w14:paraId="400FBCB8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重难点：</w:t>
            </w:r>
          </w:p>
          <w:p w14:paraId="66962121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0-3岁婴幼儿家庭运动教育与指导的基本内容有哪些？</w:t>
            </w:r>
          </w:p>
          <w:p w14:paraId="182A82F1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如何运用家庭运动教育与指导的相关策略促进婴幼儿运动发展？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EE033C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12FEEAAB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讨论法</w:t>
            </w:r>
          </w:p>
          <w:p w14:paraId="587D5BBD"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活动方案设计</w:t>
            </w:r>
          </w:p>
        </w:tc>
        <w:tc>
          <w:tcPr>
            <w:tcW w:w="24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B6E973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color w:val="0000FF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0000FF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cs="Arial" w:asciiTheme="minorEastAsia" w:hAnsiTheme="minorEastAsia" w:eastAsiaTheme="minorEastAsia"/>
                <w:color w:val="0000FF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cs="Arial" w:asciiTheme="minorEastAsia" w:hAnsiTheme="minorEastAsia" w:eastAsiaTheme="minorEastAsia"/>
                <w:color w:val="0000FF"/>
                <w:kern w:val="0"/>
                <w:sz w:val="21"/>
                <w:szCs w:val="21"/>
                <w:lang w:eastAsia="zh-CN"/>
              </w:rPr>
              <w:t>推荐一个运动游戏</w:t>
            </w:r>
          </w:p>
          <w:p w14:paraId="3E5CF4E6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0000FF"/>
                <w:kern w:val="0"/>
                <w:sz w:val="21"/>
                <w:szCs w:val="21"/>
                <w:lang w:eastAsia="zh-CN"/>
              </w:rPr>
              <w:t>任务</w:t>
            </w:r>
            <w:r>
              <w:rPr>
                <w:rFonts w:cs="Arial" w:asciiTheme="minorEastAsia" w:hAnsiTheme="minorEastAsia" w:eastAsiaTheme="minorEastAsia"/>
                <w:color w:val="0000FF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从网络或书籍中查找一个适合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岁婴幼儿的简单运动游戏。</w:t>
            </w:r>
          </w:p>
          <w:p w14:paraId="5D3AE35D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写下游戏名称、所需材料、玩法步骤和该游戏对儿童发展的益处（总字数不超过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200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字）。</w:t>
            </w:r>
          </w:p>
          <w:p w14:paraId="0523A20B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目的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帮助学生了解促进婴幼儿运动发展的简单方法，积累实用的教育活动资源。</w:t>
            </w:r>
          </w:p>
        </w:tc>
      </w:tr>
      <w:tr w14:paraId="3D310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5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BF7B0">
            <w:pPr>
              <w:widowControl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1A48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  <w:p w14:paraId="014A01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第六单元</w:t>
            </w:r>
          </w:p>
          <w:p w14:paraId="55886ED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婴幼儿家庭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认知与语言发展及家庭教育</w:t>
            </w:r>
          </w:p>
          <w:p w14:paraId="60633C68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2课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时）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42BE6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0-3岁婴幼儿语言发展特点</w:t>
            </w:r>
          </w:p>
          <w:p w14:paraId="27BB182F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0-3岁婴幼儿家庭语言教育任务与方法</w:t>
            </w:r>
          </w:p>
          <w:p w14:paraId="56B1B7E1"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0-3岁婴幼儿家庭语言教育指导策略</w:t>
            </w:r>
          </w:p>
          <w:p w14:paraId="440F777B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重难点：</w:t>
            </w:r>
          </w:p>
          <w:p w14:paraId="6030AB05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如何理解0-3岁婴幼儿家庭语言教育任务？</w:t>
            </w:r>
          </w:p>
          <w:p w14:paraId="394A0E1F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请分析0-3岁婴幼儿家庭语言教育指导策略。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E4371C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3D22F807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讨论法</w:t>
            </w:r>
          </w:p>
          <w:p w14:paraId="0191E9A2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翻转课堂</w:t>
            </w:r>
          </w:p>
          <w:p w14:paraId="53DCF2D4"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实操演练</w:t>
            </w:r>
          </w:p>
        </w:tc>
        <w:tc>
          <w:tcPr>
            <w:tcW w:w="24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F54507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绘本故事推荐</w:t>
            </w:r>
          </w:p>
          <w:p w14:paraId="31BE0B31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任务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选择一本适合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0-3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岁婴幼儿的绘本故事。</w:t>
            </w:r>
          </w:p>
          <w:p w14:paraId="6CBAFEA1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写下绘本名称、作者，简要说明选择这本绘本的理由和其对婴幼儿语言发展的帮助（100-150字），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并假设自己是家长角色，为孩子生动演绎、讲述绘本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。</w:t>
            </w:r>
          </w:p>
          <w:p w14:paraId="55BC8B18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目的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引导学生关注绘本在语言教育中的作用，学会选择适合婴幼儿的阅读材料。</w:t>
            </w:r>
          </w:p>
        </w:tc>
      </w:tr>
      <w:tr w14:paraId="56B4A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5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C196C">
            <w:pPr>
              <w:widowControl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11-12</w:t>
            </w:r>
          </w:p>
        </w:tc>
        <w:tc>
          <w:tcPr>
            <w:tcW w:w="17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E57E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第七单元</w:t>
            </w:r>
          </w:p>
          <w:p w14:paraId="00953C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婴幼儿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情绪与社会性发展及家庭教育</w:t>
            </w:r>
          </w:p>
          <w:p w14:paraId="4E1CB346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（4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课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时）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5A0EED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1.0-3岁婴幼儿社会性发展特点</w:t>
            </w:r>
          </w:p>
          <w:p w14:paraId="111C69CA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2.0-3岁婴幼儿家庭的社会教育任务与方法</w:t>
            </w:r>
          </w:p>
          <w:p w14:paraId="46588F80"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3.0-3岁婴幼儿家庭的社会教育指导策略</w:t>
            </w:r>
          </w:p>
          <w:p w14:paraId="0CE8AC08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重难点：</w:t>
            </w:r>
          </w:p>
          <w:p w14:paraId="6807982E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如何分解0-3岁婴幼儿家庭社会教育的任务？</w:t>
            </w:r>
          </w:p>
          <w:p w14:paraId="0C0508E2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如何掌握0-3岁婴幼儿家庭社会教育指导的策略？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94E534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18A479FB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讨论法</w:t>
            </w:r>
          </w:p>
          <w:p w14:paraId="6DBA5278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实操演练</w:t>
            </w:r>
          </w:p>
          <w:p w14:paraId="4EFECB8A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活动方案设计</w:t>
            </w:r>
          </w:p>
        </w:tc>
        <w:tc>
          <w:tcPr>
            <w:tcW w:w="24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7D15A1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社会行为观察</w:t>
            </w:r>
          </w:p>
          <w:p w14:paraId="5320C2D9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任务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简单观察一个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0-3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岁婴幼儿的社交行为（如与他人打招呼、分享玩具等），记录并分析该行为（可以是音视频分析）。</w:t>
            </w:r>
          </w:p>
          <w:p w14:paraId="6F7AD7C6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目的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让学生了解婴幼儿的基本社交行为及其背后的教育意义。</w:t>
            </w:r>
          </w:p>
        </w:tc>
      </w:tr>
      <w:tr w14:paraId="67E69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5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6118F5">
            <w:pPr>
              <w:widowControl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7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A606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第八单元</w:t>
            </w:r>
          </w:p>
          <w:p w14:paraId="12F4316D">
            <w:pPr>
              <w:widowControl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婴幼儿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审美情趣的家庭熏陶</w:t>
            </w:r>
          </w:p>
          <w:p w14:paraId="1958477E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2课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时）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4A384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0-3岁婴幼儿家庭教育现状反思与展望</w:t>
            </w:r>
          </w:p>
          <w:p w14:paraId="6401BE6A"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0-3岁婴幼儿家庭教育指导的现状反思与改革动向</w:t>
            </w:r>
          </w:p>
          <w:p w14:paraId="31F2E2F2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重难点：</w:t>
            </w:r>
          </w:p>
          <w:p w14:paraId="4DF920C0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如何看待0-3岁婴幼儿家庭教育指导的现状？</w:t>
            </w:r>
          </w:p>
          <w:p w14:paraId="4992F576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如何分析0-3岁婴幼儿家庭教育指导的改革?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DF8224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0A90637E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讨论法</w:t>
            </w:r>
          </w:p>
          <w:p w14:paraId="60458607"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EF4547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音乐欣赏推荐</w:t>
            </w:r>
          </w:p>
          <w:p w14:paraId="63A1B334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任务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推荐一首适合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0-3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岁婴幼儿欣赏的儿童歌曲或音乐。</w:t>
            </w:r>
          </w:p>
          <w:p w14:paraId="279683DF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写下音乐名称、演唱者，并简述这首音乐对婴幼儿情感和艺术感受力的影响（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50-100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字）。</w:t>
            </w:r>
          </w:p>
          <w:p w14:paraId="6633AFA7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目的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促进学生了解音乐在婴幼儿艺术教育中的作用，积累适合儿童的音乐资源。</w:t>
            </w:r>
          </w:p>
        </w:tc>
      </w:tr>
      <w:tr w14:paraId="443F7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5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B2F82">
            <w:pPr>
              <w:widowControl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78423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第九单元</w:t>
            </w:r>
          </w:p>
          <w:p w14:paraId="5F24FE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婴幼儿家庭心理健康教育</w:t>
            </w:r>
          </w:p>
          <w:p w14:paraId="70F46EE7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（2课时）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70FF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婴幼儿家庭心理教育的价值</w:t>
            </w:r>
          </w:p>
          <w:p w14:paraId="2ECED0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exac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婴幼儿家庭心理健康教育的具体任务</w:t>
            </w:r>
          </w:p>
          <w:p w14:paraId="4328BB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exac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婴幼儿家庭心理健康教育的常用方法</w:t>
            </w:r>
          </w:p>
          <w:p w14:paraId="6DEA9B14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0-3岁特殊婴幼儿常用的家庭干预方法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7F5985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4C54B9AA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讨论法</w:t>
            </w:r>
          </w:p>
          <w:p w14:paraId="0A176DAE"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活动方案设计</w:t>
            </w:r>
          </w:p>
        </w:tc>
        <w:tc>
          <w:tcPr>
            <w:tcW w:w="24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22C2C2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作业：活动方案设计</w:t>
            </w:r>
          </w:p>
          <w:p w14:paraId="3FD75E0A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任务：设计一场能够在社区活动室内进行的游戏活动，同时包含触觉系统训练、前庭感觉训练和本体感觉训练。</w:t>
            </w:r>
          </w:p>
          <w:p w14:paraId="19872B97"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目的：帮助学生充分理解感统训练的内容和功能。</w:t>
            </w:r>
          </w:p>
        </w:tc>
      </w:tr>
      <w:tr w14:paraId="20FE6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5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037AA">
            <w:pPr>
              <w:widowControl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888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第十单元</w:t>
            </w:r>
          </w:p>
          <w:p w14:paraId="4DBA3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婴幼儿家庭环境的创设</w:t>
            </w:r>
          </w:p>
          <w:p w14:paraId="063D4C1F"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（2课时）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DE6A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家庭地理位置选择对婴幼儿成长的重要性</w:t>
            </w:r>
          </w:p>
          <w:p w14:paraId="1E940BC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exac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理解婴幼儿家庭空间区域划分的原则和环境布置的要求</w:t>
            </w:r>
          </w:p>
          <w:p w14:paraId="580B911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exac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领会家风在精神环境创设中的重要性</w:t>
            </w:r>
          </w:p>
          <w:p w14:paraId="78FD1A5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exac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能够遵循婴幼儿玩具选择的标准，选择并有效利用玩具育儿</w:t>
            </w:r>
          </w:p>
          <w:p w14:paraId="444C7ADE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掌握婴幼儿家庭心里环境创设的基本方面。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6F7706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4F552236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情景模拟法</w:t>
            </w:r>
          </w:p>
          <w:p w14:paraId="78A9D0DF"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实操演练</w:t>
            </w:r>
          </w:p>
        </w:tc>
        <w:tc>
          <w:tcPr>
            <w:tcW w:w="24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DA46A6"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作业：情景模拟 实操演练</w:t>
            </w:r>
          </w:p>
          <w:p w14:paraId="3DDFF94D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任务：假设自己和组员是一对刚刚要生宝宝的小夫妻，要对一个一室一厅的房间进行布置（提供户型图）。需列举区域的划分、购置的物品，以及布置上要考虑哪些细节。并解释这些安排和考虑的出发点是怎样的。</w:t>
            </w:r>
          </w:p>
          <w:p w14:paraId="0788E6E5"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目的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让学生练习对环境创设通盘考虑的规划能力。</w:t>
            </w:r>
          </w:p>
        </w:tc>
      </w:tr>
      <w:tr w14:paraId="3B467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5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032E0"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7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B1CD1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期末复习考核</w:t>
            </w:r>
          </w:p>
          <w:p w14:paraId="1830D495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2课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时）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5FD45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复盘学习成果和教学中存在的问题，梳理核心内容框架和问题解决路径。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E4E281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期末纸笔测试（开卷）</w:t>
            </w:r>
          </w:p>
        </w:tc>
        <w:tc>
          <w:tcPr>
            <w:tcW w:w="24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FA8C750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家庭教育指导改革建议书</w:t>
            </w:r>
          </w:p>
          <w:p w14:paraId="46BC3505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任务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基于本课程的学习内容和自己的调研，撰写一份关于当前婴幼儿家庭教育指导改革的建议书。建议书应包括现状分析、存在问题以及具体的改革建议。</w:t>
            </w:r>
          </w:p>
          <w:p w14:paraId="5093A070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目的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引导学生思考婴幼儿家庭教育的未来发展方向，提升学生的综合分析与创新思维能力。</w:t>
            </w:r>
          </w:p>
        </w:tc>
      </w:tr>
    </w:tbl>
    <w:p w14:paraId="19AA6E6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page" w:tblpX="1679" w:tblpY="90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1285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B3DA0D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932D3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AEE62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7D8B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BC03EA4">
            <w:pPr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AF3F5C">
            <w:pPr>
              <w:pStyle w:val="14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</w:rPr>
              <w:t>2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5D3004E">
            <w:pPr>
              <w:pStyle w:val="14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课堂互动</w:t>
            </w:r>
          </w:p>
        </w:tc>
      </w:tr>
      <w:tr w14:paraId="716D2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0033CDB">
            <w:pPr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7AD8DF">
            <w:pPr>
              <w:pStyle w:val="14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</w:rPr>
              <w:t>25</w:t>
            </w:r>
            <w: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AA6F874">
            <w:pPr>
              <w:pStyle w:val="14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</w:rPr>
              <w:t>实操演练</w:t>
            </w:r>
          </w:p>
        </w:tc>
      </w:tr>
      <w:tr w14:paraId="07B95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42BCF7">
            <w:pPr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EAB9A3">
            <w:pPr>
              <w:pStyle w:val="14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EABDB4C">
            <w:pPr>
              <w:pStyle w:val="14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</w:rPr>
              <w:t>活动方案设计</w:t>
            </w:r>
          </w:p>
        </w:tc>
      </w:tr>
      <w:tr w14:paraId="14890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A9C56AB">
            <w:pPr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5F8A99">
            <w:pPr>
              <w:pStyle w:val="14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t>35%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372ECA9">
            <w:pPr>
              <w:pStyle w:val="14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</w:rPr>
              <w:t>期末纸笔测试（开卷）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497840</wp:posOffset>
            </wp:positionH>
            <wp:positionV relativeFrom="paragraph">
              <wp:posOffset>1826260</wp:posOffset>
            </wp:positionV>
            <wp:extent cx="1112520" cy="556895"/>
            <wp:effectExtent l="0" t="0" r="0" b="6985"/>
            <wp:wrapNone/>
            <wp:docPr id="4" name="图片 4" descr="胡毓婷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胡毓婷签名"/>
                    <pic:cNvPicPr>
                      <a:picLocks noChangeAspect="1"/>
                    </pic:cNvPicPr>
                  </pic:nvPicPr>
                  <pic:blipFill>
                    <a:blip r:embed="rId8">
                      <a:lum bright="30000" contras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E87FD2"/>
    <w:multiLevelType w:val="singleLevel"/>
    <w:tmpl w:val="DEE87F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56D1C07"/>
    <w:multiLevelType w:val="singleLevel"/>
    <w:tmpl w:val="356D1C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3EF96C4"/>
    <w:multiLevelType w:val="singleLevel"/>
    <w:tmpl w:val="43EF96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5B23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0C40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5CDF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2DA3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3FC2"/>
    <w:rsid w:val="00325BFB"/>
    <w:rsid w:val="00326D1F"/>
    <w:rsid w:val="00331EC3"/>
    <w:rsid w:val="00336376"/>
    <w:rsid w:val="00340792"/>
    <w:rsid w:val="00344C4C"/>
    <w:rsid w:val="0034570B"/>
    <w:rsid w:val="00345D55"/>
    <w:rsid w:val="00345ED6"/>
    <w:rsid w:val="00346279"/>
    <w:rsid w:val="003475AA"/>
    <w:rsid w:val="00350091"/>
    <w:rsid w:val="0035378A"/>
    <w:rsid w:val="00353979"/>
    <w:rsid w:val="00355A41"/>
    <w:rsid w:val="00357182"/>
    <w:rsid w:val="00361EF9"/>
    <w:rsid w:val="00363C7D"/>
    <w:rsid w:val="003713F2"/>
    <w:rsid w:val="0037264D"/>
    <w:rsid w:val="00372A06"/>
    <w:rsid w:val="00372DCB"/>
    <w:rsid w:val="00374269"/>
    <w:rsid w:val="00375EB4"/>
    <w:rsid w:val="00376924"/>
    <w:rsid w:val="00376FDE"/>
    <w:rsid w:val="00382FDD"/>
    <w:rsid w:val="00387718"/>
    <w:rsid w:val="00391A51"/>
    <w:rsid w:val="003958D4"/>
    <w:rsid w:val="00395966"/>
    <w:rsid w:val="003A11F8"/>
    <w:rsid w:val="003A440D"/>
    <w:rsid w:val="003A5077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1166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3BB4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65AC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B4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DC0"/>
    <w:rsid w:val="008550AF"/>
    <w:rsid w:val="00865C6A"/>
    <w:rsid w:val="008665DF"/>
    <w:rsid w:val="00866AEC"/>
    <w:rsid w:val="00866CD5"/>
    <w:rsid w:val="008702F7"/>
    <w:rsid w:val="00873C4B"/>
    <w:rsid w:val="0087536D"/>
    <w:rsid w:val="00882E20"/>
    <w:rsid w:val="00892651"/>
    <w:rsid w:val="008A2553"/>
    <w:rsid w:val="008A6AB7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17648"/>
    <w:rsid w:val="00920D39"/>
    <w:rsid w:val="00922B9C"/>
    <w:rsid w:val="0092367E"/>
    <w:rsid w:val="00925AAB"/>
    <w:rsid w:val="00925B62"/>
    <w:rsid w:val="00926B76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2D2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144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331D"/>
    <w:rsid w:val="00A75084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6A7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2133"/>
    <w:rsid w:val="00B93A52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5857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54B2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032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67E4B"/>
    <w:rsid w:val="00E70DFC"/>
    <w:rsid w:val="00E72B2E"/>
    <w:rsid w:val="00E72C30"/>
    <w:rsid w:val="00E80D3A"/>
    <w:rsid w:val="00E8561E"/>
    <w:rsid w:val="00E92914"/>
    <w:rsid w:val="00E939F9"/>
    <w:rsid w:val="00E9466D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080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435E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5B27ABE"/>
    <w:rsid w:val="0B02141F"/>
    <w:rsid w:val="0DB76A4A"/>
    <w:rsid w:val="199D2E85"/>
    <w:rsid w:val="1B9B294B"/>
    <w:rsid w:val="2E59298A"/>
    <w:rsid w:val="37E50B00"/>
    <w:rsid w:val="44433F0D"/>
    <w:rsid w:val="49DF08B3"/>
    <w:rsid w:val="51C03AE5"/>
    <w:rsid w:val="523F07C5"/>
    <w:rsid w:val="569907B5"/>
    <w:rsid w:val="65310993"/>
    <w:rsid w:val="6E256335"/>
    <w:rsid w:val="700912C5"/>
    <w:rsid w:val="73D737D9"/>
    <w:rsid w:val="74F62C86"/>
    <w:rsid w:val="774B7D02"/>
    <w:rsid w:val="7ED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2">
    <w:name w:val="网格型1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paragraph" w:customStyle="1" w:styleId="14">
    <w:name w:val="表格正文DG"/>
    <w:basedOn w:val="1"/>
    <w:autoRedefine/>
    <w:qFormat/>
    <w:uiPriority w:val="0"/>
    <w:pPr>
      <w:jc w:val="both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15">
    <w:name w:val="一级标题DG"/>
    <w:basedOn w:val="1"/>
    <w:autoRedefine/>
    <w:qFormat/>
    <w:uiPriority w:val="0"/>
    <w:pPr>
      <w:spacing w:line="480" w:lineRule="auto"/>
      <w:jc w:val="both"/>
      <w:outlineLvl w:val="0"/>
    </w:pPr>
    <w:rPr>
      <w:rFonts w:ascii="Arial" w:hAnsi="Arial" w:eastAsia="黑体" w:cs="宋体"/>
      <w:color w:val="000000"/>
      <w:kern w:val="0"/>
      <w:szCs w:val="16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5</Pages>
  <Words>2738</Words>
  <Characters>3087</Characters>
  <Lines>22</Lines>
  <Paragraphs>6</Paragraphs>
  <TotalTime>1</TotalTime>
  <ScaleCrop>false</ScaleCrop>
  <LinksUpToDate>false</LinksUpToDate>
  <CharactersWithSpaces>3152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2024-08-29T09:43:00Z</dcterms:created>
  <dc:creator>*****</dc:creator>
  <cp:lastModifiedBy>胡毓婷</cp:lastModifiedBy>
  <cp:lastPrinted>2015-03-18T03:45:00Z</cp:lastPrinted>
  <dcterms:modified xsi:type="dcterms:W3CDTF">2025-09-07T01:19:12Z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eyJoZGlkIjoiZmFiMjRkNDkwNjlkMDdmMzY0YWNjNmU1Y2UzMWRkNGUiLCJ1c2VySWQiOiI1NTQ4ODQ0MTUifQ==</vt:lpwstr>
  </property>
  <property fmtid="{D5CDD505-2E9C-101B-9397-08002B2CF9AE}" pid="4" name="ICV">
    <vt:lpwstr>4AB70C09AF614B45A2ADE23E32986ED5_13</vt:lpwstr>
  </property>
</Properties>
</file>