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C5CA96F">
      <w:pPr>
        <w:snapToGrid w:val="0"/>
        <w:jc w:val="center"/>
        <w:rPr>
          <w:sz w:val="6"/>
          <w:szCs w:val="6"/>
        </w:rPr>
      </w:pPr>
    </w:p>
    <w:p w14:paraId="0671591E">
      <w:pPr>
        <w:snapToGrid w:val="0"/>
        <w:jc w:val="center"/>
        <w:rPr>
          <w:sz w:val="6"/>
          <w:szCs w:val="6"/>
        </w:rPr>
      </w:pPr>
    </w:p>
    <w:p w14:paraId="17DF18A3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0272A93"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 w14:paraId="6A962496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 w14:paraId="7FBFA2A8">
        <w:trPr>
          <w:trHeight w:val="571" w:hRule="atLeast"/>
        </w:trPr>
        <w:tc>
          <w:tcPr>
            <w:tcW w:w="1418" w:type="dxa"/>
            <w:vAlign w:val="center"/>
          </w:tcPr>
          <w:p w14:paraId="1394FEB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14:paraId="367FAAB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2138805</w:t>
            </w:r>
          </w:p>
        </w:tc>
        <w:tc>
          <w:tcPr>
            <w:tcW w:w="1134" w:type="dxa"/>
            <w:vAlign w:val="center"/>
          </w:tcPr>
          <w:p w14:paraId="14BF3F4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14:paraId="6FDB0C1C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中国歌剧选段重唱</w:t>
            </w:r>
          </w:p>
        </w:tc>
      </w:tr>
      <w:tr w14:paraId="052D78F4">
        <w:trPr>
          <w:trHeight w:val="571" w:hRule="atLeast"/>
        </w:trPr>
        <w:tc>
          <w:tcPr>
            <w:tcW w:w="1418" w:type="dxa"/>
            <w:vAlign w:val="center"/>
          </w:tcPr>
          <w:p w14:paraId="6FD3AF8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14:paraId="3E8B190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134" w:type="dxa"/>
            <w:vAlign w:val="center"/>
          </w:tcPr>
          <w:p w14:paraId="4AC0343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14:paraId="0E34036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16</w:t>
            </w:r>
          </w:p>
        </w:tc>
      </w:tr>
      <w:tr w14:paraId="739273B8">
        <w:trPr>
          <w:trHeight w:val="571" w:hRule="atLeast"/>
        </w:trPr>
        <w:tc>
          <w:tcPr>
            <w:tcW w:w="1418" w:type="dxa"/>
            <w:vAlign w:val="center"/>
          </w:tcPr>
          <w:p w14:paraId="2E28CA8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14:paraId="0A3A4D5F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陈梦涵</w:t>
            </w:r>
          </w:p>
        </w:tc>
        <w:tc>
          <w:tcPr>
            <w:tcW w:w="1134" w:type="dxa"/>
            <w:vAlign w:val="center"/>
          </w:tcPr>
          <w:p w14:paraId="2D21F87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14:paraId="32A9BC26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381318904@qq.com</w:t>
            </w:r>
          </w:p>
        </w:tc>
      </w:tr>
      <w:tr w14:paraId="76FE6005">
        <w:trPr>
          <w:trHeight w:val="571" w:hRule="atLeast"/>
        </w:trPr>
        <w:tc>
          <w:tcPr>
            <w:tcW w:w="1418" w:type="dxa"/>
            <w:vAlign w:val="center"/>
          </w:tcPr>
          <w:p w14:paraId="579C963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14:paraId="19738D42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  <w:t>全校</w:t>
            </w:r>
          </w:p>
        </w:tc>
        <w:tc>
          <w:tcPr>
            <w:tcW w:w="1134" w:type="dxa"/>
            <w:vAlign w:val="center"/>
          </w:tcPr>
          <w:p w14:paraId="1C05D31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14:paraId="2C500EF3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sz w:val="21"/>
                <w:szCs w:val="21"/>
                <w:lang w:eastAsia="zh-CN"/>
              </w:rPr>
            </w:pPr>
          </w:p>
        </w:tc>
      </w:tr>
      <w:tr w14:paraId="34984CC1">
        <w:trPr>
          <w:trHeight w:val="571" w:hRule="atLeast"/>
        </w:trPr>
        <w:tc>
          <w:tcPr>
            <w:tcW w:w="1418" w:type="dxa"/>
            <w:vAlign w:val="center"/>
          </w:tcPr>
          <w:p w14:paraId="090D94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D3A7DB7">
            <w:pPr>
              <w:tabs>
                <w:tab w:val="left" w:pos="532"/>
              </w:tabs>
              <w:spacing w:line="340" w:lineRule="exact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周三教育学院2</w:t>
            </w:r>
            <w:r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  <w:t>34</w:t>
            </w:r>
          </w:p>
        </w:tc>
      </w:tr>
      <w:tr w14:paraId="13D4DAD6">
        <w:trPr>
          <w:trHeight w:val="571" w:hRule="atLeast"/>
        </w:trPr>
        <w:tc>
          <w:tcPr>
            <w:tcW w:w="1418" w:type="dxa"/>
            <w:vAlign w:val="center"/>
          </w:tcPr>
          <w:p w14:paraId="49C6FF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1CAE66BC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  <w:t>无</w:t>
            </w:r>
          </w:p>
        </w:tc>
      </w:tr>
      <w:tr w14:paraId="5A969DEE">
        <w:trPr>
          <w:trHeight w:val="571" w:hRule="atLeast"/>
        </w:trPr>
        <w:tc>
          <w:tcPr>
            <w:tcW w:w="1418" w:type="dxa"/>
            <w:vAlign w:val="center"/>
          </w:tcPr>
          <w:p w14:paraId="4C32242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447A2EF9">
            <w:pPr>
              <w:tabs>
                <w:tab w:val="left" w:pos="532"/>
              </w:tabs>
              <w:spacing w:line="340" w:lineRule="exact"/>
              <w:rPr>
                <w:rFonts w:ascii="宋体" w:hAnsi="宋体" w:eastAsia="宋体"/>
                <w:color w:val="000000"/>
                <w:sz w:val="20"/>
                <w:szCs w:val="20"/>
                <w:lang w:eastAsia="zh-CN"/>
              </w:rPr>
            </w:pPr>
          </w:p>
        </w:tc>
      </w:tr>
    </w:tbl>
    <w:p w14:paraId="6F973CB4"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 w14:paraId="770F7C6A"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1276"/>
        <w:gridCol w:w="2977"/>
      </w:tblGrid>
      <w:tr w14:paraId="1D6A74FD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BC66F7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9FF78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5C6B41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747C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3CD111F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156A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70D4E7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学习两种记谱方式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E0E4F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案例教学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6D0CC5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观看歌剧《江姐》</w:t>
            </w:r>
          </w:p>
        </w:tc>
      </w:tr>
      <w:tr w14:paraId="28D514A8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BB7DA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895D4F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学习《江姐》片段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68BBD9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FC516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复习《江姐》以及发声方式</w:t>
            </w:r>
          </w:p>
        </w:tc>
      </w:tr>
      <w:tr w14:paraId="7589F1AD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DF4E2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D1B38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学习《江姐》片段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5E5C5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59496F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复习《江姐》以及发声方式</w:t>
            </w:r>
          </w:p>
        </w:tc>
      </w:tr>
      <w:tr w14:paraId="16FFEC8A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243ED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1D9E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学习《江姐》片段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D933E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7F16EC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复习《江姐》以及发声方式</w:t>
            </w:r>
          </w:p>
        </w:tc>
      </w:tr>
      <w:tr w14:paraId="4BF27875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F2EAB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175F5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学习《江姐》片段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B70AAE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60CFA3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复习《江姐》以及发声方式</w:t>
            </w:r>
          </w:p>
        </w:tc>
      </w:tr>
      <w:tr w14:paraId="70BF5752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F500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54EEC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发声常规训练，复习《江姐》片段，学习《党的女儿》等片段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9478F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EE0BED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复习所学内容以及进行表演</w:t>
            </w:r>
          </w:p>
        </w:tc>
      </w:tr>
      <w:tr w14:paraId="205FAF99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10DC71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FA7F8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发声常规训练，复习《江姐》片段，学习《党的女儿》等片段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933EB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28E160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复习所学内容以及进行表演</w:t>
            </w:r>
          </w:p>
        </w:tc>
      </w:tr>
      <w:tr w14:paraId="076C563C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A72CD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E0E7D6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发声常规训练，复习《江姐》片段，学习《党的女儿》等片段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DF135C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7BC13D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复习所学内容以及进行表演</w:t>
            </w:r>
          </w:p>
        </w:tc>
      </w:tr>
      <w:tr w14:paraId="2CCFF4E4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CC304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8393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发声常规训练，复习《江姐》片段，学习《党的女儿》等片段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71C6C0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0DAB3C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复习所学内容以及进行表演</w:t>
            </w:r>
          </w:p>
        </w:tc>
      </w:tr>
      <w:tr w14:paraId="720AC6AB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15E770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B332D3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发声常规训练，复习《江姐》片段，学习《党的女儿》等片段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2A660B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C0A063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复习所学内容以及进行表演</w:t>
            </w:r>
          </w:p>
        </w:tc>
      </w:tr>
      <w:tr w14:paraId="1C2A2336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9BDFC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D31A95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E80363F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C1912A4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23A4A000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6FFFF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F6EB6D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5CC7716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7A38D8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11378F17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6360B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F23CB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EA0F01A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AE8A15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003AA63B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7E82C6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9A819A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EE955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8AE8329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3A18756B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02B5C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50A050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29321E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6D3DC7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  <w:tr w14:paraId="5605A247"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509254">
            <w:pPr>
              <w:widowControl/>
              <w:jc w:val="center"/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59842">
            <w:pPr>
              <w:widowControl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编排歌曲的演唱形式与舞台表演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0A461AB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29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3310D4D">
            <w:pPr>
              <w:widowControl/>
              <w:jc w:val="center"/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复习所有曲目</w:t>
            </w:r>
          </w:p>
        </w:tc>
      </w:tr>
    </w:tbl>
    <w:p w14:paraId="753C243C">
      <w:pPr>
        <w:snapToGrid w:val="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</w:p>
    <w:p w14:paraId="6A1546B1"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 w14:paraId="4F904309">
        <w:tc>
          <w:tcPr>
            <w:tcW w:w="1809" w:type="dxa"/>
          </w:tcPr>
          <w:p w14:paraId="2DA20842">
            <w:pPr>
              <w:snapToGrid w:val="0"/>
              <w:spacing w:before="180" w:beforeLines="50" w:after="18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</w:tcPr>
          <w:p w14:paraId="30E8F847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</w:tcPr>
          <w:p w14:paraId="0312C1B5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占比</w:t>
            </w:r>
          </w:p>
        </w:tc>
      </w:tr>
      <w:tr w14:paraId="39F7134C">
        <w:tc>
          <w:tcPr>
            <w:tcW w:w="1809" w:type="dxa"/>
          </w:tcPr>
          <w:p w14:paraId="3CFD1F8E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</w:tcPr>
          <w:p w14:paraId="7DAC528F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课堂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学习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实践</w:t>
            </w:r>
            <w:r>
              <w:rPr>
                <w:rFonts w:hint="eastAsia" w:ascii="宋体" w:hAnsi="宋体"/>
                <w:bCs/>
                <w:color w:val="000000"/>
                <w:szCs w:val="20"/>
              </w:rPr>
              <w:t>情况</w:t>
            </w:r>
          </w:p>
        </w:tc>
        <w:tc>
          <w:tcPr>
            <w:tcW w:w="2127" w:type="dxa"/>
          </w:tcPr>
          <w:p w14:paraId="28B304E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25%</w:t>
            </w:r>
          </w:p>
        </w:tc>
      </w:tr>
      <w:tr w14:paraId="552A46F8">
        <w:tc>
          <w:tcPr>
            <w:tcW w:w="1809" w:type="dxa"/>
          </w:tcPr>
          <w:p w14:paraId="53541AC4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2</w:t>
            </w:r>
          </w:p>
        </w:tc>
        <w:tc>
          <w:tcPr>
            <w:tcW w:w="5103" w:type="dxa"/>
          </w:tcPr>
          <w:p w14:paraId="181D302E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Hans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歌曲风格以及唱诵的把握</w:t>
            </w:r>
          </w:p>
        </w:tc>
        <w:tc>
          <w:tcPr>
            <w:tcW w:w="2127" w:type="dxa"/>
          </w:tcPr>
          <w:p w14:paraId="1F36FCC1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25%</w:t>
            </w:r>
          </w:p>
        </w:tc>
      </w:tr>
      <w:tr w14:paraId="407BF73C">
        <w:tc>
          <w:tcPr>
            <w:tcW w:w="1809" w:type="dxa"/>
          </w:tcPr>
          <w:p w14:paraId="292E6FC5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hint="eastAsia" w:ascii="宋体" w:hAnsi="宋体"/>
                <w:bCs/>
                <w:color w:val="000000"/>
                <w:szCs w:val="20"/>
                <w:lang w:eastAsia="zh-Hans"/>
              </w:rPr>
              <w:t>X</w:t>
            </w:r>
            <w:r>
              <w:rPr>
                <w:rFonts w:hint="eastAsia" w:ascii="宋体" w:hAnsi="宋体"/>
                <w:bCs/>
                <w:color w:val="000000"/>
                <w:szCs w:val="20"/>
                <w:lang w:eastAsia="zh-CN"/>
              </w:rPr>
              <w:t>3</w:t>
            </w:r>
          </w:p>
        </w:tc>
        <w:tc>
          <w:tcPr>
            <w:tcW w:w="5103" w:type="dxa"/>
          </w:tcPr>
          <w:p w14:paraId="4B534D2D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曲目的学习</w:t>
            </w:r>
            <w:r>
              <w:rPr>
                <w:rFonts w:hint="eastAsia"/>
                <w:color w:val="000000"/>
                <w:sz w:val="20"/>
                <w:szCs w:val="20"/>
              </w:rPr>
              <w:t>与</w:t>
            </w:r>
            <w:r>
              <w:rPr>
                <w:rFonts w:hint="eastAsia"/>
                <w:color w:val="000000"/>
                <w:sz w:val="20"/>
                <w:szCs w:val="20"/>
                <w:lang w:eastAsia="zh-Hans"/>
              </w:rPr>
              <w:t>舞台表演呈现</w:t>
            </w:r>
            <w:r>
              <w:rPr>
                <w:rFonts w:hint="eastAsia"/>
                <w:color w:val="000000"/>
                <w:sz w:val="20"/>
                <w:szCs w:val="20"/>
              </w:rPr>
              <w:t>大作业</w:t>
            </w:r>
          </w:p>
        </w:tc>
        <w:tc>
          <w:tcPr>
            <w:tcW w:w="2127" w:type="dxa"/>
          </w:tcPr>
          <w:p w14:paraId="474C07EB">
            <w:pPr>
              <w:snapToGrid w:val="0"/>
              <w:spacing w:before="180" w:beforeLines="50" w:after="180" w:afterLines="50"/>
              <w:jc w:val="center"/>
              <w:rPr>
                <w:rFonts w:ascii="宋体" w:hAnsi="宋体" w:eastAsia="宋体"/>
                <w:bCs/>
                <w:color w:val="000000"/>
                <w:szCs w:val="20"/>
                <w:lang w:eastAsia="zh-Hans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50%</w:t>
            </w:r>
          </w:p>
        </w:tc>
      </w:tr>
      <w:tr w14:paraId="5BEF05CB">
        <w:tc>
          <w:tcPr>
            <w:tcW w:w="1809" w:type="dxa"/>
          </w:tcPr>
          <w:p w14:paraId="12C1812E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5103" w:type="dxa"/>
          </w:tcPr>
          <w:p w14:paraId="0F792B4A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  <w:tc>
          <w:tcPr>
            <w:tcW w:w="2127" w:type="dxa"/>
          </w:tcPr>
          <w:p w14:paraId="191778CC">
            <w:pPr>
              <w:snapToGrid w:val="0"/>
              <w:spacing w:before="180" w:beforeLines="50" w:after="18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</w:p>
        </w:tc>
      </w:tr>
    </w:tbl>
    <w:p w14:paraId="41480A5F"/>
    <w:p w14:paraId="5D7A022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备注：</w:t>
      </w:r>
    </w:p>
    <w:p w14:paraId="7D59D11C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ascii="仿宋" w:hAnsi="仿宋" w:eastAsia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14:paraId="416D384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教学</w:t>
      </w:r>
      <w:r>
        <w:rPr>
          <w:rFonts w:hint="eastAsia" w:ascii="仿宋" w:hAnsi="仿宋" w:eastAsia="仿宋"/>
          <w:color w:val="000000"/>
          <w:position w:val="-20"/>
        </w:rPr>
        <w:t>方式为讲课、实验、讨论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课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习题课、</w:t>
      </w:r>
      <w:r>
        <w:rPr>
          <w:rFonts w:hint="eastAsia" w:ascii="仿宋" w:hAnsi="仿宋" w:eastAsia="仿宋"/>
          <w:color w:val="000000"/>
          <w:position w:val="-20"/>
        </w:rPr>
        <w:t>参观、</w:t>
      </w:r>
      <w:r>
        <w:rPr>
          <w:rFonts w:ascii="仿宋" w:hAnsi="仿宋" w:eastAsia="仿宋"/>
          <w:color w:val="000000"/>
          <w:position w:val="-20"/>
        </w:rPr>
        <w:t>边讲边练</w:t>
      </w:r>
      <w:r>
        <w:rPr>
          <w:rFonts w:hint="eastAsia" w:ascii="仿宋" w:hAnsi="仿宋" w:eastAsia="仿宋"/>
          <w:color w:val="000000"/>
          <w:position w:val="-20"/>
        </w:rPr>
        <w:t>、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汇报</w:t>
      </w:r>
      <w:r>
        <w:rPr>
          <w:rFonts w:hint="eastAsia" w:ascii="仿宋" w:hAnsi="仿宋" w:eastAsia="仿宋"/>
          <w:color w:val="000000"/>
          <w:position w:val="-20"/>
        </w:rPr>
        <w:t>、考核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等；</w:t>
      </w:r>
    </w:p>
    <w:p w14:paraId="350F8471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hAnsi="仿宋" w:eastAsia="仿宋"/>
          <w:color w:val="000000"/>
          <w:position w:val="-20"/>
          <w:lang w:eastAsia="zh-CN"/>
        </w:rPr>
        <w:t>”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hAnsi="仿宋" w:eastAsia="仿宋"/>
          <w:color w:val="000000"/>
          <w:position w:val="-20"/>
          <w:lang w:eastAsia="zh-CN"/>
        </w:rPr>
        <w:t>）</w:t>
      </w:r>
      <w:r>
        <w:rPr>
          <w:rFonts w:hint="eastAsia" w:ascii="仿宋" w:hAnsi="仿宋" w:eastAsia="仿宋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14:paraId="6C9CDBC1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color w:val="000000"/>
          <w:position w:val="-20"/>
          <w:lang w:eastAsia="zh-CN"/>
        </w:rPr>
      </w:pPr>
      <w:bookmarkStart w:id="0" w:name="_GoBack"/>
      <w:bookmarkEnd w:id="0"/>
    </w:p>
    <w:p w14:paraId="7A9D955A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782320</wp:posOffset>
            </wp:positionH>
            <wp:positionV relativeFrom="paragraph">
              <wp:posOffset>10795</wp:posOffset>
            </wp:positionV>
            <wp:extent cx="1159510" cy="502285"/>
            <wp:effectExtent l="0" t="0" r="0" b="5715"/>
            <wp:wrapNone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951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 日期：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華康儷中黑">
    <w:altName w:val="汉仪中黑KW"/>
    <w:panose1 w:val="00000000000000000000"/>
    <w:charset w:val="00"/>
    <w:family w:val="swiss"/>
    <w:pitch w:val="default"/>
    <w:sig w:usb0="00000000" w:usb1="00000000" w:usb2="00000016" w:usb3="00000000" w:csb0="00100000" w:csb1="00000000"/>
  </w:font>
  <w:font w:name="ITC Bookman Demi">
    <w:altName w:val="苹方-简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苹方-简"/>
    <w:panose1 w:val="00000000000000000000"/>
    <w:charset w:val="00"/>
    <w:family w:val="swiss"/>
    <w:pitch w:val="default"/>
    <w:sig w:usb0="00000000" w:usb1="00000000" w:usb2="00000016" w:usb3="00000000" w:csb0="00100000" w:csb1="00000000"/>
  </w:font>
  <w:font w:name="DotumChe">
    <w:altName w:val="苹方-简"/>
    <w:panose1 w:val="00000000000000000000"/>
    <w:charset w:val="00"/>
    <w:family w:val="modern"/>
    <w:pitch w:val="default"/>
    <w:sig w:usb0="00000000" w:usb1="00000000" w:usb2="00000030" w:usb3="00000000" w:csb0="4008009F" w:csb1="DFD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1722D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4AFF692A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EA3F0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23501CA">
    <w:pPr>
      <w:pStyle w:val="2"/>
      <w:ind w:right="360"/>
    </w:pPr>
    <w:r>
      <w:rPr>
        <w:lang w:eastAsia="zh-CN"/>
      </w:rPr>
      <w:drawing>
        <wp:inline distT="0" distB="0" distL="114300" distR="114300">
          <wp:extent cx="6619875" cy="247650"/>
          <wp:effectExtent l="0" t="0" r="9525" b="6350"/>
          <wp:docPr id="2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545F2E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6350" b="2413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B9550EC"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B9550EC"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EE811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12065" b="1524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1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0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5ZTNiNDBjZTkzYjNjYTIzZDBhOTkwMzQ2ZDk0YWU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130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A0689"/>
    <w:rsid w:val="002A4A9C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6458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0F96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514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45F2E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0811"/>
    <w:rsid w:val="00D237C7"/>
    <w:rsid w:val="00D36F07"/>
    <w:rsid w:val="00D5017B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5885"/>
    <w:rsid w:val="00F07E95"/>
    <w:rsid w:val="00F1700E"/>
    <w:rsid w:val="00F2112C"/>
    <w:rsid w:val="00F2348E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5925"/>
    <w:rsid w:val="00FE6709"/>
    <w:rsid w:val="00FF2D60"/>
    <w:rsid w:val="0250298D"/>
    <w:rsid w:val="0B02141F"/>
    <w:rsid w:val="0BFE1C22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  <w:rsid w:val="7F637402"/>
    <w:rsid w:val="9DFD4AEF"/>
    <w:rsid w:val="BEFD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167</Words>
  <Characters>957</Characters>
  <Lines>7</Lines>
  <Paragraphs>2</Paragraphs>
  <TotalTime>14</TotalTime>
  <ScaleCrop>false</ScaleCrop>
  <LinksUpToDate>false</LinksUpToDate>
  <CharactersWithSpaces>1122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2023-11-23T16:17:00Z</dcterms:created>
  <dc:creator>*****</dc:creator>
  <cp:lastModifiedBy>梦涵Locks</cp:lastModifiedBy>
  <cp:lastPrinted>2015-03-19T11:45:00Z</cp:lastPrinted>
  <dcterms:modified xsi:type="dcterms:W3CDTF">2024-10-15T21:31:43Z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390C0E8178FFB5E9CBC5FE64B265535F_43</vt:lpwstr>
  </property>
</Properties>
</file>