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271C6">
      <w:pPr>
        <w:jc w:val="center"/>
        <w:rPr>
          <w:rFonts w:ascii="黑体" w:hAnsi="黑体" w:eastAsia="黑体"/>
          <w:bCs/>
          <w:sz w:val="32"/>
          <w:szCs w:val="32"/>
        </w:rPr>
      </w:pPr>
      <w:r>
        <w:rPr>
          <w:rFonts w:hint="eastAsia" w:ascii="黑体" w:hAnsi="黑体" w:eastAsia="黑体"/>
          <w:bCs/>
          <w:sz w:val="32"/>
          <w:szCs w:val="32"/>
        </w:rPr>
        <w:t>《乐理与声乐</w:t>
      </w:r>
      <w:r>
        <w:rPr>
          <w:rFonts w:hint="eastAsia" w:ascii="黑体" w:hAnsi="黑体" w:eastAsia="黑体"/>
          <w:bCs/>
          <w:sz w:val="32"/>
          <w:szCs w:val="32"/>
          <w:lang w:val="en-US" w:eastAsia="zh-CN"/>
        </w:rPr>
        <w:t>2</w:t>
      </w:r>
      <w:r>
        <w:rPr>
          <w:rFonts w:hint="eastAsia" w:ascii="黑体" w:hAnsi="黑体" w:eastAsia="黑体"/>
          <w:bCs/>
          <w:sz w:val="32"/>
          <w:szCs w:val="32"/>
        </w:rPr>
        <w:t>》本科课程教学大纲</w:t>
      </w:r>
    </w:p>
    <w:p w14:paraId="778D7906">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AED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348A0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241DA54">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（中文）乐理与声乐</w:t>
            </w:r>
            <w:r>
              <w:rPr>
                <w:rFonts w:hint="eastAsia" w:ascii="黑体" w:hAnsi="黑体" w:eastAsia="黑体"/>
                <w:color w:val="000000" w:themeColor="text1"/>
                <w:sz w:val="21"/>
                <w:szCs w:val="21"/>
                <w:lang w:val="en-US" w:eastAsia="zh-CN"/>
                <w14:textFill>
                  <w14:solidFill>
                    <w14:schemeClr w14:val="tx1"/>
                  </w14:solidFill>
                </w14:textFill>
              </w:rPr>
              <w:t>2</w:t>
            </w:r>
          </w:p>
        </w:tc>
      </w:tr>
      <w:tr w14:paraId="58B3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F126D6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231A0C8">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（英文）Music Theory and Vocal Music </w:t>
            </w:r>
            <w:r>
              <w:rPr>
                <w:rFonts w:hint="eastAsia" w:ascii="黑体" w:hAnsi="黑体" w:eastAsia="黑体"/>
                <w:color w:val="000000" w:themeColor="text1"/>
                <w:sz w:val="21"/>
                <w:szCs w:val="21"/>
                <w:lang w:val="en-US" w:eastAsia="zh-CN"/>
                <w14:textFill>
                  <w14:solidFill>
                    <w14:schemeClr w14:val="tx1"/>
                  </w14:solidFill>
                </w14:textFill>
              </w:rPr>
              <w:t>2</w:t>
            </w:r>
          </w:p>
        </w:tc>
      </w:tr>
      <w:tr w14:paraId="7C91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B612E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E4193C">
            <w:pPr>
              <w:widowControl w:val="0"/>
              <w:jc w:val="center"/>
              <w:rPr>
                <w:rFonts w:hint="eastAsia" w:ascii="黑体" w:hAnsi="黑体" w:eastAsia="宋体"/>
                <w:color w:val="000000" w:themeColor="text1"/>
                <w:sz w:val="21"/>
                <w:szCs w:val="21"/>
                <w:lang w:eastAsia="zh-CN"/>
                <w14:textFill>
                  <w14:solidFill>
                    <w14:schemeClr w14:val="tx1"/>
                  </w14:solidFill>
                </w14:textFill>
              </w:rPr>
            </w:pPr>
            <w:r>
              <w:rPr>
                <w:rFonts w:hint="eastAsia"/>
                <w:color w:val="000000"/>
                <w:sz w:val="20"/>
                <w:szCs w:val="20"/>
              </w:rPr>
              <w:t>2</w:t>
            </w:r>
            <w:r>
              <w:rPr>
                <w:color w:val="000000"/>
                <w:sz w:val="20"/>
                <w:szCs w:val="20"/>
              </w:rPr>
              <w:t>13500</w:t>
            </w:r>
            <w:r>
              <w:rPr>
                <w:rFonts w:hint="eastAsia"/>
                <w:color w:val="000000"/>
                <w:sz w:val="20"/>
                <w:szCs w:val="20"/>
                <w:lang w:val="en-US" w:eastAsia="zh-CN"/>
              </w:rPr>
              <w:t>2</w:t>
            </w:r>
          </w:p>
        </w:tc>
        <w:tc>
          <w:tcPr>
            <w:tcW w:w="2126" w:type="dxa"/>
            <w:gridSpan w:val="2"/>
            <w:vAlign w:val="center"/>
          </w:tcPr>
          <w:p w14:paraId="6434AED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0D53D9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5594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23F28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443D51F">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5C077B2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7A7129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6268E23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8B4111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3863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ABF6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00A7BE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23EBD7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F5B440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 普本一年级</w:t>
            </w:r>
          </w:p>
        </w:tc>
      </w:tr>
      <w:tr w14:paraId="1C8E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47614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328CB4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w:t>
            </w:r>
          </w:p>
        </w:tc>
        <w:tc>
          <w:tcPr>
            <w:tcW w:w="2126" w:type="dxa"/>
            <w:gridSpan w:val="2"/>
            <w:vAlign w:val="center"/>
          </w:tcPr>
          <w:p w14:paraId="4DF065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94129D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全X无试卷</w:t>
            </w:r>
          </w:p>
        </w:tc>
      </w:tr>
      <w:tr w14:paraId="0EB4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BB87B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0F05A37">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14:paraId="1F92164D">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14:paraId="5FE14C90">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p>
        </w:tc>
        <w:tc>
          <w:tcPr>
            <w:tcW w:w="1413" w:type="dxa"/>
            <w:gridSpan w:val="2"/>
            <w:vAlign w:val="center"/>
          </w:tcPr>
          <w:p w14:paraId="4FC07F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2C158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8B76866">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A97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5F84A0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025B3B9">
            <w:pPr>
              <w:pStyle w:val="14"/>
              <w:widowControl w:val="0"/>
              <w:jc w:val="both"/>
              <w:rPr>
                <w:rFonts w:hint="default" w:eastAsia="宋体"/>
                <w:lang w:val="en-US" w:eastAsia="zh-CN"/>
              </w:rPr>
            </w:pPr>
          </w:p>
        </w:tc>
      </w:tr>
      <w:tr w14:paraId="4717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45" w:hRule="atLeast"/>
        </w:trPr>
        <w:tc>
          <w:tcPr>
            <w:tcW w:w="1691" w:type="dxa"/>
            <w:tcBorders>
              <w:left w:val="single" w:color="auto" w:sz="12" w:space="0"/>
            </w:tcBorders>
            <w:shd w:val="clear" w:color="auto" w:fill="auto"/>
            <w:vAlign w:val="center"/>
          </w:tcPr>
          <w:p w14:paraId="3D522D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2B0CD49">
            <w:pPr>
              <w:pStyle w:val="14"/>
              <w:widowControl w:val="0"/>
              <w:ind w:firstLine="420" w:firstLineChars="200"/>
              <w:jc w:val="both"/>
              <w:rPr>
                <w:rFonts w:hint="eastAsia"/>
              </w:rPr>
            </w:pPr>
            <w:r>
              <w:rPr>
                <w:rFonts w:hint="eastAsia"/>
              </w:rPr>
              <w:t>乐理与声乐，由基础乐理与声乐训练两部分构成。</w:t>
            </w:r>
          </w:p>
          <w:p w14:paraId="4B72F99C">
            <w:pPr>
              <w:pStyle w:val="14"/>
              <w:widowControl w:val="0"/>
              <w:jc w:val="both"/>
              <w:rPr>
                <w:rFonts w:hint="default"/>
                <w:lang w:val="en-US" w:eastAsia="zh-CN"/>
              </w:rPr>
            </w:pPr>
            <w:r>
              <w:rPr>
                <w:rFonts w:hint="eastAsia"/>
              </w:rPr>
              <w:t>基础乐理，简称乐理，</w:t>
            </w:r>
            <w:r>
              <w:rPr>
                <w:rFonts w:hint="eastAsia"/>
                <w:lang w:val="en-US" w:eastAsia="zh-CN"/>
              </w:rPr>
              <w:t>包括：</w:t>
            </w:r>
            <w:r>
              <w:rPr>
                <w:rFonts w:hint="eastAsia"/>
              </w:rPr>
              <w:t>和声学、曲式与作品分析、歌曲写作、复调、配器、即兴伴奏等课程</w:t>
            </w:r>
            <w:r>
              <w:rPr>
                <w:rFonts w:hint="eastAsia"/>
                <w:lang w:val="en-US" w:eastAsia="zh-CN"/>
              </w:rPr>
              <w:t>的基础知识与技能</w:t>
            </w:r>
            <w:r>
              <w:rPr>
                <w:rFonts w:hint="eastAsia"/>
              </w:rPr>
              <w:t>，是</w:t>
            </w:r>
            <w:r>
              <w:rPr>
                <w:rFonts w:hint="eastAsia"/>
                <w:lang w:val="en-US" w:eastAsia="zh-CN"/>
              </w:rPr>
              <w:t>教育专业音乐课程</w:t>
            </w:r>
            <w:r>
              <w:rPr>
                <w:rFonts w:hint="eastAsia"/>
              </w:rPr>
              <w:t>的普修课程。学生通过学习乐理，</w:t>
            </w:r>
            <w:r>
              <w:rPr>
                <w:rFonts w:hint="eastAsia"/>
                <w:lang w:val="en-US" w:eastAsia="zh-CN"/>
              </w:rPr>
              <w:t>能</w:t>
            </w:r>
            <w:r>
              <w:rPr>
                <w:rFonts w:hint="eastAsia"/>
              </w:rPr>
              <w:t>对音乐的基本要素、五线谱的辨认与读写</w:t>
            </w:r>
            <w:r>
              <w:rPr>
                <w:rFonts w:hint="eastAsia"/>
                <w:lang w:eastAsia="zh-CN"/>
              </w:rPr>
              <w:t>、</w:t>
            </w:r>
            <w:r>
              <w:rPr>
                <w:rFonts w:hint="eastAsia"/>
              </w:rPr>
              <w:t>音与音之间结合的基本规律</w:t>
            </w:r>
            <w:r>
              <w:rPr>
                <w:rFonts w:hint="eastAsia"/>
                <w:lang w:eastAsia="zh-CN"/>
              </w:rPr>
              <w:t>，</w:t>
            </w:r>
            <w:r>
              <w:rPr>
                <w:rFonts w:hint="eastAsia"/>
              </w:rPr>
              <w:t>以及常用的音乐记号与术语，有较清晰的了解</w:t>
            </w:r>
            <w:r>
              <w:rPr>
                <w:rFonts w:hint="eastAsia"/>
                <w:lang w:val="en-US" w:eastAsia="zh-CN"/>
              </w:rPr>
              <w:t>与</w:t>
            </w:r>
            <w:r>
              <w:rPr>
                <w:rFonts w:hint="eastAsia"/>
              </w:rPr>
              <w:t>运用</w:t>
            </w:r>
            <w:r>
              <w:rPr>
                <w:rFonts w:hint="eastAsia"/>
                <w:lang w:eastAsia="zh-CN"/>
              </w:rPr>
              <w:t>，</w:t>
            </w:r>
            <w:r>
              <w:rPr>
                <w:rFonts w:hint="eastAsia"/>
                <w:lang w:val="en-US" w:eastAsia="zh-CN"/>
              </w:rPr>
              <w:t>并能清晰认识</w:t>
            </w:r>
            <w:r>
              <w:t>乐曲中</w:t>
            </w:r>
            <w:r>
              <w:rPr>
                <w:rFonts w:hint="eastAsia"/>
                <w:lang w:val="en-US" w:eastAsia="zh-CN"/>
              </w:rPr>
              <w:t>的</w:t>
            </w:r>
            <w:r>
              <w:rPr>
                <w:rFonts w:hint="eastAsia"/>
              </w:rPr>
              <w:t>节奏节拍</w:t>
            </w:r>
            <w:r>
              <w:rPr>
                <w:rFonts w:hint="eastAsia"/>
                <w:lang w:eastAsia="zh-CN"/>
              </w:rPr>
              <w:t>，</w:t>
            </w:r>
            <w:r>
              <w:rPr>
                <w:rFonts w:hint="eastAsia"/>
                <w:lang w:val="en-US" w:eastAsia="zh-CN"/>
              </w:rPr>
              <w:t>运用</w:t>
            </w:r>
            <w:r>
              <w:rPr>
                <w:rFonts w:hint="eastAsia"/>
              </w:rPr>
              <w:t>音程、</w:t>
            </w:r>
            <w:r>
              <w:t>调</w:t>
            </w:r>
            <w:r>
              <w:rPr>
                <w:rFonts w:hint="eastAsia"/>
              </w:rPr>
              <w:t>式</w:t>
            </w:r>
            <w:r>
              <w:t>调性</w:t>
            </w:r>
            <w:r>
              <w:rPr>
                <w:rFonts w:hint="eastAsia"/>
              </w:rPr>
              <w:t>、</w:t>
            </w:r>
            <w:r>
              <w:t>和弦</w:t>
            </w:r>
            <w:r>
              <w:rPr>
                <w:rFonts w:hint="eastAsia"/>
              </w:rPr>
              <w:t>等知识</w:t>
            </w:r>
            <w:r>
              <w:rPr>
                <w:rFonts w:hint="eastAsia"/>
                <w:lang w:val="en-US" w:eastAsia="zh-CN"/>
              </w:rPr>
              <w:t>分析音乐作品。</w:t>
            </w:r>
          </w:p>
          <w:p w14:paraId="314EF9A7">
            <w:pPr>
              <w:pStyle w:val="14"/>
              <w:widowControl w:val="0"/>
              <w:ind w:firstLine="420" w:firstLineChars="200"/>
              <w:jc w:val="both"/>
            </w:pPr>
            <w:r>
              <w:rPr>
                <w:rFonts w:hint="eastAsia"/>
              </w:rPr>
              <w:t>声乐训练，</w:t>
            </w:r>
            <w:r>
              <w:rPr>
                <w:rFonts w:hint="eastAsia"/>
                <w:lang w:val="en-US" w:eastAsia="zh-CN"/>
              </w:rPr>
              <w:t>是实践性较强的板块，主要包括气息、声带和共鸣的训练，培养学生用科学的发声方法演唱歌曲的能力。学生</w:t>
            </w:r>
            <w:r>
              <w:t>在思想上建立完整的</w:t>
            </w:r>
            <w:r>
              <w:rPr>
                <w:rFonts w:hint="eastAsia"/>
              </w:rPr>
              <w:t>声乐</w:t>
            </w:r>
            <w:r>
              <w:t>概念体系。"整合训练"原则要求引导学生在学习过程中,明确歌唱的不同要素之间的关联,善于整合局部、零散的经验,具备触类旁通的能力,全方位地认知</w:t>
            </w:r>
            <w:r>
              <w:rPr>
                <w:rFonts w:hint="eastAsia"/>
              </w:rPr>
              <w:t>声乐</w:t>
            </w:r>
            <w:r>
              <w:t>。</w:t>
            </w:r>
            <w:r>
              <w:rPr>
                <w:rFonts w:hint="eastAsia"/>
              </w:rPr>
              <w:t>声乐</w:t>
            </w:r>
            <w:r>
              <w:t>训练不再是孤立的刺激与反应</w:t>
            </w:r>
            <w:r>
              <w:rPr>
                <w:rFonts w:hint="eastAsia"/>
              </w:rPr>
              <w:t>，</w:t>
            </w:r>
            <w:r>
              <w:t>学生运用对</w:t>
            </w:r>
            <w:r>
              <w:rPr>
                <w:rFonts w:hint="eastAsia"/>
              </w:rPr>
              <w:t>声乐</w:t>
            </w:r>
            <w:r>
              <w:t>技术和</w:t>
            </w:r>
            <w:r>
              <w:rPr>
                <w:rFonts w:hint="eastAsia"/>
              </w:rPr>
              <w:t>声乐</w:t>
            </w:r>
            <w:r>
              <w:t>艺术的整体认知,在学习过程中不断同化新的知识,使</w:t>
            </w:r>
            <w:r>
              <w:rPr>
                <w:rFonts w:hint="eastAsia"/>
              </w:rPr>
              <w:t>声乐</w:t>
            </w:r>
            <w:r>
              <w:t>训练更行之有效。 </w:t>
            </w:r>
            <w:bookmarkStart w:id="0" w:name="_Hlk13304557"/>
          </w:p>
          <w:p w14:paraId="324DB4E7">
            <w:pPr>
              <w:pStyle w:val="14"/>
              <w:widowControl w:val="0"/>
              <w:ind w:firstLine="420" w:firstLineChars="200"/>
              <w:jc w:val="both"/>
            </w:pPr>
            <w:r>
              <w:rPr>
                <w:rFonts w:hint="eastAsia"/>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。培养学生对声乐作品的分析能力和审美能力，从而</w:t>
            </w:r>
            <w:r>
              <w:t>拓宽</w:t>
            </w:r>
            <w:r>
              <w:rPr>
                <w:rFonts w:hint="eastAsia"/>
              </w:rPr>
              <w:t>学生的</w:t>
            </w:r>
            <w:r>
              <w:t>艺术</w:t>
            </w:r>
            <w:r>
              <w:rPr>
                <w:rFonts w:hint="eastAsia"/>
              </w:rPr>
              <w:t>视野</w:t>
            </w:r>
            <w:r>
              <w:t>，</w:t>
            </w:r>
            <w:r>
              <w:rPr>
                <w:rFonts w:hint="eastAsia"/>
              </w:rPr>
              <w:t>促成学生自身整体素养的提升</w:t>
            </w:r>
            <w:r>
              <w:rPr>
                <w:rFonts w:hint="eastAsia"/>
                <w:lang w:eastAsia="zh-CN"/>
              </w:rPr>
              <w:t>，</w:t>
            </w:r>
            <w:r>
              <w:t>并辅以答疑解难的课堂时间，</w:t>
            </w:r>
            <w:r>
              <w:rPr>
                <w:rFonts w:hint="eastAsia"/>
              </w:rPr>
              <w:t>解决</w:t>
            </w:r>
            <w:r>
              <w:t>学生在</w:t>
            </w:r>
            <w:r>
              <w:rPr>
                <w:rFonts w:hint="eastAsia"/>
              </w:rPr>
              <w:t>本学习中</w:t>
            </w:r>
            <w:r>
              <w:t>所遇到的各项问题</w:t>
            </w:r>
            <w:r>
              <w:rPr>
                <w:rFonts w:hint="eastAsia"/>
              </w:rPr>
              <w:t>，力求为学生掌握音乐基础知识以及歌唱方法并加强舞台实践能力，开拓一条便捷之路。</w:t>
            </w:r>
            <w:bookmarkEnd w:id="0"/>
          </w:p>
        </w:tc>
      </w:tr>
      <w:tr w14:paraId="542A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56" w:hRule="atLeast"/>
        </w:trPr>
        <w:tc>
          <w:tcPr>
            <w:tcW w:w="1691" w:type="dxa"/>
            <w:tcBorders>
              <w:left w:val="single" w:color="auto" w:sz="12" w:space="0"/>
              <w:bottom w:val="double" w:color="auto" w:sz="4" w:space="0"/>
            </w:tcBorders>
            <w:shd w:val="clear" w:color="auto" w:fill="auto"/>
            <w:vAlign w:val="center"/>
          </w:tcPr>
          <w:p w14:paraId="6DB177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248435D">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 </w:t>
            </w:r>
          </w:p>
          <w:p w14:paraId="761A6408">
            <w:pPr>
              <w:pStyle w:val="14"/>
              <w:widowControl w:val="0"/>
              <w:ind w:firstLine="420" w:firstLineChars="200"/>
              <w:jc w:val="both"/>
            </w:pPr>
            <w:r>
              <w:rPr>
                <w:rFonts w:hint="eastAsia"/>
              </w:rPr>
              <w:t>本课程建议学前教育专业的</w:t>
            </w:r>
            <w:r>
              <w:rPr>
                <w:rFonts w:hint="eastAsia"/>
                <w:lang w:val="en-US" w:eastAsia="zh-CN"/>
              </w:rPr>
              <w:t>一</w:t>
            </w:r>
            <w:r>
              <w:rPr>
                <w:rFonts w:hint="eastAsia"/>
              </w:rPr>
              <w:t>年级</w:t>
            </w:r>
            <w:r>
              <w:rPr>
                <w:rFonts w:hint="eastAsia"/>
                <w:lang w:val="en-US" w:eastAsia="zh-CN"/>
              </w:rPr>
              <w:t>上</w:t>
            </w:r>
            <w:r>
              <w:rPr>
                <w:rFonts w:hint="eastAsia"/>
              </w:rPr>
              <w:t>学期</w:t>
            </w:r>
            <w:r>
              <w:rPr>
                <w:rFonts w:hint="eastAsia"/>
                <w:lang w:val="en-US" w:eastAsia="zh-CN"/>
              </w:rPr>
              <w:t>的</w:t>
            </w:r>
            <w:r>
              <w:rPr>
                <w:rFonts w:hint="eastAsia"/>
              </w:rPr>
              <w:t>学生修课，不仅</w:t>
            </w:r>
            <w:r>
              <w:t>可以</w:t>
            </w:r>
            <w:r>
              <w:rPr>
                <w:rFonts w:hint="eastAsia"/>
              </w:rPr>
              <w:t>培养正确的歌唱观念，还可以培养学生对</w:t>
            </w:r>
            <w:r>
              <w:rPr>
                <w:rFonts w:hint="eastAsia"/>
                <w:lang w:val="en-US" w:eastAsia="zh-CN"/>
              </w:rPr>
              <w:t>基础</w:t>
            </w:r>
            <w:r>
              <w:rPr>
                <w:rFonts w:hint="eastAsia"/>
              </w:rPr>
              <w:t>声乐作品的分析能力和审美能力，从而</w:t>
            </w:r>
            <w:r>
              <w:t>拓宽</w:t>
            </w:r>
            <w:r>
              <w:rPr>
                <w:rFonts w:hint="eastAsia"/>
              </w:rPr>
              <w:t>学生的</w:t>
            </w:r>
            <w:r>
              <w:t>艺术</w:t>
            </w:r>
            <w:r>
              <w:rPr>
                <w:rFonts w:hint="eastAsia"/>
              </w:rPr>
              <w:t>视野</w:t>
            </w:r>
            <w:r>
              <w:t>，</w:t>
            </w:r>
            <w:r>
              <w:rPr>
                <w:rFonts w:hint="eastAsia"/>
              </w:rPr>
              <w:t>促</w:t>
            </w:r>
            <w:r>
              <w:rPr>
                <w:rFonts w:hint="eastAsia"/>
                <w:lang w:val="en-US" w:eastAsia="zh-CN"/>
              </w:rPr>
              <w:t>进综合</w:t>
            </w:r>
            <w:r>
              <w:rPr>
                <w:rFonts w:hint="eastAsia"/>
              </w:rPr>
              <w:t>素养的提升</w:t>
            </w:r>
            <w:r>
              <w:t>。</w:t>
            </w:r>
          </w:p>
        </w:tc>
      </w:tr>
      <w:tr w14:paraId="139D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0CA47B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4EDFE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15925" cy="192405"/>
                  <wp:effectExtent l="0" t="0" r="3175" b="10795"/>
                  <wp:docPr id="1" name="图片 1" descr="172585901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5859019772"/>
                          <pic:cNvPicPr>
                            <a:picLocks noChangeAspect="1"/>
                          </pic:cNvPicPr>
                        </pic:nvPicPr>
                        <pic:blipFill>
                          <a:blip r:embed="rId6">
                            <a:lum contrast="-12000"/>
                          </a:blip>
                          <a:stretch>
                            <a:fillRect/>
                          </a:stretch>
                        </pic:blipFill>
                        <pic:spPr>
                          <a:xfrm>
                            <a:off x="0" y="0"/>
                            <a:ext cx="415925" cy="19240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4C744B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B63ED7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447D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88EFC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E73389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270"/>
                  <wp:docPr id="3" name="图片 3"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32"/>
                          <pic:cNvPicPr>
                            <a:picLocks noChangeAspect="1"/>
                          </pic:cNvPicPr>
                        </pic:nvPicPr>
                        <pic:blipFill>
                          <a:blip r:embed="rId7"/>
                          <a:stretch>
                            <a:fillRect/>
                          </a:stretch>
                        </pic:blipFill>
                        <pic:spPr>
                          <a:xfrm>
                            <a:off x="0" y="0"/>
                            <a:ext cx="597535" cy="328930"/>
                          </a:xfrm>
                          <a:prstGeom prst="rect">
                            <a:avLst/>
                          </a:prstGeom>
                        </pic:spPr>
                      </pic:pic>
                    </a:graphicData>
                  </a:graphic>
                </wp:inline>
              </w:drawing>
            </w:r>
            <w:r>
              <w:rPr>
                <w:rFonts w:hint="eastAsia"/>
                <w:sz w:val="21"/>
                <w:szCs w:val="21"/>
              </w:rPr>
              <w:t>（签名）</w:t>
            </w:r>
          </w:p>
        </w:tc>
        <w:tc>
          <w:tcPr>
            <w:tcW w:w="1425" w:type="dxa"/>
            <w:gridSpan w:val="2"/>
            <w:vAlign w:val="center"/>
          </w:tcPr>
          <w:p w14:paraId="74DC6F4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F1C93B3">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2026/2</w:t>
            </w:r>
          </w:p>
        </w:tc>
      </w:tr>
      <w:tr w14:paraId="085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E948C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4B36BB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86435" cy="292735"/>
                  <wp:effectExtent l="0" t="0" r="24765" b="12065"/>
                  <wp:docPr id="4" name="图片 4"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45"/>
                          <pic:cNvPicPr>
                            <a:picLocks noChangeAspect="1"/>
                          </pic:cNvPicPr>
                        </pic:nvPicPr>
                        <pic:blipFill>
                          <a:blip r:embed="rId8"/>
                          <a:stretch>
                            <a:fillRect/>
                          </a:stretch>
                        </pic:blipFill>
                        <pic:spPr>
                          <a:xfrm>
                            <a:off x="0" y="0"/>
                            <a:ext cx="686435" cy="29273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89E1AA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550D0BA">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w:t>
            </w:r>
            <w:bookmarkStart w:id="6" w:name="_GoBack"/>
            <w:bookmarkEnd w:id="6"/>
            <w:r>
              <w:rPr>
                <w:rFonts w:hint="eastAsia" w:ascii="Times New Roman" w:hAnsi="Times New Roman"/>
                <w:color w:val="000000"/>
                <w:sz w:val="21"/>
                <w:szCs w:val="21"/>
                <w:lang w:val="en-US" w:eastAsia="zh-CN"/>
              </w:rPr>
              <w:t>/2</w:t>
            </w:r>
          </w:p>
        </w:tc>
      </w:tr>
    </w:tbl>
    <w:p w14:paraId="23A752E5">
      <w:pPr>
        <w:spacing w:line="100" w:lineRule="exact"/>
        <w:rPr>
          <w:rFonts w:ascii="Arial" w:hAnsi="Arial" w:eastAsia="黑体"/>
        </w:rPr>
      </w:pPr>
      <w:r>
        <w:br w:type="page"/>
      </w:r>
    </w:p>
    <w:p w14:paraId="1A714DA4">
      <w:pPr>
        <w:pStyle w:val="16"/>
        <w:spacing w:before="326" w:beforeLines="100" w:line="360" w:lineRule="auto"/>
        <w:rPr>
          <w:rFonts w:ascii="黑体" w:hAnsi="宋体"/>
        </w:rPr>
      </w:pPr>
      <w:r>
        <w:rPr>
          <w:rFonts w:hint="eastAsia" w:ascii="黑体" w:hAnsi="宋体"/>
        </w:rPr>
        <w:t>二、课程目标与毕业要求</w:t>
      </w:r>
    </w:p>
    <w:p w14:paraId="344F8C34">
      <w:pPr>
        <w:pStyle w:val="17"/>
        <w:spacing w:before="81" w:after="163"/>
      </w:pPr>
      <w:r>
        <w:rPr>
          <w:rFonts w:hint="eastAsia"/>
        </w:rPr>
        <w:t xml:space="preserve">（一）课程目标 </w:t>
      </w:r>
    </w:p>
    <w:tbl>
      <w:tblPr>
        <w:tblStyle w:val="7"/>
        <w:tblW w:w="49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21"/>
        <w:gridCol w:w="773"/>
        <w:gridCol w:w="6384"/>
      </w:tblGrid>
      <w:tr w14:paraId="16E43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21" w:hRule="atLeast"/>
          <w:jc w:val="center"/>
        </w:trPr>
        <w:tc>
          <w:tcPr>
            <w:tcW w:w="1221" w:type="dxa"/>
            <w:vAlign w:val="center"/>
          </w:tcPr>
          <w:p w14:paraId="0D96BCE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73" w:type="dxa"/>
            <w:shd w:val="clear" w:color="auto" w:fill="auto"/>
            <w:vAlign w:val="center"/>
          </w:tcPr>
          <w:p w14:paraId="767FD13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85" w:type="dxa"/>
            <w:vAlign w:val="center"/>
          </w:tcPr>
          <w:p w14:paraId="0E49AA5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AEC2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5" w:hRule="atLeast"/>
          <w:jc w:val="center"/>
        </w:trPr>
        <w:tc>
          <w:tcPr>
            <w:tcW w:w="1221" w:type="dxa"/>
            <w:vMerge w:val="restart"/>
            <w:vAlign w:val="center"/>
          </w:tcPr>
          <w:p w14:paraId="4112976A">
            <w:pPr>
              <w:snapToGrid w:val="0"/>
              <w:jc w:val="center"/>
            </w:pPr>
            <w:r>
              <w:rPr>
                <w:rFonts w:hint="eastAsia" w:ascii="黑体" w:hAnsi="黑体" w:eastAsia="黑体"/>
                <w:bCs/>
                <w:color w:val="000000"/>
                <w:sz w:val="21"/>
                <w:szCs w:val="18"/>
              </w:rPr>
              <w:t>知识目标</w:t>
            </w:r>
          </w:p>
        </w:tc>
        <w:tc>
          <w:tcPr>
            <w:tcW w:w="773" w:type="dxa"/>
            <w:shd w:val="clear" w:color="auto" w:fill="auto"/>
            <w:vAlign w:val="center"/>
          </w:tcPr>
          <w:p w14:paraId="2159C09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85" w:type="dxa"/>
            <w:vAlign w:val="center"/>
          </w:tcPr>
          <w:p w14:paraId="5A82F546">
            <w:pPr>
              <w:spacing w:line="240" w:lineRule="auto"/>
              <w:jc w:val="both"/>
              <w:rPr>
                <w:rFonts w:ascii="宋体" w:hAnsi="宋体"/>
                <w:bCs/>
              </w:rPr>
            </w:pPr>
            <w:r>
              <w:rPr>
                <w:rFonts w:hint="eastAsia" w:asciiTheme="minorEastAsia" w:hAnsiTheme="minorEastAsia" w:eastAsiaTheme="minorEastAsia"/>
                <w:color w:val="000000"/>
                <w:sz w:val="20"/>
                <w:szCs w:val="20"/>
                <w:lang w:val="en-US" w:eastAsia="zh-CN"/>
              </w:rPr>
              <w:t>掌握和弦、调性等基础乐理知识，了解幼儿音乐活动设计的方式。熟悉语言、科学、艺术等幼儿五大领域知识并能合理运用于综合活动中。</w:t>
            </w:r>
          </w:p>
        </w:tc>
      </w:tr>
      <w:tr w14:paraId="5F193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continue"/>
            <w:vAlign w:val="center"/>
          </w:tcPr>
          <w:p w14:paraId="68E6CAC3">
            <w:pPr>
              <w:pStyle w:val="14"/>
              <w:rPr>
                <w:bCs/>
              </w:rPr>
            </w:pPr>
          </w:p>
        </w:tc>
        <w:tc>
          <w:tcPr>
            <w:tcW w:w="773" w:type="dxa"/>
            <w:shd w:val="clear" w:color="auto" w:fill="auto"/>
            <w:vAlign w:val="center"/>
          </w:tcPr>
          <w:p w14:paraId="5E2DC45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85" w:type="dxa"/>
            <w:vAlign w:val="center"/>
          </w:tcPr>
          <w:p w14:paraId="52F2CD6E">
            <w:pPr>
              <w:spacing w:line="240" w:lineRule="auto"/>
              <w:jc w:val="both"/>
              <w:rPr>
                <w:rFonts w:ascii="宋体" w:hAnsi="宋体"/>
                <w:bCs/>
              </w:rPr>
            </w:pPr>
            <w:r>
              <w:rPr>
                <w:rFonts w:hint="eastAsia" w:asciiTheme="minorEastAsia" w:hAnsiTheme="minorEastAsia" w:eastAsiaTheme="minorEastAsia"/>
                <w:color w:val="000000"/>
                <w:sz w:val="20"/>
                <w:szCs w:val="20"/>
                <w:lang w:val="en-US" w:eastAsia="zh-CN"/>
              </w:rPr>
              <w:t>会用乐理与视唱等知识和方法，分析音乐作品。</w:t>
            </w:r>
          </w:p>
        </w:tc>
      </w:tr>
      <w:tr w14:paraId="6A93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restart"/>
            <w:vAlign w:val="center"/>
          </w:tcPr>
          <w:p w14:paraId="6A1E0994">
            <w:pPr>
              <w:snapToGrid w:val="0"/>
              <w:jc w:val="center"/>
            </w:pPr>
            <w:r>
              <w:rPr>
                <w:rFonts w:hint="eastAsia" w:ascii="黑体" w:hAnsi="黑体" w:eastAsia="黑体"/>
                <w:bCs/>
                <w:color w:val="000000"/>
                <w:sz w:val="21"/>
                <w:szCs w:val="18"/>
              </w:rPr>
              <w:t>技能目标</w:t>
            </w:r>
          </w:p>
        </w:tc>
        <w:tc>
          <w:tcPr>
            <w:tcW w:w="773" w:type="dxa"/>
            <w:shd w:val="clear" w:color="auto" w:fill="auto"/>
            <w:vAlign w:val="center"/>
          </w:tcPr>
          <w:p w14:paraId="15B6ED2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85" w:type="dxa"/>
            <w:vAlign w:val="center"/>
          </w:tcPr>
          <w:p w14:paraId="0E59E856">
            <w:pPr>
              <w:spacing w:line="240" w:lineRule="auto"/>
              <w:ind w:right="-50" w:rightChars="0"/>
              <w:jc w:val="both"/>
              <w:rPr>
                <w:rFonts w:ascii="宋体" w:hAnsi="宋体"/>
                <w:bCs/>
              </w:rPr>
            </w:pPr>
            <w:r>
              <w:rPr>
                <w:rFonts w:hint="eastAsia" w:asciiTheme="minorEastAsia" w:hAnsiTheme="minorEastAsia" w:eastAsiaTheme="minorEastAsia"/>
                <w:color w:val="000000"/>
                <w:sz w:val="20"/>
                <w:szCs w:val="20"/>
                <w:lang w:val="en-US" w:eastAsia="zh-CN"/>
              </w:rPr>
              <w:t>能合理运用呼吸、共鸣等科学的发声方法，声情并茂地演唱歌曲。</w:t>
            </w:r>
          </w:p>
        </w:tc>
      </w:tr>
      <w:tr w14:paraId="5916A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continue"/>
            <w:vAlign w:val="center"/>
          </w:tcPr>
          <w:p w14:paraId="36A7B37A">
            <w:pPr>
              <w:pStyle w:val="14"/>
              <w:rPr>
                <w:rFonts w:ascii="宋体" w:hAnsi="宋体"/>
              </w:rPr>
            </w:pPr>
          </w:p>
        </w:tc>
        <w:tc>
          <w:tcPr>
            <w:tcW w:w="773" w:type="dxa"/>
            <w:shd w:val="clear" w:color="auto" w:fill="auto"/>
            <w:vAlign w:val="center"/>
          </w:tcPr>
          <w:p w14:paraId="287098D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85" w:type="dxa"/>
            <w:vAlign w:val="center"/>
          </w:tcPr>
          <w:p w14:paraId="317044C2">
            <w:pPr>
              <w:spacing w:line="240" w:lineRule="auto"/>
              <w:ind w:right="-50" w:rightChars="0"/>
              <w:jc w:val="both"/>
              <w:rPr>
                <w:rFonts w:ascii="宋体" w:hAnsi="宋体"/>
                <w:bCs/>
              </w:rPr>
            </w:pPr>
            <w:r>
              <w:rPr>
                <w:rFonts w:hint="eastAsia" w:asciiTheme="minorEastAsia" w:hAnsiTheme="minorEastAsia" w:eastAsiaTheme="minorEastAsia"/>
                <w:color w:val="000000"/>
                <w:sz w:val="20"/>
                <w:szCs w:val="20"/>
                <w:lang w:val="en-US" w:eastAsia="zh-CN"/>
              </w:rPr>
              <w:t>能分析和判断音乐作品的风格，了解乐理与视唱在学前教育中的运用。</w:t>
            </w:r>
          </w:p>
        </w:tc>
      </w:tr>
      <w:tr w14:paraId="5A886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514" w:hRule="atLeast"/>
          <w:jc w:val="center"/>
        </w:trPr>
        <w:tc>
          <w:tcPr>
            <w:tcW w:w="1221" w:type="dxa"/>
            <w:vAlign w:val="center"/>
          </w:tcPr>
          <w:p w14:paraId="0C2D47E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836CA4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73" w:type="dxa"/>
            <w:shd w:val="clear" w:color="auto" w:fill="auto"/>
            <w:vAlign w:val="center"/>
          </w:tcPr>
          <w:p w14:paraId="4FA87A8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85" w:type="dxa"/>
            <w:vAlign w:val="center"/>
          </w:tcPr>
          <w:p w14:paraId="19844EBD">
            <w:pPr>
              <w:spacing w:line="240" w:lineRule="auto"/>
              <w:jc w:val="both"/>
              <w:rPr>
                <w:rFonts w:ascii="宋体" w:hAnsi="宋体"/>
                <w:bCs/>
              </w:rPr>
            </w:pPr>
            <w:r>
              <w:rPr>
                <w:rFonts w:hint="eastAsia" w:ascii="宋体" w:hAnsi="宋体" w:eastAsia="宋体" w:cs="宋体"/>
                <w:kern w:val="0"/>
                <w:sz w:val="21"/>
                <w:szCs w:val="21"/>
                <w:lang w:val="en-US" w:eastAsia="zh-CN"/>
              </w:rPr>
              <w:t>理解所学歌曲的内涵和情感，提升学前教育学生专业素养，增强学生对</w:t>
            </w:r>
            <w:r>
              <w:rPr>
                <w:rFonts w:hint="eastAsia" w:ascii="宋体" w:hAnsi="宋体" w:eastAsia="宋体" w:cs="宋体"/>
                <w:bCs/>
                <w:color w:val="000000"/>
                <w:sz w:val="21"/>
                <w:szCs w:val="21"/>
              </w:rPr>
              <w:t>表达音乐的能力</w:t>
            </w:r>
            <w:r>
              <w:rPr>
                <w:rFonts w:hint="eastAsia" w:ascii="宋体" w:hAnsi="宋体" w:eastAsia="宋体" w:cs="宋体"/>
                <w:bCs/>
                <w:color w:val="000000"/>
                <w:sz w:val="21"/>
                <w:szCs w:val="21"/>
                <w:lang w:val="en-US" w:eastAsia="zh-CN"/>
              </w:rPr>
              <w:t>和热爱声乐的弹唱。具有团队合作精神，认同学习共同体的价值</w:t>
            </w:r>
            <w:r>
              <w:rPr>
                <w:rFonts w:hint="eastAsia" w:cs="宋体"/>
                <w:bCs/>
                <w:color w:val="000000"/>
                <w:sz w:val="21"/>
                <w:szCs w:val="21"/>
                <w:lang w:val="en-US" w:eastAsia="zh-CN"/>
              </w:rPr>
              <w:t>。</w:t>
            </w:r>
            <w:r>
              <w:rPr>
                <w:rFonts w:hint="eastAsia" w:ascii="宋体" w:hAnsi="宋体" w:eastAsia="宋体" w:cs="宋体"/>
                <w:color w:val="000000"/>
                <w:kern w:val="0"/>
                <w:sz w:val="20"/>
                <w:szCs w:val="20"/>
              </w:rPr>
              <w:t>具有人文底蕴、生命关怀和科学精神。</w:t>
            </w:r>
            <w:r>
              <w:rPr>
                <w:rFonts w:hint="default" w:ascii="宋体" w:hAnsi="宋体" w:eastAsia="宋体" w:cs="宋体"/>
                <w:color w:val="000000"/>
                <w:kern w:val="0"/>
                <w:sz w:val="20"/>
                <w:szCs w:val="20"/>
              </w:rPr>
              <w:t>懂得</w:t>
            </w:r>
            <w:r>
              <w:rPr>
                <w:rFonts w:hint="default" w:ascii="Calibri" w:hAnsi="Calibri" w:eastAsia="宋体" w:cs="Calibri"/>
                <w:color w:val="000000"/>
                <w:kern w:val="0"/>
                <w:sz w:val="20"/>
                <w:szCs w:val="20"/>
              </w:rPr>
              <w:t>审美、热爱</w:t>
            </w:r>
            <w:r>
              <w:rPr>
                <w:rFonts w:hint="eastAsia" w:ascii="Calibri" w:hAnsi="Calibri" w:cs="Calibri"/>
                <w:color w:val="000000"/>
                <w:kern w:val="0"/>
                <w:sz w:val="20"/>
                <w:szCs w:val="20"/>
                <w:lang w:val="en-US" w:eastAsia="zh-CN"/>
              </w:rPr>
              <w:t>生活</w:t>
            </w:r>
            <w:r>
              <w:rPr>
                <w:rFonts w:hint="default" w:ascii="Calibri" w:hAnsi="Calibri" w:eastAsia="宋体" w:cs="Calibri"/>
                <w:color w:val="000000"/>
                <w:kern w:val="0"/>
                <w:sz w:val="20"/>
                <w:szCs w:val="20"/>
              </w:rPr>
              <w:t>、为人热忱、身心健康、耐挫折，具有可持续发展的能力。</w:t>
            </w:r>
          </w:p>
        </w:tc>
      </w:tr>
    </w:tbl>
    <w:p w14:paraId="507EDAF2">
      <w:pPr>
        <w:pStyle w:val="17"/>
        <w:numPr>
          <w:ilvl w:val="0"/>
          <w:numId w:val="1"/>
        </w:numPr>
        <w:spacing w:before="163" w:beforeLines="50" w:after="163"/>
        <w:rPr>
          <w:rFonts w:hint="eastAsia"/>
        </w:rPr>
      </w:pPr>
      <w:r>
        <w:rPr>
          <w:rFonts w:hint="eastAsia"/>
        </w:rPr>
        <w:t>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60"/>
      </w:tblGrid>
      <w:tr w14:paraId="7DFE42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3ED8DC0A">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r>
              <w:rPr>
                <w:rFonts w:hint="eastAsia" w:ascii="宋体" w:hAnsi="宋体" w:cs="宋体"/>
                <w:color w:val="auto"/>
                <w:kern w:val="0"/>
                <w:sz w:val="21"/>
                <w:szCs w:val="21"/>
                <w:lang w:val="en-US" w:eastAsia="zh-CN" w:bidi="ar-SA"/>
              </w:rPr>
              <w:t>1</w:t>
            </w:r>
          </w:p>
          <w:p w14:paraId="1F182310">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425C3CA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0CBFFF41">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教育情怀:1</w:t>
            </w:r>
          </w:p>
          <w:p w14:paraId="1C82ABC5">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6AA10C2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411017E5">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保教知识:1</w:t>
            </w:r>
          </w:p>
          <w:p w14:paraId="61DD684F">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2BA86106">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072C64E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0B97423C">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r>
              <w:rPr>
                <w:rFonts w:hint="eastAsia" w:ascii="宋体" w:hAnsi="宋体" w:cs="宋体"/>
                <w:color w:val="auto"/>
                <w:kern w:val="0"/>
                <w:sz w:val="21"/>
                <w:szCs w:val="21"/>
                <w:lang w:val="en-US" w:eastAsia="zh-CN" w:bidi="ar-SA"/>
              </w:rPr>
              <w:t>1</w:t>
            </w:r>
          </w:p>
          <w:p w14:paraId="5C85A5FE">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455075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39D554F0">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沟通合作:1</w:t>
            </w:r>
          </w:p>
          <w:p w14:paraId="1EC85DB4">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50B98C00">
      <w:pPr>
        <w:pStyle w:val="17"/>
        <w:numPr>
          <w:ilvl w:val="0"/>
          <w:numId w:val="0"/>
        </w:numPr>
        <w:spacing w:before="163" w:beforeLines="50" w:beforeAutospacing="0" w:after="163" w:afterLines="50" w:afterAutospacing="0" w:line="440" w:lineRule="exact"/>
        <w:outlineLvl w:val="1"/>
        <w:rPr>
          <w:rFonts w:hint="eastAsia"/>
          <w:b w:val="0"/>
          <w:bCs/>
        </w:rPr>
      </w:pPr>
    </w:p>
    <w:p w14:paraId="25CFFD43">
      <w:pPr>
        <w:pStyle w:val="17"/>
        <w:numPr>
          <w:ilvl w:val="0"/>
          <w:numId w:val="0"/>
        </w:numPr>
        <w:spacing w:before="163" w:beforeLines="50" w:beforeAutospacing="0" w:after="163" w:afterLines="50" w:afterAutospacing="0" w:line="440" w:lineRule="exact"/>
        <w:outlineLvl w:val="1"/>
        <w:rPr>
          <w:rFonts w:hint="eastAsia"/>
          <w:b w:val="0"/>
          <w:bCs/>
        </w:rPr>
      </w:pPr>
    </w:p>
    <w:p w14:paraId="3214198E">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6C7564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08C9A29">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r>
              <w:rPr>
                <w:rFonts w:hint="eastAsia" w:ascii="宋体" w:hAnsi="宋体" w:cs="宋体"/>
                <w:color w:val="auto"/>
                <w:kern w:val="0"/>
                <w:sz w:val="21"/>
                <w:szCs w:val="21"/>
                <w:lang w:val="en-US" w:eastAsia="zh-CN" w:bidi="ar-SA"/>
              </w:rPr>
              <w:t>1</w:t>
            </w:r>
          </w:p>
          <w:p w14:paraId="6438FE3C">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39D992D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4101A14">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教育情怀:1</w:t>
            </w:r>
          </w:p>
          <w:p w14:paraId="667FAE9B">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0BD6F8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317929">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保教知识:1</w:t>
            </w:r>
          </w:p>
          <w:p w14:paraId="270629C5">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105F4312">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1EF40FF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F989350">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r>
              <w:rPr>
                <w:rFonts w:hint="eastAsia" w:ascii="宋体" w:hAnsi="宋体" w:cs="宋体"/>
                <w:color w:val="auto"/>
                <w:kern w:val="0"/>
                <w:sz w:val="21"/>
                <w:szCs w:val="21"/>
                <w:lang w:val="en-US" w:eastAsia="zh-CN" w:bidi="ar-SA"/>
              </w:rPr>
              <w:t>1</w:t>
            </w:r>
          </w:p>
          <w:p w14:paraId="34E73F3E">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0EF4738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DEF659A">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沟通合作:1</w:t>
            </w:r>
          </w:p>
          <w:p w14:paraId="1687AA21">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2F410E4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66DA9E9">
      <w:pPr>
        <w:pStyle w:val="17"/>
        <w:spacing w:before="81" w:after="163"/>
      </w:pPr>
      <w:r>
        <w:rPr>
          <w:rFonts w:hint="eastAsia"/>
        </w:rPr>
        <w:t>（一）各教学单元预期学习成果与教学内容</w:t>
      </w:r>
    </w:p>
    <w:tbl>
      <w:tblPr>
        <w:tblStyle w:val="8"/>
        <w:tblpPr w:leftFromText="180" w:rightFromText="180" w:vertAnchor="text" w:horzAnchor="page" w:tblpX="2197" w:tblpY="238"/>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768"/>
        <w:gridCol w:w="1915"/>
        <w:gridCol w:w="1764"/>
        <w:gridCol w:w="1764"/>
      </w:tblGrid>
      <w:tr w14:paraId="53B3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7" w:type="dxa"/>
            <w:vAlign w:val="center"/>
          </w:tcPr>
          <w:p w14:paraId="2A02B5F0">
            <w:pPr>
              <w:widowControl w:val="0"/>
              <w:jc w:val="center"/>
              <w:rPr>
                <w:rFonts w:asciiTheme="minorEastAsia" w:hAnsiTheme="minorEastAsia" w:eastAsiaTheme="minorEastAsia"/>
                <w:b/>
                <w:sz w:val="21"/>
                <w:szCs w:val="21"/>
              </w:rPr>
            </w:pPr>
            <w:bookmarkStart w:id="1" w:name="_Hlk16325263"/>
            <w:r>
              <w:rPr>
                <w:rFonts w:hint="eastAsia" w:asciiTheme="minorEastAsia" w:hAnsiTheme="minorEastAsia" w:eastAsiaTheme="minorEastAsia"/>
                <w:b/>
                <w:sz w:val="21"/>
                <w:szCs w:val="21"/>
              </w:rPr>
              <w:t>单元</w:t>
            </w:r>
          </w:p>
        </w:tc>
        <w:tc>
          <w:tcPr>
            <w:tcW w:w="1768" w:type="dxa"/>
            <w:vAlign w:val="center"/>
          </w:tcPr>
          <w:p w14:paraId="560E5B6F">
            <w:pPr>
              <w:widowControl w:val="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知识目标</w:t>
            </w:r>
          </w:p>
        </w:tc>
        <w:tc>
          <w:tcPr>
            <w:tcW w:w="1915" w:type="dxa"/>
            <w:vAlign w:val="center"/>
          </w:tcPr>
          <w:p w14:paraId="76CB50E8">
            <w:pPr>
              <w:widowControl w:val="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能力</w:t>
            </w:r>
            <w:r>
              <w:rPr>
                <w:rFonts w:hint="eastAsia" w:asciiTheme="minorEastAsia" w:hAnsiTheme="minorEastAsia" w:eastAsiaTheme="minorEastAsia"/>
                <w:b/>
                <w:sz w:val="21"/>
                <w:szCs w:val="21"/>
                <w:lang w:val="en-US" w:eastAsia="zh-CN"/>
              </w:rPr>
              <w:t>目标</w:t>
            </w:r>
          </w:p>
        </w:tc>
        <w:tc>
          <w:tcPr>
            <w:tcW w:w="1764" w:type="dxa"/>
            <w:vAlign w:val="center"/>
          </w:tcPr>
          <w:p w14:paraId="27E8756B">
            <w:pPr>
              <w:widowControl w:val="0"/>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情感目标</w:t>
            </w:r>
          </w:p>
        </w:tc>
        <w:tc>
          <w:tcPr>
            <w:tcW w:w="1764" w:type="dxa"/>
            <w:vAlign w:val="center"/>
          </w:tcPr>
          <w:p w14:paraId="7D44ECAA">
            <w:pPr>
              <w:widowControl w:val="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教学难点</w:t>
            </w:r>
          </w:p>
        </w:tc>
      </w:tr>
      <w:tr w14:paraId="14F4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1047" w:type="dxa"/>
            <w:vAlign w:val="center"/>
          </w:tcPr>
          <w:p w14:paraId="0C075020">
            <w:pPr>
              <w:widowControl w:val="0"/>
              <w:jc w:val="center"/>
              <w:rPr>
                <w:rFonts w:asciiTheme="minorEastAsia" w:hAnsiTheme="minorEastAsia"/>
                <w:b/>
                <w:sz w:val="21"/>
                <w:szCs w:val="21"/>
              </w:rPr>
            </w:pPr>
            <w:r>
              <w:rPr>
                <w:color w:val="000000"/>
                <w:sz w:val="21"/>
                <w:szCs w:val="21"/>
              </w:rPr>
              <w:t>1.</w:t>
            </w:r>
            <w:r>
              <w:rPr>
                <w:rFonts w:hint="eastAsia"/>
                <w:color w:val="000000"/>
                <w:sz w:val="21"/>
                <w:szCs w:val="21"/>
              </w:rPr>
              <w:t>简谱与顿音练习（</w:t>
            </w:r>
            <w:r>
              <w:rPr>
                <w:color w:val="000000"/>
                <w:sz w:val="21"/>
                <w:szCs w:val="21"/>
              </w:rPr>
              <w:t>2课时</w:t>
            </w:r>
            <w:r>
              <w:rPr>
                <w:rFonts w:hint="eastAsia"/>
                <w:color w:val="000000"/>
                <w:sz w:val="21"/>
                <w:szCs w:val="21"/>
              </w:rPr>
              <w:t>理论加实践，分为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04E018A8">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区别和分析</w:t>
            </w:r>
            <w:r>
              <w:rPr>
                <w:rFonts w:hint="eastAsia" w:asciiTheme="minorEastAsia" w:hAnsiTheme="minorEastAsia" w:eastAsiaTheme="minorEastAsia"/>
                <w:color w:val="000000"/>
                <w:sz w:val="21"/>
                <w:szCs w:val="21"/>
              </w:rPr>
              <w:t>简谱中的调号</w:t>
            </w:r>
          </w:p>
          <w:p w14:paraId="5C775D7A">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分析</w:t>
            </w:r>
            <w:r>
              <w:rPr>
                <w:rFonts w:hint="eastAsia" w:asciiTheme="minorEastAsia" w:hAnsiTheme="minorEastAsia" w:eastAsiaTheme="minorEastAsia"/>
                <w:color w:val="000000"/>
                <w:sz w:val="21"/>
                <w:szCs w:val="21"/>
              </w:rPr>
              <w:t>简谱的书写格式</w:t>
            </w:r>
          </w:p>
          <w:p w14:paraId="3A3AA899">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发声常规训练</w:t>
            </w:r>
          </w:p>
          <w:p w14:paraId="3C5348CB">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顿音练习</w:t>
            </w:r>
          </w:p>
          <w:p w14:paraId="4AF1B6F2">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练习曲目《岁月悠悠》、《渴望春天》等</w:t>
            </w:r>
          </w:p>
        </w:tc>
        <w:tc>
          <w:tcPr>
            <w:tcW w:w="1915" w:type="dxa"/>
            <w:vAlign w:val="center"/>
          </w:tcPr>
          <w:p w14:paraId="10E228D7">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1.记忆简谱中的调号</w:t>
            </w:r>
          </w:p>
          <w:p w14:paraId="3547A7A4">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2.掌握简谱的书写格式并正确应用</w:t>
            </w:r>
          </w:p>
          <w:p w14:paraId="61ABBA75">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3.能够演唱《岁月悠悠》</w:t>
            </w:r>
          </w:p>
          <w:p w14:paraId="630D3C12">
            <w:pPr>
              <w:widowControl w:val="0"/>
              <w:jc w:val="left"/>
              <w:rPr>
                <w:rFonts w:asciiTheme="minorEastAsia" w:hAnsiTheme="minorEastAsia" w:eastAsiaTheme="minorEastAsia"/>
                <w:color w:val="000000"/>
                <w:sz w:val="21"/>
                <w:szCs w:val="21"/>
              </w:rPr>
            </w:pPr>
          </w:p>
        </w:tc>
        <w:tc>
          <w:tcPr>
            <w:tcW w:w="1764" w:type="dxa"/>
            <w:vAlign w:val="center"/>
          </w:tcPr>
          <w:p w14:paraId="4C7528D2">
            <w:pPr>
              <w:widowControl w:val="0"/>
              <w:ind w:right="-50" w:rightChars="0"/>
              <w:jc w:val="both"/>
              <w:rPr>
                <w:rFonts w:hint="eastAsia" w:asciiTheme="minorEastAsia" w:hAnsiTheme="minorEastAsia" w:eastAsiaTheme="minorEastAsia"/>
                <w:bCs/>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《岁月悠悠》、《渴望春天》</w:t>
            </w:r>
            <w:r>
              <w:rPr>
                <w:rFonts w:hint="eastAsia" w:asciiTheme="minorEastAsia" w:hAnsiTheme="minorEastAsia"/>
                <w:bCs/>
                <w:sz w:val="21"/>
                <w:szCs w:val="21"/>
                <w:lang w:val="en-US" w:eastAsia="zh-CN"/>
              </w:rPr>
              <w:t>歌曲的色彩情感，提升学前教育学生专业素养，对声乐产生热爱。</w:t>
            </w:r>
          </w:p>
        </w:tc>
        <w:tc>
          <w:tcPr>
            <w:tcW w:w="1764" w:type="dxa"/>
            <w:vAlign w:val="center"/>
          </w:tcPr>
          <w:p w14:paraId="2463F7B3">
            <w:pPr>
              <w:widowControl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1.</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对歌曲节奏、节拍的把握</w:t>
            </w:r>
          </w:p>
        </w:tc>
      </w:tr>
      <w:tr w14:paraId="2A9B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1047" w:type="dxa"/>
            <w:vAlign w:val="center"/>
          </w:tcPr>
          <w:p w14:paraId="78B1ED6C">
            <w:pPr>
              <w:widowControl w:val="0"/>
              <w:jc w:val="left"/>
              <w:rPr>
                <w:color w:val="000000"/>
                <w:sz w:val="21"/>
                <w:szCs w:val="21"/>
              </w:rPr>
            </w:pPr>
            <w:r>
              <w:rPr>
                <w:color w:val="000000"/>
                <w:sz w:val="21"/>
                <w:szCs w:val="21"/>
              </w:rPr>
              <w:t>2.</w:t>
            </w:r>
            <w:r>
              <w:rPr>
                <w:rFonts w:hint="eastAsia"/>
                <w:color w:val="000000"/>
                <w:sz w:val="21"/>
                <w:szCs w:val="21"/>
              </w:rPr>
              <w:t xml:space="preserve"> 音符均分与带词练习（</w:t>
            </w:r>
            <w:r>
              <w:rPr>
                <w:color w:val="000000"/>
                <w:sz w:val="21"/>
                <w:szCs w:val="21"/>
              </w:rPr>
              <w:t>4课时</w:t>
            </w:r>
            <w:r>
              <w:rPr>
                <w:rFonts w:hint="eastAsia"/>
                <w:color w:val="000000"/>
                <w:sz w:val="21"/>
                <w:szCs w:val="21"/>
              </w:rPr>
              <w:t>理论加实践，分为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42BB8468">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区分和分析</w:t>
            </w:r>
            <w:r>
              <w:rPr>
                <w:rFonts w:hint="eastAsia" w:asciiTheme="minorEastAsia" w:hAnsiTheme="minorEastAsia" w:eastAsiaTheme="minorEastAsia"/>
                <w:color w:val="000000"/>
                <w:sz w:val="21"/>
                <w:szCs w:val="21"/>
              </w:rPr>
              <w:t>音符均分的特殊形式</w:t>
            </w:r>
          </w:p>
          <w:p w14:paraId="2A9386FD">
            <w:pPr>
              <w:widowControl/>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区分和分析</w:t>
            </w:r>
            <w:r>
              <w:rPr>
                <w:rFonts w:hint="eastAsia" w:asciiTheme="minorEastAsia" w:hAnsiTheme="minorEastAsia" w:eastAsiaTheme="minorEastAsia"/>
                <w:color w:val="000000"/>
                <w:sz w:val="21"/>
                <w:szCs w:val="21"/>
              </w:rPr>
              <w:t>协和音程和不协和音程</w:t>
            </w:r>
          </w:p>
          <w:p w14:paraId="3B2EB8FA">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吹唇练习</w:t>
            </w:r>
          </w:p>
          <w:p w14:paraId="3C9EDBEC">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带词练习</w:t>
            </w:r>
          </w:p>
          <w:p w14:paraId="1F3100F4">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练习曲目《康定情歌》、《问》等</w:t>
            </w:r>
          </w:p>
        </w:tc>
        <w:tc>
          <w:tcPr>
            <w:tcW w:w="1915" w:type="dxa"/>
            <w:vAlign w:val="center"/>
          </w:tcPr>
          <w:p w14:paraId="0E9D6E03">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1.记忆音符均分的特殊形式</w:t>
            </w:r>
          </w:p>
          <w:p w14:paraId="30B609AB">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2.区分协和音程和不协和音程</w:t>
            </w:r>
          </w:p>
          <w:p w14:paraId="25D7ADAB">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3.能够演唱《康定情歌》</w:t>
            </w:r>
          </w:p>
          <w:p w14:paraId="284C6259">
            <w:pPr>
              <w:widowControl w:val="0"/>
              <w:jc w:val="left"/>
              <w:rPr>
                <w:rFonts w:asciiTheme="minorEastAsia" w:hAnsiTheme="minorEastAsia" w:eastAsiaTheme="minorEastAsia"/>
                <w:color w:val="000000"/>
                <w:sz w:val="21"/>
                <w:szCs w:val="21"/>
              </w:rPr>
            </w:pPr>
          </w:p>
        </w:tc>
        <w:tc>
          <w:tcPr>
            <w:tcW w:w="1764" w:type="dxa"/>
            <w:vAlign w:val="center"/>
          </w:tcPr>
          <w:p w14:paraId="749DCF7E">
            <w:pPr>
              <w:widowControl w:val="0"/>
              <w:jc w:val="left"/>
              <w:rPr>
                <w:rFonts w:hint="eastAsia" w:asciiTheme="minorEastAsia" w:hAnsiTheme="minorEastAsia" w:eastAsiaTheme="minorEastAsia"/>
                <w:color w:val="000000"/>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《康定情歌》、《问》</w:t>
            </w:r>
            <w:r>
              <w:rPr>
                <w:rFonts w:hint="eastAsia" w:asciiTheme="minorEastAsia" w:hAnsiTheme="minorEastAsia"/>
                <w:bCs/>
                <w:sz w:val="21"/>
                <w:szCs w:val="21"/>
                <w:lang w:val="en-US" w:eastAsia="zh-CN"/>
              </w:rPr>
              <w:t>歌曲的色彩情感，提升学前教育学生专业素养，培养学生对声乐作品的分析能力和审美能力</w:t>
            </w:r>
          </w:p>
        </w:tc>
        <w:tc>
          <w:tcPr>
            <w:tcW w:w="1764" w:type="dxa"/>
            <w:vAlign w:val="center"/>
          </w:tcPr>
          <w:p w14:paraId="3050281D">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1.授课技巧的传授</w:t>
            </w:r>
          </w:p>
          <w:p w14:paraId="5C43977A">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2.对歌曲含义的理解</w:t>
            </w:r>
            <w:r>
              <w:rPr>
                <w:rFonts w:asciiTheme="minorEastAsia" w:hAnsiTheme="minorEastAsia" w:eastAsiaTheme="minorEastAsia"/>
                <w:color w:val="000000"/>
                <w:sz w:val="21"/>
                <w:szCs w:val="21"/>
              </w:rPr>
              <w:t xml:space="preserve"> </w:t>
            </w:r>
          </w:p>
        </w:tc>
      </w:tr>
      <w:tr w14:paraId="4137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1047" w:type="dxa"/>
            <w:vAlign w:val="center"/>
          </w:tcPr>
          <w:p w14:paraId="25E4A97B">
            <w:pPr>
              <w:widowControl w:val="0"/>
              <w:jc w:val="left"/>
              <w:rPr>
                <w:color w:val="000000"/>
                <w:sz w:val="21"/>
                <w:szCs w:val="21"/>
              </w:rPr>
            </w:pPr>
            <w:r>
              <w:rPr>
                <w:color w:val="000000"/>
                <w:sz w:val="21"/>
                <w:szCs w:val="21"/>
              </w:rPr>
              <w:t>3.</w:t>
            </w:r>
            <w:r>
              <w:rPr>
                <w:rFonts w:hint="eastAsia"/>
                <w:color w:val="000000"/>
                <w:sz w:val="21"/>
                <w:szCs w:val="21"/>
              </w:rPr>
              <w:t xml:space="preserve"> 音程的转位（</w:t>
            </w:r>
            <w:r>
              <w:rPr>
                <w:color w:val="000000"/>
                <w:sz w:val="21"/>
                <w:szCs w:val="21"/>
              </w:rPr>
              <w:t xml:space="preserve"> 4课时</w:t>
            </w:r>
            <w:r>
              <w:rPr>
                <w:rFonts w:hint="eastAsia"/>
                <w:color w:val="000000"/>
                <w:sz w:val="21"/>
                <w:szCs w:val="21"/>
              </w:rPr>
              <w:t>实践结合理论,分为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4D418B80">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分析和区别</w:t>
            </w:r>
            <w:r>
              <w:rPr>
                <w:rFonts w:hint="eastAsia" w:asciiTheme="minorEastAsia" w:hAnsiTheme="minorEastAsia" w:eastAsiaTheme="minorEastAsia"/>
                <w:color w:val="000000"/>
                <w:sz w:val="21"/>
                <w:szCs w:val="21"/>
              </w:rPr>
              <w:t>单音程与复音程</w:t>
            </w:r>
          </w:p>
          <w:p w14:paraId="19010125">
            <w:pPr>
              <w:widowControl/>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分析</w:t>
            </w:r>
            <w:r>
              <w:rPr>
                <w:rFonts w:hint="eastAsia" w:asciiTheme="minorEastAsia" w:hAnsiTheme="minorEastAsia" w:eastAsiaTheme="minorEastAsia"/>
                <w:color w:val="000000"/>
                <w:sz w:val="21"/>
                <w:szCs w:val="21"/>
              </w:rPr>
              <w:t>音程的转位</w:t>
            </w:r>
          </w:p>
          <w:p w14:paraId="1E25ED2B">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呼吸和力度控制练习</w:t>
            </w:r>
          </w:p>
          <w:p w14:paraId="4D1B89DF">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练习曲目《夏日最后的玫瑰》、《童年的小摇车》等</w:t>
            </w:r>
          </w:p>
        </w:tc>
        <w:tc>
          <w:tcPr>
            <w:tcW w:w="1915" w:type="dxa"/>
            <w:vAlign w:val="center"/>
          </w:tcPr>
          <w:p w14:paraId="750A7B64">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1.区分单音程和复音程</w:t>
            </w:r>
          </w:p>
          <w:p w14:paraId="2EB049AC">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2.能够控制呼吸和力度</w:t>
            </w:r>
          </w:p>
          <w:p w14:paraId="34A6B0C1">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 能够演唱《夏日最后的玫瑰》</w:t>
            </w:r>
          </w:p>
        </w:tc>
        <w:tc>
          <w:tcPr>
            <w:tcW w:w="1764" w:type="dxa"/>
            <w:vAlign w:val="center"/>
          </w:tcPr>
          <w:p w14:paraId="5ADD2B38">
            <w:pPr>
              <w:widowControl w:val="0"/>
              <w:jc w:val="left"/>
              <w:rPr>
                <w:rFonts w:hint="eastAsia" w:asciiTheme="minorEastAsia" w:hAnsiTheme="minorEastAsia" w:eastAsiaTheme="minorEastAsia"/>
                <w:color w:val="000000"/>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《夏日最后的玫瑰》、《童年的小摇车》</w:t>
            </w:r>
            <w:r>
              <w:rPr>
                <w:rFonts w:hint="eastAsia" w:asciiTheme="minorEastAsia" w:hAnsiTheme="minorEastAsia"/>
                <w:bCs/>
                <w:sz w:val="21"/>
                <w:szCs w:val="21"/>
                <w:lang w:val="en-US" w:eastAsia="zh-CN"/>
              </w:rPr>
              <w:t>歌曲的色彩情感，提升学前教育学生专业素养，培养学生审美能力和表达音乐情感</w:t>
            </w:r>
          </w:p>
        </w:tc>
        <w:tc>
          <w:tcPr>
            <w:tcW w:w="1764" w:type="dxa"/>
            <w:vAlign w:val="center"/>
          </w:tcPr>
          <w:p w14:paraId="3B46C23C">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1.对音程转位规律的掌握</w:t>
            </w:r>
          </w:p>
          <w:p w14:paraId="095BCFB7">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2.演唱时呼吸和力度的控制</w:t>
            </w:r>
          </w:p>
          <w:p w14:paraId="0569DD57">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3.对歌曲情感的把握</w:t>
            </w:r>
            <w:r>
              <w:rPr>
                <w:rFonts w:asciiTheme="minorEastAsia" w:hAnsiTheme="minorEastAsia" w:eastAsiaTheme="minorEastAsia"/>
                <w:color w:val="000000"/>
                <w:sz w:val="21"/>
                <w:szCs w:val="21"/>
              </w:rPr>
              <w:t xml:space="preserve"> </w:t>
            </w:r>
          </w:p>
        </w:tc>
      </w:tr>
      <w:tr w14:paraId="2885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trPr>
        <w:tc>
          <w:tcPr>
            <w:tcW w:w="1047" w:type="dxa"/>
            <w:vAlign w:val="center"/>
          </w:tcPr>
          <w:p w14:paraId="130D4A12">
            <w:pPr>
              <w:widowControl w:val="0"/>
              <w:jc w:val="left"/>
              <w:rPr>
                <w:color w:val="000000"/>
                <w:sz w:val="21"/>
                <w:szCs w:val="21"/>
              </w:rPr>
            </w:pPr>
            <w:r>
              <w:rPr>
                <w:color w:val="000000"/>
                <w:sz w:val="21"/>
                <w:szCs w:val="21"/>
              </w:rPr>
              <w:t>4.</w:t>
            </w:r>
            <w:r>
              <w:rPr>
                <w:rFonts w:hint="eastAsia"/>
                <w:color w:val="000000"/>
                <w:sz w:val="21"/>
                <w:szCs w:val="21"/>
              </w:rPr>
              <w:t>调式、音阶、调号、三和弦（</w:t>
            </w:r>
            <w:r>
              <w:rPr>
                <w:color w:val="000000"/>
                <w:sz w:val="21"/>
                <w:szCs w:val="21"/>
              </w:rPr>
              <w:t>6课时</w:t>
            </w:r>
            <w:r>
              <w:rPr>
                <w:rFonts w:hint="eastAsia"/>
                <w:color w:val="000000"/>
                <w:sz w:val="21"/>
                <w:szCs w:val="21"/>
              </w:rPr>
              <w:t>实践结合理论，分为</w:t>
            </w:r>
            <w:r>
              <w:rPr>
                <w:rFonts w:hint="eastAsia"/>
                <w:color w:val="000000"/>
                <w:sz w:val="21"/>
                <w:szCs w:val="21"/>
                <w:lang w:val="en-US" w:eastAsia="zh-CN"/>
              </w:rPr>
              <w:t>2</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rPr>
              <w:t>课时实践</w:t>
            </w:r>
            <w:r>
              <w:rPr>
                <w:color w:val="000000"/>
                <w:sz w:val="21"/>
                <w:szCs w:val="21"/>
              </w:rPr>
              <w:t>）</w:t>
            </w:r>
          </w:p>
        </w:tc>
        <w:tc>
          <w:tcPr>
            <w:tcW w:w="1768" w:type="dxa"/>
            <w:vAlign w:val="center"/>
          </w:tcPr>
          <w:p w14:paraId="0040B770">
            <w:pPr>
              <w:widowControl w:val="0"/>
              <w:ind w:right="-5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分析和区别</w:t>
            </w:r>
            <w:r>
              <w:rPr>
                <w:rFonts w:hint="eastAsia" w:asciiTheme="minorEastAsia" w:hAnsiTheme="minorEastAsia" w:eastAsiaTheme="minorEastAsia"/>
                <w:color w:val="000000"/>
                <w:sz w:val="21"/>
                <w:szCs w:val="21"/>
              </w:rPr>
              <w:t>调式、调性</w:t>
            </w:r>
          </w:p>
          <w:p w14:paraId="1893553B">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区别</w:t>
            </w:r>
            <w:r>
              <w:rPr>
                <w:rFonts w:hint="eastAsia" w:asciiTheme="minorEastAsia" w:hAnsiTheme="minorEastAsia" w:eastAsiaTheme="minorEastAsia"/>
                <w:color w:val="000000"/>
                <w:sz w:val="21"/>
                <w:szCs w:val="21"/>
              </w:rPr>
              <w:t>大调式、大调音阶与调号</w:t>
            </w:r>
          </w:p>
          <w:p w14:paraId="5F6C88DB">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lang w:val="en-US" w:eastAsia="zh-CN"/>
              </w:rPr>
              <w:t>分析</w:t>
            </w:r>
            <w:r>
              <w:rPr>
                <w:rFonts w:hint="eastAsia" w:asciiTheme="minorEastAsia" w:hAnsiTheme="minorEastAsia" w:eastAsiaTheme="minorEastAsia"/>
                <w:color w:val="000000"/>
                <w:sz w:val="21"/>
                <w:szCs w:val="21"/>
              </w:rPr>
              <w:t>三和弦、七和弦的原位及转位</w:t>
            </w:r>
          </w:p>
          <w:p w14:paraId="22C3BE9A">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哼鸣练习</w:t>
            </w:r>
          </w:p>
          <w:p w14:paraId="1D1659F8">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lang w:val="en-US" w:eastAsia="zh-CN"/>
              </w:rPr>
              <w:t>组成学生小组进行</w:t>
            </w:r>
            <w:r>
              <w:rPr>
                <w:rFonts w:hint="eastAsia" w:asciiTheme="minorEastAsia" w:hAnsiTheme="minorEastAsia" w:eastAsiaTheme="minorEastAsia"/>
                <w:color w:val="000000"/>
                <w:sz w:val="21"/>
                <w:szCs w:val="21"/>
              </w:rPr>
              <w:t>连音练习</w:t>
            </w:r>
          </w:p>
          <w:p w14:paraId="4C378CB7">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w:t>
            </w:r>
            <w:r>
              <w:rPr>
                <w:rFonts w:hint="eastAsia" w:asciiTheme="minorEastAsia" w:hAnsiTheme="minorEastAsia" w:eastAsiaTheme="minorEastAsia"/>
                <w:color w:val="000000"/>
                <w:sz w:val="21"/>
                <w:szCs w:val="21"/>
                <w:lang w:val="en-US" w:eastAsia="zh-CN"/>
              </w:rPr>
              <w:t>支持学生</w:t>
            </w:r>
            <w:r>
              <w:rPr>
                <w:rFonts w:hint="eastAsia" w:asciiTheme="minorEastAsia" w:hAnsiTheme="minorEastAsia" w:eastAsiaTheme="minorEastAsia"/>
                <w:color w:val="000000"/>
                <w:sz w:val="21"/>
                <w:szCs w:val="21"/>
              </w:rPr>
              <w:t>练习曲目《最后一个梦》、《故乡的小路》、《两颗小星星》等</w:t>
            </w:r>
          </w:p>
        </w:tc>
        <w:tc>
          <w:tcPr>
            <w:tcW w:w="1915" w:type="dxa"/>
            <w:vAlign w:val="center"/>
          </w:tcPr>
          <w:p w14:paraId="692314A4">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1.能够掌握歌曲的调式与调性</w:t>
            </w:r>
          </w:p>
          <w:p w14:paraId="5B5D58B0">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2.记忆大调式、大调音阶与调号</w:t>
            </w:r>
          </w:p>
          <w:p w14:paraId="34D1E230">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3.记忆小调式、小调音阶与调号</w:t>
            </w:r>
          </w:p>
          <w:p w14:paraId="4824E4FC">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 能够演唱《最后一个梦》</w:t>
            </w:r>
          </w:p>
          <w:p w14:paraId="453A7566">
            <w:pPr>
              <w:widowControl w:val="0"/>
              <w:jc w:val="both"/>
              <w:rPr>
                <w:rFonts w:asciiTheme="minorEastAsia" w:hAnsiTheme="minorEastAsia" w:eastAsiaTheme="minorEastAsia"/>
                <w:color w:val="000000"/>
                <w:sz w:val="21"/>
                <w:szCs w:val="21"/>
              </w:rPr>
            </w:pPr>
          </w:p>
          <w:p w14:paraId="5D2AEDA6">
            <w:pPr>
              <w:widowControl w:val="0"/>
              <w:jc w:val="both"/>
              <w:rPr>
                <w:rFonts w:asciiTheme="minorEastAsia" w:hAnsiTheme="minorEastAsia" w:eastAsiaTheme="minorEastAsia"/>
                <w:color w:val="000000"/>
                <w:sz w:val="21"/>
                <w:szCs w:val="21"/>
              </w:rPr>
            </w:pPr>
          </w:p>
        </w:tc>
        <w:tc>
          <w:tcPr>
            <w:tcW w:w="1764" w:type="dxa"/>
            <w:vAlign w:val="center"/>
          </w:tcPr>
          <w:p w14:paraId="18165CD2">
            <w:pPr>
              <w:widowControl w:val="0"/>
              <w:jc w:val="left"/>
              <w:rPr>
                <w:rFonts w:asciiTheme="minorEastAsia" w:hAnsiTheme="minorEastAsia" w:eastAsiaTheme="minorEastAsia"/>
                <w:color w:val="000000"/>
                <w:sz w:val="21"/>
                <w:szCs w:val="21"/>
              </w:rPr>
            </w:pPr>
            <w:r>
              <w:rPr>
                <w:rFonts w:hint="eastAsia" w:asciiTheme="minorEastAsia" w:hAnsiTheme="minorEastAsia"/>
                <w:bCs/>
                <w:sz w:val="21"/>
                <w:szCs w:val="21"/>
                <w:lang w:val="en-US" w:eastAsia="zh-CN"/>
              </w:rPr>
              <w:t>1.能够理解</w:t>
            </w:r>
            <w:r>
              <w:rPr>
                <w:rFonts w:hint="eastAsia" w:asciiTheme="minorEastAsia" w:hAnsiTheme="minorEastAsia" w:eastAsiaTheme="minorEastAsia"/>
                <w:color w:val="000000"/>
                <w:sz w:val="21"/>
                <w:szCs w:val="21"/>
              </w:rPr>
              <w:t>《最后一个梦》、《故乡的小路》、《两颗小星星》</w:t>
            </w:r>
            <w:r>
              <w:rPr>
                <w:rFonts w:hint="eastAsia" w:asciiTheme="minorEastAsia" w:hAnsiTheme="minorEastAsia"/>
                <w:bCs/>
                <w:sz w:val="21"/>
                <w:szCs w:val="21"/>
                <w:lang w:val="en-US" w:eastAsia="zh-CN"/>
              </w:rPr>
              <w:t>歌曲的色彩情感，提升学前教育学生专业素养，提高学生表达音乐情感，增加对声乐的喜欢。</w:t>
            </w:r>
          </w:p>
        </w:tc>
        <w:tc>
          <w:tcPr>
            <w:tcW w:w="1764" w:type="dxa"/>
            <w:vAlign w:val="center"/>
          </w:tcPr>
          <w:p w14:paraId="14DF7986">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1.对气息的运用</w:t>
            </w:r>
          </w:p>
          <w:p w14:paraId="1635B61C">
            <w:pPr>
              <w:widowControl w:val="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2.大小调式、三和弦的原位及转位的区分与记忆</w:t>
            </w:r>
          </w:p>
          <w:p w14:paraId="6D9D8747">
            <w:pPr>
              <w:widowControl w:val="0"/>
              <w:jc w:val="left"/>
              <w:rPr>
                <w:rFonts w:asciiTheme="minorEastAsia" w:hAnsiTheme="minorEastAsia" w:eastAsiaTheme="minorEastAsia"/>
                <w:color w:val="000000"/>
                <w:sz w:val="21"/>
                <w:szCs w:val="21"/>
              </w:rPr>
            </w:pPr>
          </w:p>
        </w:tc>
      </w:tr>
      <w:bookmarkEnd w:id="1"/>
    </w:tbl>
    <w:p w14:paraId="2CA6791A">
      <w:pPr>
        <w:pStyle w:val="17"/>
        <w:spacing w:before="81" w:after="163"/>
        <w:rPr>
          <w:rFonts w:hint="eastAsia"/>
        </w:rPr>
      </w:pPr>
    </w:p>
    <w:p w14:paraId="720D58C1">
      <w:pPr>
        <w:pStyle w:val="17"/>
        <w:spacing w:before="81" w:after="163"/>
      </w:pPr>
      <w:r>
        <w:rPr>
          <w:rFonts w:hint="eastAsia"/>
        </w:rPr>
        <w:t>（二）教学单元对课程目标的支撑关系</w:t>
      </w:r>
    </w:p>
    <w:tbl>
      <w:tblPr>
        <w:tblStyle w:val="7"/>
        <w:tblpPr w:leftFromText="180" w:rightFromText="180" w:vertAnchor="text" w:horzAnchor="page" w:tblpX="1960" w:tblpY="625"/>
        <w:tblOverlap w:val="never"/>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10"/>
        <w:gridCol w:w="1093"/>
        <w:gridCol w:w="1093"/>
        <w:gridCol w:w="1093"/>
        <w:gridCol w:w="1093"/>
        <w:gridCol w:w="1093"/>
      </w:tblGrid>
      <w:tr w14:paraId="0C4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8" w:hRule="atLeast"/>
        </w:trPr>
        <w:tc>
          <w:tcPr>
            <w:tcW w:w="2910" w:type="dxa"/>
            <w:tcBorders>
              <w:top w:val="single" w:color="auto" w:sz="12" w:space="0"/>
              <w:left w:val="single" w:color="auto" w:sz="12" w:space="0"/>
              <w:tl2br w:val="single" w:color="auto" w:sz="4" w:space="0"/>
            </w:tcBorders>
          </w:tcPr>
          <w:p w14:paraId="6EB91E8A">
            <w:pPr>
              <w:pStyle w:val="13"/>
              <w:ind w:firstLine="489"/>
              <w:jc w:val="right"/>
              <w:rPr>
                <w:szCs w:val="16"/>
              </w:rPr>
            </w:pPr>
            <w:r>
              <w:rPr>
                <w:rFonts w:hint="eastAsia"/>
                <w:szCs w:val="16"/>
              </w:rPr>
              <w:t>课程目标</w:t>
            </w:r>
          </w:p>
          <w:p w14:paraId="530BE34A">
            <w:pPr>
              <w:pStyle w:val="13"/>
              <w:ind w:right="210"/>
              <w:jc w:val="left"/>
              <w:rPr>
                <w:rFonts w:hint="eastAsia"/>
                <w:szCs w:val="16"/>
              </w:rPr>
            </w:pPr>
          </w:p>
          <w:p w14:paraId="316E43BE">
            <w:pPr>
              <w:pStyle w:val="13"/>
              <w:ind w:right="210"/>
              <w:jc w:val="left"/>
              <w:rPr>
                <w:szCs w:val="16"/>
              </w:rPr>
            </w:pPr>
            <w:r>
              <w:rPr>
                <w:rFonts w:hint="eastAsia"/>
                <w:szCs w:val="16"/>
              </w:rPr>
              <w:t>实验项目名称</w:t>
            </w:r>
          </w:p>
        </w:tc>
        <w:tc>
          <w:tcPr>
            <w:tcW w:w="1093" w:type="dxa"/>
            <w:tcBorders>
              <w:top w:val="single" w:color="auto" w:sz="12" w:space="0"/>
            </w:tcBorders>
            <w:vAlign w:val="center"/>
          </w:tcPr>
          <w:p w14:paraId="44622DF2">
            <w:pPr>
              <w:pStyle w:val="13"/>
              <w:rPr>
                <w:rFonts w:hint="eastAsia" w:eastAsia="黑体"/>
                <w:szCs w:val="16"/>
                <w:lang w:val="en-US" w:eastAsia="zh-CN"/>
              </w:rPr>
            </w:pPr>
            <w:r>
              <w:rPr>
                <w:rFonts w:hint="eastAsia"/>
                <w:szCs w:val="16"/>
                <w:lang w:val="en-US" w:eastAsia="zh-CN"/>
              </w:rPr>
              <w:t>1</w:t>
            </w:r>
          </w:p>
        </w:tc>
        <w:tc>
          <w:tcPr>
            <w:tcW w:w="1093" w:type="dxa"/>
            <w:tcBorders>
              <w:top w:val="single" w:color="auto" w:sz="12" w:space="0"/>
            </w:tcBorders>
            <w:vAlign w:val="center"/>
          </w:tcPr>
          <w:p w14:paraId="2CD86DB8">
            <w:pPr>
              <w:pStyle w:val="13"/>
              <w:rPr>
                <w:rFonts w:hint="default" w:eastAsia="黑体"/>
                <w:szCs w:val="16"/>
                <w:lang w:val="en-US" w:eastAsia="zh-CN"/>
              </w:rPr>
            </w:pPr>
            <w:r>
              <w:rPr>
                <w:rFonts w:hint="eastAsia"/>
                <w:szCs w:val="16"/>
                <w:lang w:val="en-US" w:eastAsia="zh-CN"/>
              </w:rPr>
              <w:t>2</w:t>
            </w:r>
          </w:p>
        </w:tc>
        <w:tc>
          <w:tcPr>
            <w:tcW w:w="1093" w:type="dxa"/>
            <w:tcBorders>
              <w:top w:val="single" w:color="auto" w:sz="12" w:space="0"/>
            </w:tcBorders>
            <w:vAlign w:val="center"/>
          </w:tcPr>
          <w:p w14:paraId="5F241D21">
            <w:pPr>
              <w:pStyle w:val="13"/>
              <w:rPr>
                <w:rFonts w:hint="eastAsia" w:eastAsia="黑体"/>
                <w:szCs w:val="16"/>
                <w:lang w:val="en-US" w:eastAsia="zh-CN"/>
              </w:rPr>
            </w:pPr>
            <w:r>
              <w:rPr>
                <w:rFonts w:hint="eastAsia"/>
                <w:szCs w:val="16"/>
                <w:lang w:val="en-US" w:eastAsia="zh-CN"/>
              </w:rPr>
              <w:t>3</w:t>
            </w:r>
          </w:p>
        </w:tc>
        <w:tc>
          <w:tcPr>
            <w:tcW w:w="1093" w:type="dxa"/>
            <w:tcBorders>
              <w:top w:val="single" w:color="auto" w:sz="12" w:space="0"/>
            </w:tcBorders>
            <w:vAlign w:val="center"/>
          </w:tcPr>
          <w:p w14:paraId="68CAA395">
            <w:pPr>
              <w:pStyle w:val="13"/>
              <w:rPr>
                <w:rFonts w:hint="eastAsia" w:eastAsia="黑体"/>
                <w:szCs w:val="16"/>
                <w:lang w:val="en-US" w:eastAsia="zh-CN"/>
              </w:rPr>
            </w:pPr>
            <w:r>
              <w:rPr>
                <w:rFonts w:hint="eastAsia"/>
                <w:szCs w:val="16"/>
                <w:lang w:val="en-US" w:eastAsia="zh-CN"/>
              </w:rPr>
              <w:t>4</w:t>
            </w:r>
          </w:p>
        </w:tc>
        <w:tc>
          <w:tcPr>
            <w:tcW w:w="1093" w:type="dxa"/>
            <w:tcBorders>
              <w:top w:val="single" w:color="auto" w:sz="12" w:space="0"/>
            </w:tcBorders>
            <w:vAlign w:val="center"/>
          </w:tcPr>
          <w:p w14:paraId="77178EFF">
            <w:pPr>
              <w:pStyle w:val="13"/>
              <w:rPr>
                <w:rFonts w:hint="eastAsia" w:eastAsia="黑体"/>
                <w:szCs w:val="16"/>
                <w:lang w:val="en-US" w:eastAsia="zh-CN"/>
              </w:rPr>
            </w:pPr>
            <w:r>
              <w:rPr>
                <w:rFonts w:hint="eastAsia"/>
                <w:szCs w:val="16"/>
                <w:lang w:val="en-US" w:eastAsia="zh-CN"/>
              </w:rPr>
              <w:t>5</w:t>
            </w:r>
          </w:p>
        </w:tc>
      </w:tr>
      <w:tr w14:paraId="01EE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2" w:hRule="atLeast"/>
        </w:trPr>
        <w:tc>
          <w:tcPr>
            <w:tcW w:w="2910" w:type="dxa"/>
            <w:tcBorders>
              <w:left w:val="single" w:color="auto" w:sz="12" w:space="0"/>
            </w:tcBorders>
          </w:tcPr>
          <w:p w14:paraId="5C4F5971">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.歌曲演唱实践《渴望春天》《岁月悠悠》等</w:t>
            </w:r>
          </w:p>
        </w:tc>
        <w:tc>
          <w:tcPr>
            <w:tcW w:w="1093" w:type="dxa"/>
            <w:vAlign w:val="center"/>
          </w:tcPr>
          <w:p w14:paraId="44B569D1">
            <w:pPr>
              <w:pStyle w:val="14"/>
            </w:pPr>
            <w:r>
              <w:t>√</w:t>
            </w:r>
          </w:p>
        </w:tc>
        <w:tc>
          <w:tcPr>
            <w:tcW w:w="1093" w:type="dxa"/>
            <w:vAlign w:val="center"/>
          </w:tcPr>
          <w:p w14:paraId="29534DD3">
            <w:pPr>
              <w:pStyle w:val="14"/>
            </w:pPr>
          </w:p>
        </w:tc>
        <w:tc>
          <w:tcPr>
            <w:tcW w:w="1093" w:type="dxa"/>
            <w:vAlign w:val="center"/>
          </w:tcPr>
          <w:p w14:paraId="541011B0">
            <w:pPr>
              <w:pStyle w:val="14"/>
            </w:pPr>
          </w:p>
        </w:tc>
        <w:tc>
          <w:tcPr>
            <w:tcW w:w="1093" w:type="dxa"/>
            <w:vAlign w:val="center"/>
          </w:tcPr>
          <w:p w14:paraId="173461FE">
            <w:pPr>
              <w:pStyle w:val="14"/>
            </w:pPr>
            <w:r>
              <w:t>√</w:t>
            </w:r>
          </w:p>
        </w:tc>
        <w:tc>
          <w:tcPr>
            <w:tcW w:w="1093" w:type="dxa"/>
            <w:vAlign w:val="center"/>
          </w:tcPr>
          <w:p w14:paraId="5D4F1E25">
            <w:pPr>
              <w:pStyle w:val="14"/>
            </w:pPr>
            <w:r>
              <w:t>√</w:t>
            </w:r>
          </w:p>
        </w:tc>
      </w:tr>
      <w:tr w14:paraId="6171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3" w:hRule="atLeast"/>
        </w:trPr>
        <w:tc>
          <w:tcPr>
            <w:tcW w:w="2910" w:type="dxa"/>
            <w:tcBorders>
              <w:left w:val="single" w:color="auto" w:sz="12" w:space="0"/>
            </w:tcBorders>
          </w:tcPr>
          <w:p w14:paraId="03FD046B">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..歌曲演唱实践《问》《康定情歌》等</w:t>
            </w:r>
          </w:p>
        </w:tc>
        <w:tc>
          <w:tcPr>
            <w:tcW w:w="1093" w:type="dxa"/>
            <w:vAlign w:val="center"/>
          </w:tcPr>
          <w:p w14:paraId="3E0C1D65">
            <w:pPr>
              <w:pStyle w:val="14"/>
            </w:pPr>
            <w:r>
              <w:t>√</w:t>
            </w:r>
          </w:p>
        </w:tc>
        <w:tc>
          <w:tcPr>
            <w:tcW w:w="1093" w:type="dxa"/>
            <w:vAlign w:val="center"/>
          </w:tcPr>
          <w:p w14:paraId="12769E59">
            <w:pPr>
              <w:pStyle w:val="14"/>
            </w:pPr>
          </w:p>
        </w:tc>
        <w:tc>
          <w:tcPr>
            <w:tcW w:w="1093" w:type="dxa"/>
            <w:vAlign w:val="center"/>
          </w:tcPr>
          <w:p w14:paraId="3B6BEE06">
            <w:pPr>
              <w:pStyle w:val="14"/>
            </w:pPr>
            <w:r>
              <w:t>√</w:t>
            </w:r>
          </w:p>
        </w:tc>
        <w:tc>
          <w:tcPr>
            <w:tcW w:w="1093" w:type="dxa"/>
            <w:vAlign w:val="center"/>
          </w:tcPr>
          <w:p w14:paraId="6EF7D9DA">
            <w:pPr>
              <w:pStyle w:val="14"/>
            </w:pPr>
          </w:p>
        </w:tc>
        <w:tc>
          <w:tcPr>
            <w:tcW w:w="1093" w:type="dxa"/>
            <w:vAlign w:val="center"/>
          </w:tcPr>
          <w:p w14:paraId="6B7EF000">
            <w:pPr>
              <w:pStyle w:val="14"/>
            </w:pPr>
            <w:r>
              <w:t>√</w:t>
            </w:r>
          </w:p>
        </w:tc>
      </w:tr>
      <w:tr w14:paraId="33F5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7" w:hRule="atLeast"/>
        </w:trPr>
        <w:tc>
          <w:tcPr>
            <w:tcW w:w="2910" w:type="dxa"/>
            <w:tcBorders>
              <w:left w:val="single" w:color="auto" w:sz="12" w:space="0"/>
              <w:bottom w:val="single" w:color="auto" w:sz="12" w:space="0"/>
            </w:tcBorders>
          </w:tcPr>
          <w:p w14:paraId="3AD5B383">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.歌曲演唱实践《夏日最后的玫瑰》《最后一个梦》等</w:t>
            </w:r>
          </w:p>
        </w:tc>
        <w:tc>
          <w:tcPr>
            <w:tcW w:w="1093" w:type="dxa"/>
            <w:tcBorders>
              <w:bottom w:val="single" w:color="auto" w:sz="12" w:space="0"/>
            </w:tcBorders>
            <w:vAlign w:val="center"/>
          </w:tcPr>
          <w:p w14:paraId="572AA99A">
            <w:pPr>
              <w:pStyle w:val="14"/>
            </w:pPr>
          </w:p>
        </w:tc>
        <w:tc>
          <w:tcPr>
            <w:tcW w:w="1093" w:type="dxa"/>
            <w:tcBorders>
              <w:bottom w:val="single" w:color="auto" w:sz="12" w:space="0"/>
            </w:tcBorders>
            <w:vAlign w:val="center"/>
          </w:tcPr>
          <w:p w14:paraId="006BB391">
            <w:pPr>
              <w:pStyle w:val="14"/>
            </w:pPr>
            <w:r>
              <w:t>√</w:t>
            </w:r>
          </w:p>
        </w:tc>
        <w:tc>
          <w:tcPr>
            <w:tcW w:w="1093" w:type="dxa"/>
            <w:tcBorders>
              <w:bottom w:val="single" w:color="auto" w:sz="12" w:space="0"/>
            </w:tcBorders>
            <w:vAlign w:val="center"/>
          </w:tcPr>
          <w:p w14:paraId="4DE7802F">
            <w:pPr>
              <w:pStyle w:val="14"/>
            </w:pPr>
          </w:p>
        </w:tc>
        <w:tc>
          <w:tcPr>
            <w:tcW w:w="1093" w:type="dxa"/>
            <w:tcBorders>
              <w:bottom w:val="single" w:color="auto" w:sz="12" w:space="0"/>
            </w:tcBorders>
            <w:vAlign w:val="center"/>
          </w:tcPr>
          <w:p w14:paraId="7D6F5664">
            <w:pPr>
              <w:pStyle w:val="14"/>
            </w:pPr>
            <w:r>
              <w:t>√</w:t>
            </w:r>
          </w:p>
        </w:tc>
        <w:tc>
          <w:tcPr>
            <w:tcW w:w="1093" w:type="dxa"/>
            <w:tcBorders>
              <w:bottom w:val="single" w:color="auto" w:sz="12" w:space="0"/>
            </w:tcBorders>
            <w:vAlign w:val="center"/>
          </w:tcPr>
          <w:p w14:paraId="314A6580">
            <w:pPr>
              <w:pStyle w:val="14"/>
            </w:pPr>
            <w:r>
              <w:t>√</w:t>
            </w:r>
          </w:p>
        </w:tc>
      </w:tr>
    </w:tbl>
    <w:p w14:paraId="5F72BC60">
      <w:pPr>
        <w:pStyle w:val="17"/>
        <w:spacing w:before="326" w:beforeLines="100" w:after="163"/>
      </w:pPr>
      <w:r>
        <w:rPr>
          <w:rFonts w:hint="eastAsia"/>
        </w:rPr>
        <w:t>（三）课程教学方法与学时分配</w:t>
      </w:r>
    </w:p>
    <w:tbl>
      <w:tblPr>
        <w:tblStyle w:val="8"/>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38"/>
        <w:gridCol w:w="2871"/>
        <w:gridCol w:w="1809"/>
        <w:gridCol w:w="747"/>
        <w:gridCol w:w="693"/>
        <w:gridCol w:w="759"/>
      </w:tblGrid>
      <w:tr w14:paraId="1676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7" w:hRule="atLeast"/>
          <w:jc w:val="center"/>
        </w:trPr>
        <w:tc>
          <w:tcPr>
            <w:tcW w:w="1938" w:type="dxa"/>
            <w:vMerge w:val="restart"/>
            <w:tcBorders>
              <w:top w:val="single" w:color="auto" w:sz="12" w:space="0"/>
              <w:left w:val="single" w:color="auto" w:sz="12" w:space="0"/>
            </w:tcBorders>
            <w:vAlign w:val="center"/>
          </w:tcPr>
          <w:p w14:paraId="73BFBC8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871" w:type="dxa"/>
            <w:vMerge w:val="restart"/>
            <w:tcBorders>
              <w:top w:val="single" w:color="auto" w:sz="12" w:space="0"/>
            </w:tcBorders>
            <w:vAlign w:val="center"/>
          </w:tcPr>
          <w:p w14:paraId="311C1887">
            <w:pPr>
              <w:pStyle w:val="13"/>
              <w:widowControl w:val="0"/>
              <w:rPr>
                <w:szCs w:val="21"/>
              </w:rPr>
            </w:pPr>
            <w:r>
              <w:rPr>
                <w:rFonts w:hint="eastAsia" w:ascii="黑体" w:hAnsi="黑体"/>
                <w:szCs w:val="21"/>
              </w:rPr>
              <w:t>教与学方式</w:t>
            </w:r>
          </w:p>
        </w:tc>
        <w:tc>
          <w:tcPr>
            <w:tcW w:w="1809" w:type="dxa"/>
            <w:vMerge w:val="restart"/>
            <w:tcBorders>
              <w:top w:val="single" w:color="auto" w:sz="12" w:space="0"/>
            </w:tcBorders>
            <w:vAlign w:val="center"/>
          </w:tcPr>
          <w:p w14:paraId="186D6623">
            <w:pPr>
              <w:pStyle w:val="13"/>
              <w:widowControl w:val="0"/>
              <w:rPr>
                <w:rFonts w:ascii="黑体" w:hAnsi="黑体"/>
                <w:szCs w:val="21"/>
              </w:rPr>
            </w:pPr>
            <w:r>
              <w:rPr>
                <w:rFonts w:hint="eastAsia" w:ascii="黑体" w:hAnsi="黑体"/>
                <w:szCs w:val="21"/>
              </w:rPr>
              <w:t>考核方式</w:t>
            </w:r>
          </w:p>
        </w:tc>
        <w:tc>
          <w:tcPr>
            <w:tcW w:w="2199" w:type="dxa"/>
            <w:gridSpan w:val="3"/>
            <w:tcBorders>
              <w:top w:val="single" w:color="auto" w:sz="12" w:space="0"/>
              <w:right w:val="single" w:color="auto" w:sz="12" w:space="0"/>
            </w:tcBorders>
            <w:vAlign w:val="center"/>
          </w:tcPr>
          <w:p w14:paraId="3FE640E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63B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3" w:hRule="atLeast"/>
          <w:jc w:val="center"/>
        </w:trPr>
        <w:tc>
          <w:tcPr>
            <w:tcW w:w="1938" w:type="dxa"/>
            <w:vMerge w:val="continue"/>
            <w:tcBorders>
              <w:left w:val="single" w:color="auto" w:sz="12" w:space="0"/>
            </w:tcBorders>
          </w:tcPr>
          <w:p w14:paraId="3961E5E8">
            <w:pPr>
              <w:widowControl w:val="0"/>
              <w:snapToGrid w:val="0"/>
              <w:jc w:val="center"/>
              <w:rPr>
                <w:rFonts w:ascii="黑体" w:hAnsi="黑体" w:eastAsia="黑体"/>
                <w:bCs/>
                <w:sz w:val="21"/>
                <w:szCs w:val="21"/>
              </w:rPr>
            </w:pPr>
          </w:p>
        </w:tc>
        <w:tc>
          <w:tcPr>
            <w:tcW w:w="2871" w:type="dxa"/>
            <w:vMerge w:val="continue"/>
          </w:tcPr>
          <w:p w14:paraId="74F0DCB7">
            <w:pPr>
              <w:widowControl w:val="0"/>
              <w:snapToGrid w:val="0"/>
              <w:jc w:val="center"/>
              <w:rPr>
                <w:rFonts w:ascii="黑体" w:hAnsi="黑体" w:eastAsia="黑体"/>
                <w:bCs/>
                <w:sz w:val="21"/>
                <w:szCs w:val="21"/>
              </w:rPr>
            </w:pPr>
          </w:p>
        </w:tc>
        <w:tc>
          <w:tcPr>
            <w:tcW w:w="1809" w:type="dxa"/>
            <w:vMerge w:val="continue"/>
          </w:tcPr>
          <w:p w14:paraId="3D6C302C">
            <w:pPr>
              <w:widowControl w:val="0"/>
              <w:snapToGrid w:val="0"/>
              <w:jc w:val="center"/>
              <w:rPr>
                <w:rFonts w:ascii="黑体" w:hAnsi="黑体" w:eastAsia="黑体"/>
                <w:bCs/>
                <w:sz w:val="21"/>
                <w:szCs w:val="21"/>
              </w:rPr>
            </w:pPr>
          </w:p>
        </w:tc>
        <w:tc>
          <w:tcPr>
            <w:tcW w:w="747" w:type="dxa"/>
            <w:vAlign w:val="center"/>
          </w:tcPr>
          <w:p w14:paraId="4582345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93" w:type="dxa"/>
            <w:vAlign w:val="center"/>
          </w:tcPr>
          <w:p w14:paraId="573FCA4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59" w:type="dxa"/>
            <w:tcBorders>
              <w:right w:val="single" w:color="auto" w:sz="12" w:space="0"/>
            </w:tcBorders>
            <w:vAlign w:val="center"/>
          </w:tcPr>
          <w:p w14:paraId="42AF80D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674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210DC682">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中国艺术歌曲演唱</w:t>
            </w:r>
          </w:p>
        </w:tc>
        <w:tc>
          <w:tcPr>
            <w:tcW w:w="2871" w:type="dxa"/>
            <w:vAlign w:val="center"/>
          </w:tcPr>
          <w:p w14:paraId="2BDD4282">
            <w:pPr>
              <w:widowControl/>
              <w:jc w:val="center"/>
              <w:rPr>
                <w:rFonts w:hint="default" w:ascii="Times New Roman" w:hAnsi="Times New Roman"/>
                <w:bCs/>
                <w:sz w:val="21"/>
                <w:szCs w:val="21"/>
                <w:lang w:val="en-US"/>
              </w:rPr>
            </w:pPr>
            <w:r>
              <w:rPr>
                <w:rFonts w:hint="eastAsia" w:ascii="宋体" w:hAnsi="宋体" w:eastAsia="宋体" w:cs="Arial"/>
                <w:kern w:val="0"/>
                <w:sz w:val="21"/>
                <w:szCs w:val="21"/>
                <w:lang w:val="en-US" w:eastAsia="zh-CN"/>
              </w:rPr>
              <w:t>演示、练习、互动、讨论</w:t>
            </w:r>
          </w:p>
        </w:tc>
        <w:tc>
          <w:tcPr>
            <w:tcW w:w="1809" w:type="dxa"/>
            <w:vAlign w:val="center"/>
          </w:tcPr>
          <w:p w14:paraId="17A7ADF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课堂展示1</w:t>
            </w:r>
          </w:p>
        </w:tc>
        <w:tc>
          <w:tcPr>
            <w:tcW w:w="747" w:type="dxa"/>
            <w:vAlign w:val="center"/>
          </w:tcPr>
          <w:p w14:paraId="4AB828C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93" w:type="dxa"/>
            <w:vAlign w:val="center"/>
          </w:tcPr>
          <w:p w14:paraId="74C4881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59" w:type="dxa"/>
            <w:tcBorders>
              <w:right w:val="single" w:color="auto" w:sz="12" w:space="0"/>
            </w:tcBorders>
            <w:vAlign w:val="center"/>
          </w:tcPr>
          <w:p w14:paraId="21AD6EB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688D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4B473A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中国民族歌曲演唱</w:t>
            </w:r>
          </w:p>
        </w:tc>
        <w:tc>
          <w:tcPr>
            <w:tcW w:w="2871" w:type="dxa"/>
            <w:vAlign w:val="center"/>
          </w:tcPr>
          <w:p w14:paraId="5C54B6B4">
            <w:pPr>
              <w:widowControl/>
              <w:jc w:val="center"/>
              <w:rPr>
                <w:rFonts w:ascii="Times New Roman" w:hAnsi="Times New Roman"/>
                <w:bCs/>
                <w:sz w:val="21"/>
                <w:szCs w:val="21"/>
              </w:rPr>
            </w:pPr>
            <w:r>
              <w:rPr>
                <w:rFonts w:hint="eastAsia" w:ascii="宋体" w:hAnsi="宋体" w:eastAsia="宋体" w:cs="Arial"/>
                <w:kern w:val="0"/>
                <w:sz w:val="21"/>
                <w:szCs w:val="21"/>
                <w:lang w:val="en-US" w:eastAsia="zh-CN"/>
              </w:rPr>
              <w:t>演示、练习、互动、讨论</w:t>
            </w:r>
          </w:p>
        </w:tc>
        <w:tc>
          <w:tcPr>
            <w:tcW w:w="1809" w:type="dxa"/>
            <w:vAlign w:val="center"/>
          </w:tcPr>
          <w:p w14:paraId="04C0D58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课堂展示2</w:t>
            </w:r>
          </w:p>
        </w:tc>
        <w:tc>
          <w:tcPr>
            <w:tcW w:w="747" w:type="dxa"/>
            <w:vAlign w:val="center"/>
          </w:tcPr>
          <w:p w14:paraId="4E9142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93" w:type="dxa"/>
            <w:vAlign w:val="center"/>
          </w:tcPr>
          <w:p w14:paraId="1ABC344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59" w:type="dxa"/>
            <w:tcBorders>
              <w:right w:val="single" w:color="auto" w:sz="12" w:space="0"/>
            </w:tcBorders>
            <w:vAlign w:val="center"/>
          </w:tcPr>
          <w:p w14:paraId="3D66FF4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16D1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0101AC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中国现代歌曲演唱</w:t>
            </w:r>
          </w:p>
        </w:tc>
        <w:tc>
          <w:tcPr>
            <w:tcW w:w="2871" w:type="dxa"/>
            <w:vAlign w:val="center"/>
          </w:tcPr>
          <w:p w14:paraId="0B0C43A7">
            <w:pPr>
              <w:widowControl/>
              <w:jc w:val="center"/>
              <w:rPr>
                <w:rFonts w:ascii="Times New Roman" w:hAnsi="Times New Roman"/>
                <w:bCs/>
                <w:sz w:val="21"/>
                <w:szCs w:val="21"/>
              </w:rPr>
            </w:pPr>
            <w:r>
              <w:rPr>
                <w:rFonts w:hint="eastAsia" w:ascii="宋体" w:hAnsi="宋体" w:eastAsia="宋体" w:cs="Arial"/>
                <w:kern w:val="0"/>
                <w:sz w:val="21"/>
                <w:szCs w:val="21"/>
                <w:lang w:val="en-US" w:eastAsia="zh-CN"/>
              </w:rPr>
              <w:t>演示、练习、互动、讨论</w:t>
            </w:r>
          </w:p>
        </w:tc>
        <w:tc>
          <w:tcPr>
            <w:tcW w:w="1809" w:type="dxa"/>
            <w:vAlign w:val="center"/>
          </w:tcPr>
          <w:p w14:paraId="30FE446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期末展示</w:t>
            </w:r>
          </w:p>
        </w:tc>
        <w:tc>
          <w:tcPr>
            <w:tcW w:w="747" w:type="dxa"/>
            <w:vAlign w:val="center"/>
          </w:tcPr>
          <w:p w14:paraId="048771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93" w:type="dxa"/>
            <w:vAlign w:val="center"/>
          </w:tcPr>
          <w:p w14:paraId="442E5AE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59" w:type="dxa"/>
            <w:tcBorders>
              <w:right w:val="single" w:color="auto" w:sz="12" w:space="0"/>
            </w:tcBorders>
            <w:vAlign w:val="center"/>
          </w:tcPr>
          <w:p w14:paraId="2EE1CEA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56F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91" w:hRule="atLeast"/>
          <w:jc w:val="center"/>
        </w:trPr>
        <w:tc>
          <w:tcPr>
            <w:tcW w:w="6618" w:type="dxa"/>
            <w:gridSpan w:val="3"/>
            <w:tcBorders>
              <w:left w:val="single" w:color="auto" w:sz="12" w:space="0"/>
              <w:bottom w:val="single" w:color="auto" w:sz="12" w:space="0"/>
            </w:tcBorders>
            <w:vAlign w:val="center"/>
          </w:tcPr>
          <w:p w14:paraId="41B6B5EE">
            <w:pPr>
              <w:pStyle w:val="13"/>
              <w:widowControl w:val="0"/>
            </w:pPr>
            <w:r>
              <w:rPr>
                <w:rFonts w:hint="eastAsia"/>
              </w:rPr>
              <w:t>合计</w:t>
            </w:r>
          </w:p>
        </w:tc>
        <w:tc>
          <w:tcPr>
            <w:tcW w:w="747" w:type="dxa"/>
            <w:tcBorders>
              <w:bottom w:val="single" w:color="auto" w:sz="12" w:space="0"/>
            </w:tcBorders>
            <w:vAlign w:val="center"/>
          </w:tcPr>
          <w:p w14:paraId="76CE7C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93" w:type="dxa"/>
            <w:tcBorders>
              <w:bottom w:val="single" w:color="auto" w:sz="12" w:space="0"/>
            </w:tcBorders>
            <w:vAlign w:val="center"/>
          </w:tcPr>
          <w:p w14:paraId="3DBD558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59" w:type="dxa"/>
            <w:tcBorders>
              <w:bottom w:val="single" w:color="auto" w:sz="12" w:space="0"/>
              <w:right w:val="single" w:color="auto" w:sz="12" w:space="0"/>
            </w:tcBorders>
            <w:vAlign w:val="center"/>
          </w:tcPr>
          <w:p w14:paraId="13EB5A5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2392D8C5">
      <w:pPr>
        <w:pStyle w:val="17"/>
        <w:spacing w:before="326" w:beforeLines="100" w:after="163"/>
      </w:pPr>
      <w:r>
        <w:rPr>
          <w:rFonts w:hint="eastAsia"/>
        </w:rPr>
        <w:t>（四）课内实验项目与基本要求</w:t>
      </w:r>
    </w:p>
    <w:tbl>
      <w:tblPr>
        <w:tblStyle w:val="7"/>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42"/>
        <w:gridCol w:w="1944"/>
        <w:gridCol w:w="4200"/>
        <w:gridCol w:w="890"/>
        <w:gridCol w:w="981"/>
      </w:tblGrid>
      <w:tr w14:paraId="7CC0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2" w:hRule="atLeast"/>
          <w:jc w:val="center"/>
        </w:trPr>
        <w:tc>
          <w:tcPr>
            <w:tcW w:w="742" w:type="dxa"/>
            <w:tcBorders>
              <w:top w:val="single" w:color="auto" w:sz="12" w:space="0"/>
              <w:left w:val="single" w:color="auto" w:sz="12" w:space="0"/>
              <w:bottom w:val="single" w:color="auto" w:sz="4" w:space="0"/>
              <w:right w:val="single" w:color="auto" w:sz="4" w:space="0"/>
            </w:tcBorders>
            <w:shd w:val="clear" w:color="auto" w:fill="auto"/>
            <w:vAlign w:val="center"/>
          </w:tcPr>
          <w:p w14:paraId="32487984">
            <w:pPr>
              <w:pStyle w:val="13"/>
              <w:rPr>
                <w:szCs w:val="16"/>
              </w:rPr>
            </w:pPr>
            <w:bookmarkStart w:id="2" w:name="OLE_LINK2"/>
            <w:bookmarkStart w:id="3" w:name="OLE_LINK1"/>
            <w:r>
              <w:rPr>
                <w:rFonts w:hint="eastAsia"/>
                <w:szCs w:val="16"/>
              </w:rPr>
              <w:t>序号</w:t>
            </w:r>
          </w:p>
        </w:tc>
        <w:tc>
          <w:tcPr>
            <w:tcW w:w="1944" w:type="dxa"/>
            <w:tcBorders>
              <w:top w:val="single" w:color="auto" w:sz="12" w:space="0"/>
              <w:left w:val="single" w:color="auto" w:sz="4" w:space="0"/>
              <w:bottom w:val="single" w:color="auto" w:sz="4" w:space="0"/>
              <w:right w:val="single" w:color="auto" w:sz="4" w:space="0"/>
            </w:tcBorders>
            <w:shd w:val="clear" w:color="auto" w:fill="auto"/>
            <w:vAlign w:val="center"/>
          </w:tcPr>
          <w:p w14:paraId="767D878B">
            <w:pPr>
              <w:pStyle w:val="13"/>
              <w:rPr>
                <w:szCs w:val="16"/>
              </w:rPr>
            </w:pPr>
            <w:r>
              <w:rPr>
                <w:rFonts w:hint="eastAsia"/>
                <w:szCs w:val="16"/>
              </w:rPr>
              <w:t>实验项目名称</w:t>
            </w:r>
          </w:p>
        </w:tc>
        <w:tc>
          <w:tcPr>
            <w:tcW w:w="4200" w:type="dxa"/>
            <w:tcBorders>
              <w:top w:val="single" w:color="auto" w:sz="12" w:space="0"/>
              <w:left w:val="single" w:color="auto" w:sz="4" w:space="0"/>
              <w:bottom w:val="single" w:color="auto" w:sz="4" w:space="0"/>
              <w:right w:val="single" w:color="auto" w:sz="4" w:space="0"/>
            </w:tcBorders>
            <w:vAlign w:val="center"/>
          </w:tcPr>
          <w:p w14:paraId="27F4A722">
            <w:pPr>
              <w:pStyle w:val="13"/>
              <w:rPr>
                <w:szCs w:val="16"/>
              </w:rPr>
            </w:pPr>
            <w:r>
              <w:rPr>
                <w:rFonts w:hint="eastAsia" w:ascii="黑体" w:hAnsi="宋体"/>
                <w:szCs w:val="16"/>
              </w:rPr>
              <w:t>目标要求与</w:t>
            </w:r>
            <w:r>
              <w:rPr>
                <w:rFonts w:hint="eastAsia"/>
                <w:szCs w:val="16"/>
              </w:rPr>
              <w:t>主要内容</w:t>
            </w:r>
          </w:p>
        </w:tc>
        <w:tc>
          <w:tcPr>
            <w:tcW w:w="890" w:type="dxa"/>
            <w:tcBorders>
              <w:top w:val="single" w:color="auto" w:sz="12" w:space="0"/>
              <w:left w:val="single" w:color="auto" w:sz="4" w:space="0"/>
              <w:right w:val="single" w:color="auto" w:sz="4" w:space="0"/>
            </w:tcBorders>
            <w:shd w:val="clear" w:color="auto" w:fill="auto"/>
            <w:vAlign w:val="center"/>
          </w:tcPr>
          <w:p w14:paraId="1F945DBB">
            <w:pPr>
              <w:pStyle w:val="13"/>
              <w:rPr>
                <w:szCs w:val="16"/>
              </w:rPr>
            </w:pPr>
            <w:r>
              <w:rPr>
                <w:rFonts w:hint="eastAsia"/>
                <w:szCs w:val="16"/>
              </w:rPr>
              <w:t>实验</w:t>
            </w:r>
          </w:p>
          <w:p w14:paraId="60858FF3">
            <w:pPr>
              <w:pStyle w:val="13"/>
              <w:rPr>
                <w:szCs w:val="16"/>
              </w:rPr>
            </w:pPr>
            <w:r>
              <w:rPr>
                <w:rFonts w:hint="eastAsia"/>
                <w:szCs w:val="16"/>
              </w:rPr>
              <w:t>时数</w:t>
            </w:r>
          </w:p>
        </w:tc>
        <w:tc>
          <w:tcPr>
            <w:tcW w:w="981" w:type="dxa"/>
            <w:tcBorders>
              <w:top w:val="single" w:color="auto" w:sz="12" w:space="0"/>
              <w:left w:val="single" w:color="auto" w:sz="4" w:space="0"/>
              <w:right w:val="single" w:color="auto" w:sz="12" w:space="0"/>
            </w:tcBorders>
            <w:shd w:val="clear" w:color="auto" w:fill="auto"/>
            <w:vAlign w:val="center"/>
          </w:tcPr>
          <w:p w14:paraId="4C178040">
            <w:pPr>
              <w:pStyle w:val="13"/>
              <w:rPr>
                <w:szCs w:val="16"/>
              </w:rPr>
            </w:pPr>
            <w:r>
              <w:rPr>
                <w:rFonts w:hint="eastAsia"/>
                <w:szCs w:val="16"/>
              </w:rPr>
              <w:t>实验</w:t>
            </w:r>
          </w:p>
          <w:p w14:paraId="575EFABA">
            <w:pPr>
              <w:pStyle w:val="13"/>
              <w:rPr>
                <w:szCs w:val="16"/>
              </w:rPr>
            </w:pPr>
            <w:r>
              <w:rPr>
                <w:rFonts w:hint="eastAsia"/>
                <w:szCs w:val="16"/>
              </w:rPr>
              <w:t>类型</w:t>
            </w:r>
          </w:p>
        </w:tc>
      </w:tr>
      <w:tr w14:paraId="6C1D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6"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30C85B9F">
            <w:pPr>
              <w:pStyle w:val="14"/>
              <w:rPr>
                <w:color w:val="auto"/>
              </w:rPr>
            </w:pPr>
            <w:r>
              <w:rPr>
                <w:rFonts w:hint="eastAsia"/>
                <w:color w:val="auto"/>
              </w:rPr>
              <w:t>1</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2ED7D1D">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中国艺术歌曲演唱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2F655747">
            <w:pPr>
              <w:pStyle w:val="14"/>
              <w:jc w:val="left"/>
              <w:rPr>
                <w:rFonts w:hint="default"/>
                <w:color w:val="auto"/>
                <w:lang w:val="en-US"/>
              </w:rPr>
            </w:pPr>
            <w:r>
              <w:rPr>
                <w:rFonts w:hint="eastAsia"/>
                <w:color w:val="auto"/>
                <w:lang w:val="en-US" w:eastAsia="zh-CN"/>
              </w:rPr>
              <w:t>能分析歌曲的创作背景、曲调、节拍等音乐特点，用歌唱的呼吸和共鸣，完整演唱歌曲。</w:t>
            </w:r>
            <w:r>
              <w:rPr>
                <w:rFonts w:hint="eastAsia" w:ascii="宋体" w:hAnsi="宋体" w:cs="宋体"/>
                <w:color w:val="auto"/>
                <w:sz w:val="21"/>
                <w:szCs w:val="21"/>
                <w:lang w:val="en-US" w:eastAsia="zh-CN"/>
              </w:rPr>
              <w:t>《渴望春天》《岁月悠悠》</w:t>
            </w:r>
            <w:r>
              <w:rPr>
                <w:rFonts w:hint="eastAsia"/>
                <w:color w:val="auto"/>
                <w:lang w:val="en-US" w:eastAsia="zh-CN"/>
              </w:rPr>
              <w:t>等</w:t>
            </w:r>
          </w:p>
        </w:tc>
        <w:tc>
          <w:tcPr>
            <w:tcW w:w="890" w:type="dxa"/>
            <w:tcBorders>
              <w:left w:val="single" w:color="auto" w:sz="4" w:space="0"/>
              <w:right w:val="single" w:color="auto" w:sz="4" w:space="0"/>
            </w:tcBorders>
            <w:shd w:val="clear" w:color="auto" w:fill="auto"/>
            <w:vAlign w:val="center"/>
          </w:tcPr>
          <w:p w14:paraId="2F0E46AA">
            <w:pPr>
              <w:pStyle w:val="14"/>
              <w:rPr>
                <w:rFonts w:hint="eastAsia" w:eastAsia="宋体"/>
                <w:lang w:val="en-US" w:eastAsia="zh-CN"/>
              </w:rPr>
            </w:pPr>
            <w:r>
              <w:rPr>
                <w:rFonts w:hint="eastAsia"/>
                <w:lang w:val="en-US" w:eastAsia="zh-CN"/>
              </w:rPr>
              <w:t>3</w:t>
            </w:r>
          </w:p>
        </w:tc>
        <w:tc>
          <w:tcPr>
            <w:tcW w:w="981" w:type="dxa"/>
            <w:tcBorders>
              <w:left w:val="single" w:color="auto" w:sz="4" w:space="0"/>
              <w:right w:val="single" w:color="auto" w:sz="12" w:space="0"/>
            </w:tcBorders>
            <w:shd w:val="clear" w:color="auto" w:fill="auto"/>
            <w:vAlign w:val="center"/>
          </w:tcPr>
          <w:p w14:paraId="6C052046">
            <w:pPr>
              <w:pStyle w:val="14"/>
            </w:pPr>
            <w:r>
              <w:rPr>
                <w:rFonts w:hint="eastAsia" w:ascii="宋体" w:hAnsi="宋体" w:eastAsia="宋体" w:cs="宋体"/>
                <w:sz w:val="21"/>
                <w:szCs w:val="21"/>
              </w:rPr>
              <w:t>综合型</w:t>
            </w:r>
          </w:p>
        </w:tc>
      </w:tr>
      <w:tr w14:paraId="2925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58"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76D012A1">
            <w:pPr>
              <w:pStyle w:val="14"/>
              <w:rPr>
                <w:color w:val="auto"/>
              </w:rPr>
            </w:pPr>
            <w:r>
              <w:rPr>
                <w:rFonts w:hint="eastAsia"/>
                <w:color w:val="auto"/>
              </w:rPr>
              <w:t>2</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EB53654">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中国民族歌曲演唱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211D7BCD">
            <w:pPr>
              <w:pStyle w:val="14"/>
              <w:jc w:val="left"/>
              <w:rPr>
                <w:rFonts w:hint="default"/>
                <w:color w:val="auto"/>
                <w:lang w:val="en-US"/>
              </w:rPr>
            </w:pPr>
            <w:r>
              <w:rPr>
                <w:rFonts w:hint="eastAsia"/>
                <w:color w:val="auto"/>
                <w:lang w:val="en-US" w:eastAsia="zh-CN"/>
              </w:rPr>
              <w:t>运用乐理知识分析歌曲，并能运用歌唱的三要素，有感情地演唱。能判断歌曲的风格并说出音乐创作的特点和创作背景等。</w:t>
            </w:r>
          </w:p>
        </w:tc>
        <w:tc>
          <w:tcPr>
            <w:tcW w:w="890" w:type="dxa"/>
            <w:tcBorders>
              <w:left w:val="single" w:color="auto" w:sz="4" w:space="0"/>
              <w:bottom w:val="single" w:color="auto" w:sz="4" w:space="0"/>
              <w:right w:val="single" w:color="auto" w:sz="4" w:space="0"/>
            </w:tcBorders>
            <w:shd w:val="clear" w:color="auto" w:fill="auto"/>
            <w:vAlign w:val="center"/>
          </w:tcPr>
          <w:p w14:paraId="1E38FF2A">
            <w:pPr>
              <w:pStyle w:val="14"/>
              <w:rPr>
                <w:rFonts w:hint="eastAsia" w:eastAsia="宋体"/>
                <w:lang w:val="en-US" w:eastAsia="zh-CN"/>
              </w:rPr>
            </w:pPr>
            <w:r>
              <w:rPr>
                <w:rFonts w:hint="eastAsia"/>
                <w:lang w:val="en-US" w:eastAsia="zh-CN"/>
              </w:rPr>
              <w:t>3</w:t>
            </w:r>
          </w:p>
        </w:tc>
        <w:tc>
          <w:tcPr>
            <w:tcW w:w="981" w:type="dxa"/>
            <w:tcBorders>
              <w:left w:val="single" w:color="auto" w:sz="4" w:space="0"/>
              <w:bottom w:val="single" w:color="auto" w:sz="4" w:space="0"/>
              <w:right w:val="single" w:color="auto" w:sz="12" w:space="0"/>
            </w:tcBorders>
            <w:shd w:val="clear" w:color="auto" w:fill="auto"/>
            <w:vAlign w:val="center"/>
          </w:tcPr>
          <w:p w14:paraId="3AC5FF8B">
            <w:pPr>
              <w:pStyle w:val="14"/>
            </w:pPr>
            <w:r>
              <w:rPr>
                <w:rFonts w:hint="eastAsia"/>
              </w:rPr>
              <w:t>综合型</w:t>
            </w:r>
          </w:p>
        </w:tc>
      </w:tr>
      <w:tr w14:paraId="3247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25"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5F70E38A">
            <w:pPr>
              <w:pStyle w:val="14"/>
              <w:rPr>
                <w:color w:val="auto"/>
              </w:rPr>
            </w:pPr>
            <w:r>
              <w:rPr>
                <w:rFonts w:hint="eastAsia"/>
                <w:color w:val="auto"/>
              </w:rPr>
              <w:t>3</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EF27C5B">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中国现代歌曲演唱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16036BF5">
            <w:pPr>
              <w:pStyle w:val="14"/>
              <w:jc w:val="left"/>
              <w:rPr>
                <w:color w:val="auto"/>
              </w:rPr>
            </w:pPr>
            <w:r>
              <w:rPr>
                <w:rFonts w:hint="eastAsia"/>
                <w:color w:val="auto"/>
                <w:lang w:val="en-US" w:eastAsia="zh-CN"/>
              </w:rPr>
              <w:t>运用乐理知识和声乐演唱法，说明歌曲《最后一个梦》音乐创作特点，并能声情并茂的演唱。</w:t>
            </w:r>
          </w:p>
        </w:tc>
        <w:tc>
          <w:tcPr>
            <w:tcW w:w="890" w:type="dxa"/>
            <w:tcBorders>
              <w:left w:val="single" w:color="auto" w:sz="4" w:space="0"/>
              <w:right w:val="single" w:color="auto" w:sz="4" w:space="0"/>
            </w:tcBorders>
            <w:shd w:val="clear" w:color="auto" w:fill="auto"/>
            <w:vAlign w:val="center"/>
          </w:tcPr>
          <w:p w14:paraId="7FE69471">
            <w:pPr>
              <w:pStyle w:val="14"/>
              <w:rPr>
                <w:rFonts w:hint="eastAsia" w:eastAsia="宋体"/>
                <w:lang w:val="en-US" w:eastAsia="zh-CN"/>
              </w:rPr>
            </w:pPr>
            <w:r>
              <w:rPr>
                <w:rFonts w:hint="eastAsia"/>
                <w:lang w:val="en-US" w:eastAsia="zh-CN"/>
              </w:rPr>
              <w:t>2</w:t>
            </w:r>
          </w:p>
        </w:tc>
        <w:tc>
          <w:tcPr>
            <w:tcW w:w="981" w:type="dxa"/>
            <w:tcBorders>
              <w:left w:val="single" w:color="auto" w:sz="4" w:space="0"/>
              <w:right w:val="single" w:color="auto" w:sz="12" w:space="0"/>
            </w:tcBorders>
            <w:shd w:val="clear" w:color="auto" w:fill="auto"/>
            <w:vAlign w:val="center"/>
          </w:tcPr>
          <w:p w14:paraId="3DBC5357">
            <w:pPr>
              <w:pStyle w:val="14"/>
            </w:pPr>
            <w:r>
              <w:rPr>
                <w:rFonts w:hint="eastAsia" w:ascii="宋体" w:hAnsi="宋体" w:eastAsia="宋体" w:cs="宋体"/>
                <w:sz w:val="21"/>
                <w:szCs w:val="21"/>
              </w:rPr>
              <w:t>综合型</w:t>
            </w:r>
          </w:p>
        </w:tc>
      </w:tr>
      <w:tr w14:paraId="198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8757" w:type="dxa"/>
            <w:gridSpan w:val="5"/>
            <w:tcBorders>
              <w:top w:val="single" w:color="auto" w:sz="12" w:space="0"/>
              <w:left w:val="nil"/>
              <w:bottom w:val="nil"/>
              <w:right w:val="nil"/>
            </w:tcBorders>
            <w:shd w:val="clear" w:color="auto" w:fill="auto"/>
            <w:vAlign w:val="center"/>
          </w:tcPr>
          <w:p w14:paraId="18DEC795">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564FD36">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8"/>
        <w:tblW w:w="513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700"/>
      </w:tblGrid>
      <w:tr w14:paraId="68D7D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417" w:hRule="atLeast"/>
        </w:trPr>
        <w:tc>
          <w:tcPr>
            <w:tcW w:w="8700" w:type="dxa"/>
            <w:vAlign w:val="center"/>
          </w:tcPr>
          <w:p w14:paraId="52C068BD">
            <w:pPr>
              <w:pStyle w:val="14"/>
              <w:widowControl w:val="0"/>
              <w:ind w:firstLine="420" w:firstLineChars="200"/>
              <w:jc w:val="left"/>
              <w:rPr>
                <w:rFonts w:hint="eastAsia"/>
              </w:rPr>
            </w:pPr>
            <w:r>
              <w:rPr>
                <w:rFonts w:hint="eastAsia"/>
                <w:lang w:val="en-US" w:eastAsia="zh-CN"/>
              </w:rPr>
              <w:t>以学生为中心，立德树人。通过演唱歌曲，激发学生对古诗词歌曲的兴趣、增加对中国民歌的起源和特点等传统文化的认知，以及祖国的热爱之情，增强文化自信。引导学生从自身起，树立正确的人生观、世界观和价值观，做一个有担当、勇于承担社会责任的社会主义建设者和接班人。</w:t>
            </w:r>
          </w:p>
        </w:tc>
      </w:tr>
    </w:tbl>
    <w:p w14:paraId="0432929C">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41"/>
        <w:gridCol w:w="2469"/>
        <w:gridCol w:w="767"/>
        <w:gridCol w:w="41"/>
        <w:gridCol w:w="743"/>
        <w:gridCol w:w="797"/>
        <w:gridCol w:w="88"/>
        <w:gridCol w:w="708"/>
        <w:gridCol w:w="711"/>
        <w:gridCol w:w="737"/>
      </w:tblGrid>
      <w:tr w14:paraId="6F56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76" w:type="dxa"/>
            <w:vMerge w:val="restart"/>
            <w:tcBorders>
              <w:top w:val="single" w:color="auto" w:sz="12" w:space="0"/>
              <w:left w:val="single" w:color="auto" w:sz="12" w:space="0"/>
            </w:tcBorders>
            <w:vAlign w:val="center"/>
          </w:tcPr>
          <w:p w14:paraId="548BB28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41" w:type="dxa"/>
            <w:vMerge w:val="restart"/>
            <w:tcBorders>
              <w:top w:val="single" w:color="auto" w:sz="12" w:space="0"/>
            </w:tcBorders>
            <w:vAlign w:val="center"/>
          </w:tcPr>
          <w:p w14:paraId="2F04CF6B">
            <w:pPr>
              <w:pStyle w:val="16"/>
              <w:widowControl w:val="0"/>
              <w:spacing w:line="240" w:lineRule="auto"/>
              <w:jc w:val="center"/>
              <w:rPr>
                <w:rFonts w:ascii="黑体" w:hAnsi="宋体"/>
              </w:rPr>
            </w:pPr>
            <w:r>
              <w:rPr>
                <w:rFonts w:hint="eastAsia" w:ascii="黑体" w:hAnsi="黑体"/>
                <w:bCs/>
                <w:sz w:val="21"/>
                <w:szCs w:val="21"/>
              </w:rPr>
              <w:t>占比</w:t>
            </w:r>
          </w:p>
        </w:tc>
        <w:tc>
          <w:tcPr>
            <w:tcW w:w="2469" w:type="dxa"/>
            <w:vMerge w:val="restart"/>
            <w:tcBorders>
              <w:top w:val="single" w:color="auto" w:sz="12" w:space="0"/>
              <w:right w:val="double" w:color="auto" w:sz="4" w:space="0"/>
            </w:tcBorders>
            <w:vAlign w:val="center"/>
          </w:tcPr>
          <w:p w14:paraId="0D1D1C17">
            <w:pPr>
              <w:pStyle w:val="16"/>
              <w:widowControl w:val="0"/>
              <w:jc w:val="center"/>
              <w:rPr>
                <w:rFonts w:ascii="黑体" w:hAnsi="黑体"/>
                <w:bCs/>
                <w:sz w:val="21"/>
                <w:szCs w:val="21"/>
              </w:rPr>
            </w:pPr>
            <w:r>
              <w:rPr>
                <w:rFonts w:hint="eastAsia" w:ascii="黑体" w:hAnsi="黑体"/>
                <w:bCs/>
                <w:sz w:val="21"/>
                <w:szCs w:val="21"/>
              </w:rPr>
              <w:t>考核方式</w:t>
            </w:r>
          </w:p>
        </w:tc>
        <w:tc>
          <w:tcPr>
            <w:tcW w:w="3855" w:type="dxa"/>
            <w:gridSpan w:val="7"/>
            <w:tcBorders>
              <w:top w:val="single" w:color="auto" w:sz="12" w:space="0"/>
              <w:left w:val="double" w:color="auto" w:sz="4" w:space="0"/>
            </w:tcBorders>
            <w:vAlign w:val="center"/>
          </w:tcPr>
          <w:p w14:paraId="157AB387">
            <w:pPr>
              <w:pStyle w:val="16"/>
              <w:widowControl w:val="0"/>
              <w:spacing w:line="240" w:lineRule="auto"/>
              <w:jc w:val="center"/>
              <w:rPr>
                <w:rFonts w:ascii="黑体" w:hAnsi="宋体"/>
              </w:rPr>
            </w:pPr>
            <w:r>
              <w:rPr>
                <w:rFonts w:hint="eastAsia" w:ascii="黑体" w:hAnsi="黑体"/>
                <w:bCs/>
                <w:sz w:val="21"/>
                <w:szCs w:val="21"/>
              </w:rPr>
              <w:t>课程目标</w:t>
            </w:r>
          </w:p>
        </w:tc>
        <w:tc>
          <w:tcPr>
            <w:tcW w:w="737" w:type="dxa"/>
            <w:vMerge w:val="restart"/>
            <w:tcBorders>
              <w:top w:val="single" w:color="auto" w:sz="12" w:space="0"/>
              <w:right w:val="single" w:color="auto" w:sz="12" w:space="0"/>
            </w:tcBorders>
            <w:vAlign w:val="center"/>
          </w:tcPr>
          <w:p w14:paraId="3DE4ED02">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77B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6" w:type="dxa"/>
            <w:vMerge w:val="continue"/>
            <w:tcBorders>
              <w:left w:val="single" w:color="auto" w:sz="12" w:space="0"/>
            </w:tcBorders>
          </w:tcPr>
          <w:p w14:paraId="6C0CE1FC">
            <w:pPr>
              <w:widowControl w:val="0"/>
              <w:snapToGrid w:val="0"/>
              <w:jc w:val="center"/>
              <w:rPr>
                <w:rFonts w:ascii="黑体" w:hAnsi="黑体" w:eastAsia="黑体"/>
                <w:bCs/>
                <w:sz w:val="21"/>
                <w:szCs w:val="21"/>
              </w:rPr>
            </w:pPr>
          </w:p>
        </w:tc>
        <w:tc>
          <w:tcPr>
            <w:tcW w:w="741" w:type="dxa"/>
            <w:vMerge w:val="continue"/>
          </w:tcPr>
          <w:p w14:paraId="6D6130D8">
            <w:pPr>
              <w:pStyle w:val="16"/>
              <w:widowControl w:val="0"/>
              <w:jc w:val="both"/>
              <w:rPr>
                <w:rFonts w:ascii="黑体" w:hAnsi="黑体"/>
                <w:bCs/>
                <w:sz w:val="21"/>
                <w:szCs w:val="21"/>
              </w:rPr>
            </w:pPr>
          </w:p>
        </w:tc>
        <w:tc>
          <w:tcPr>
            <w:tcW w:w="2469" w:type="dxa"/>
            <w:vMerge w:val="continue"/>
            <w:tcBorders>
              <w:right w:val="double" w:color="auto" w:sz="4" w:space="0"/>
            </w:tcBorders>
          </w:tcPr>
          <w:p w14:paraId="0E0BF6E2">
            <w:pPr>
              <w:pStyle w:val="16"/>
              <w:widowControl w:val="0"/>
              <w:jc w:val="both"/>
              <w:rPr>
                <w:rFonts w:ascii="黑体" w:hAnsi="黑体"/>
                <w:bCs/>
                <w:sz w:val="21"/>
                <w:szCs w:val="21"/>
              </w:rPr>
            </w:pPr>
          </w:p>
        </w:tc>
        <w:tc>
          <w:tcPr>
            <w:tcW w:w="767" w:type="dxa"/>
            <w:tcBorders>
              <w:left w:val="double" w:color="auto" w:sz="4" w:space="0"/>
            </w:tcBorders>
            <w:vAlign w:val="center"/>
          </w:tcPr>
          <w:p w14:paraId="7F9AF0A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784" w:type="dxa"/>
            <w:gridSpan w:val="2"/>
            <w:vAlign w:val="center"/>
          </w:tcPr>
          <w:p w14:paraId="296215A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797" w:type="dxa"/>
            <w:vAlign w:val="center"/>
          </w:tcPr>
          <w:p w14:paraId="54BDB72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96" w:type="dxa"/>
            <w:gridSpan w:val="2"/>
            <w:vAlign w:val="center"/>
          </w:tcPr>
          <w:p w14:paraId="63ECD94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11" w:type="dxa"/>
            <w:vAlign w:val="center"/>
          </w:tcPr>
          <w:p w14:paraId="245F0872">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737" w:type="dxa"/>
            <w:vMerge w:val="continue"/>
            <w:tcBorders>
              <w:right w:val="single" w:color="auto" w:sz="12" w:space="0"/>
            </w:tcBorders>
          </w:tcPr>
          <w:p w14:paraId="02C0AE29">
            <w:pPr>
              <w:pStyle w:val="16"/>
              <w:widowControl w:val="0"/>
              <w:spacing w:line="240" w:lineRule="auto"/>
              <w:jc w:val="center"/>
              <w:rPr>
                <w:rFonts w:ascii="黑体" w:hAnsi="黑体"/>
                <w:bCs/>
                <w:sz w:val="21"/>
                <w:szCs w:val="21"/>
              </w:rPr>
            </w:pPr>
          </w:p>
        </w:tc>
      </w:tr>
      <w:tr w14:paraId="40AF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6" w:type="dxa"/>
            <w:tcBorders>
              <w:left w:val="single" w:color="auto" w:sz="12" w:space="0"/>
            </w:tcBorders>
            <w:vAlign w:val="center"/>
          </w:tcPr>
          <w:p w14:paraId="2BA0E86C">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41" w:type="dxa"/>
            <w:vAlign w:val="center"/>
          </w:tcPr>
          <w:p w14:paraId="1E179B8F">
            <w:pPr>
              <w:pStyle w:val="14"/>
              <w:widowControl w:val="0"/>
              <w:rPr>
                <w:rFonts w:hint="default" w:eastAsia="宋体"/>
                <w:lang w:val="en-US" w:eastAsia="zh-CN"/>
              </w:rPr>
            </w:pPr>
            <w:r>
              <w:rPr>
                <w:rFonts w:hint="eastAsia"/>
                <w:lang w:val="en-US" w:eastAsia="zh-CN"/>
              </w:rPr>
              <w:t>60%</w:t>
            </w:r>
          </w:p>
        </w:tc>
        <w:tc>
          <w:tcPr>
            <w:tcW w:w="2469" w:type="dxa"/>
            <w:tcBorders>
              <w:right w:val="double" w:color="auto" w:sz="4" w:space="0"/>
            </w:tcBorders>
            <w:vAlign w:val="center"/>
          </w:tcPr>
          <w:p w14:paraId="0381FBBD">
            <w:pPr>
              <w:pStyle w:val="14"/>
              <w:widowControl w:val="0"/>
              <w:rPr>
                <w:rFonts w:hint="default" w:eastAsia="宋体"/>
                <w:lang w:val="en-US" w:eastAsia="zh-CN"/>
              </w:rPr>
            </w:pPr>
            <w:r>
              <w:rPr>
                <w:rFonts w:hint="eastAsia"/>
                <w:lang w:val="en-US" w:eastAsia="zh-CN"/>
              </w:rPr>
              <w:t>期末考查</w:t>
            </w:r>
          </w:p>
        </w:tc>
        <w:tc>
          <w:tcPr>
            <w:tcW w:w="1551" w:type="dxa"/>
            <w:gridSpan w:val="3"/>
            <w:tcBorders>
              <w:left w:val="double" w:color="auto" w:sz="4" w:space="0"/>
            </w:tcBorders>
            <w:vAlign w:val="center"/>
          </w:tcPr>
          <w:p w14:paraId="3BB34A33">
            <w:pPr>
              <w:pStyle w:val="14"/>
              <w:widowControl w:val="0"/>
            </w:pPr>
            <w:r>
              <w:rPr>
                <w:rFonts w:hint="eastAsia"/>
                <w:lang w:val="en-US" w:eastAsia="zh-CN"/>
              </w:rPr>
              <w:t>40</w:t>
            </w:r>
          </w:p>
        </w:tc>
        <w:tc>
          <w:tcPr>
            <w:tcW w:w="1593" w:type="dxa"/>
            <w:gridSpan w:val="3"/>
            <w:vAlign w:val="center"/>
          </w:tcPr>
          <w:p w14:paraId="2698695F">
            <w:pPr>
              <w:pStyle w:val="14"/>
              <w:widowControl w:val="0"/>
            </w:pPr>
            <w:r>
              <w:rPr>
                <w:rFonts w:hint="eastAsia"/>
                <w:lang w:val="en-US" w:eastAsia="zh-CN"/>
              </w:rPr>
              <w:t>40</w:t>
            </w:r>
          </w:p>
        </w:tc>
        <w:tc>
          <w:tcPr>
            <w:tcW w:w="711" w:type="dxa"/>
            <w:vAlign w:val="center"/>
          </w:tcPr>
          <w:p w14:paraId="3BEBAD6A">
            <w:pPr>
              <w:pStyle w:val="14"/>
              <w:widowControl w:val="0"/>
            </w:pPr>
            <w:r>
              <w:rPr>
                <w:rFonts w:hint="eastAsia"/>
                <w:lang w:val="en-US" w:eastAsia="zh-CN"/>
              </w:rPr>
              <w:t>20</w:t>
            </w:r>
          </w:p>
        </w:tc>
        <w:tc>
          <w:tcPr>
            <w:tcW w:w="737" w:type="dxa"/>
            <w:tcBorders>
              <w:right w:val="single" w:color="auto" w:sz="12" w:space="0"/>
            </w:tcBorders>
            <w:vAlign w:val="center"/>
          </w:tcPr>
          <w:p w14:paraId="3EAA7C63">
            <w:pPr>
              <w:pStyle w:val="14"/>
              <w:widowControl w:val="0"/>
            </w:pPr>
            <w:r>
              <w:rPr>
                <w:rFonts w:hint="eastAsia"/>
              </w:rPr>
              <w:t>1</w:t>
            </w:r>
            <w:r>
              <w:t>00</w:t>
            </w:r>
          </w:p>
        </w:tc>
      </w:tr>
      <w:tr w14:paraId="0F1D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6" w:type="dxa"/>
            <w:tcBorders>
              <w:left w:val="single" w:color="auto" w:sz="12" w:space="0"/>
            </w:tcBorders>
            <w:vAlign w:val="center"/>
          </w:tcPr>
          <w:p w14:paraId="169B39C6">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41" w:type="dxa"/>
            <w:vAlign w:val="center"/>
          </w:tcPr>
          <w:p w14:paraId="74A5D0A8">
            <w:pPr>
              <w:pStyle w:val="14"/>
              <w:widowControl w:val="0"/>
              <w:rPr>
                <w:rFonts w:hint="default" w:eastAsia="宋体"/>
                <w:lang w:val="en-US" w:eastAsia="zh-CN"/>
              </w:rPr>
            </w:pPr>
            <w:r>
              <w:rPr>
                <w:rFonts w:hint="eastAsia"/>
                <w:lang w:val="en-US" w:eastAsia="zh-CN"/>
              </w:rPr>
              <w:t>20%</w:t>
            </w:r>
          </w:p>
        </w:tc>
        <w:tc>
          <w:tcPr>
            <w:tcW w:w="2469" w:type="dxa"/>
            <w:tcBorders>
              <w:right w:val="double" w:color="auto" w:sz="4" w:space="0"/>
            </w:tcBorders>
            <w:vAlign w:val="center"/>
          </w:tcPr>
          <w:p w14:paraId="123301A6">
            <w:pPr>
              <w:pStyle w:val="14"/>
              <w:widowControl w:val="0"/>
              <w:rPr>
                <w:rFonts w:hint="default" w:eastAsia="宋体"/>
                <w:lang w:val="en-US" w:eastAsia="zh-CN"/>
              </w:rPr>
            </w:pPr>
            <w:r>
              <w:rPr>
                <w:rFonts w:hint="eastAsia"/>
                <w:lang w:val="en-US" w:eastAsia="zh-CN"/>
              </w:rPr>
              <w:t>课堂展示</w:t>
            </w:r>
          </w:p>
        </w:tc>
        <w:tc>
          <w:tcPr>
            <w:tcW w:w="808" w:type="dxa"/>
            <w:gridSpan w:val="2"/>
            <w:tcBorders>
              <w:left w:val="double" w:color="auto" w:sz="4" w:space="0"/>
            </w:tcBorders>
            <w:vAlign w:val="center"/>
          </w:tcPr>
          <w:p w14:paraId="753B2A5A">
            <w:pPr>
              <w:pStyle w:val="14"/>
              <w:widowControl w:val="0"/>
            </w:pPr>
            <w:r>
              <w:rPr>
                <w:rFonts w:hint="eastAsia"/>
                <w:lang w:val="en-US" w:eastAsia="zh-CN"/>
              </w:rPr>
              <w:t>30</w:t>
            </w:r>
          </w:p>
        </w:tc>
        <w:tc>
          <w:tcPr>
            <w:tcW w:w="743" w:type="dxa"/>
            <w:vAlign w:val="center"/>
          </w:tcPr>
          <w:p w14:paraId="459AB9C7">
            <w:pPr>
              <w:pStyle w:val="14"/>
              <w:widowControl w:val="0"/>
            </w:pPr>
          </w:p>
        </w:tc>
        <w:tc>
          <w:tcPr>
            <w:tcW w:w="885" w:type="dxa"/>
            <w:gridSpan w:val="2"/>
            <w:vAlign w:val="center"/>
          </w:tcPr>
          <w:p w14:paraId="402B73A1">
            <w:pPr>
              <w:pStyle w:val="14"/>
              <w:widowControl w:val="0"/>
            </w:pPr>
            <w:r>
              <w:rPr>
                <w:rFonts w:hint="eastAsia"/>
                <w:lang w:val="en-US" w:eastAsia="zh-CN"/>
              </w:rPr>
              <w:t>30</w:t>
            </w:r>
          </w:p>
        </w:tc>
        <w:tc>
          <w:tcPr>
            <w:tcW w:w="708" w:type="dxa"/>
            <w:vAlign w:val="center"/>
          </w:tcPr>
          <w:p w14:paraId="12953E40">
            <w:pPr>
              <w:pStyle w:val="14"/>
              <w:widowControl w:val="0"/>
            </w:pPr>
          </w:p>
        </w:tc>
        <w:tc>
          <w:tcPr>
            <w:tcW w:w="711" w:type="dxa"/>
            <w:vAlign w:val="center"/>
          </w:tcPr>
          <w:p w14:paraId="3202F058">
            <w:pPr>
              <w:pStyle w:val="14"/>
              <w:widowControl w:val="0"/>
            </w:pPr>
            <w:r>
              <w:rPr>
                <w:rFonts w:hint="eastAsia"/>
                <w:lang w:val="en-US" w:eastAsia="zh-CN"/>
              </w:rPr>
              <w:t>40</w:t>
            </w:r>
          </w:p>
        </w:tc>
        <w:tc>
          <w:tcPr>
            <w:tcW w:w="737" w:type="dxa"/>
            <w:tcBorders>
              <w:right w:val="single" w:color="auto" w:sz="12" w:space="0"/>
            </w:tcBorders>
            <w:vAlign w:val="center"/>
          </w:tcPr>
          <w:p w14:paraId="3D54681B">
            <w:pPr>
              <w:pStyle w:val="14"/>
              <w:widowControl w:val="0"/>
            </w:pPr>
            <w:r>
              <w:rPr>
                <w:rFonts w:hint="eastAsia"/>
              </w:rPr>
              <w:t>1</w:t>
            </w:r>
            <w:r>
              <w:t>00</w:t>
            </w:r>
          </w:p>
        </w:tc>
      </w:tr>
      <w:tr w14:paraId="5340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76" w:type="dxa"/>
            <w:tcBorders>
              <w:left w:val="single" w:color="auto" w:sz="12" w:space="0"/>
            </w:tcBorders>
            <w:vAlign w:val="center"/>
          </w:tcPr>
          <w:p w14:paraId="1B46483D">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41" w:type="dxa"/>
            <w:vAlign w:val="center"/>
          </w:tcPr>
          <w:p w14:paraId="5AB9D4AE">
            <w:pPr>
              <w:pStyle w:val="14"/>
              <w:widowControl w:val="0"/>
              <w:rPr>
                <w:rFonts w:hint="default" w:eastAsia="宋体"/>
                <w:lang w:val="en-US" w:eastAsia="zh-CN"/>
              </w:rPr>
            </w:pPr>
            <w:r>
              <w:rPr>
                <w:rFonts w:hint="eastAsia"/>
                <w:lang w:val="en-US" w:eastAsia="zh-CN"/>
              </w:rPr>
              <w:t>20%</w:t>
            </w:r>
          </w:p>
        </w:tc>
        <w:tc>
          <w:tcPr>
            <w:tcW w:w="2469" w:type="dxa"/>
            <w:tcBorders>
              <w:right w:val="double" w:color="auto" w:sz="4" w:space="0"/>
            </w:tcBorders>
            <w:vAlign w:val="center"/>
          </w:tcPr>
          <w:p w14:paraId="627E5E9E">
            <w:pPr>
              <w:pStyle w:val="14"/>
              <w:widowControl w:val="0"/>
              <w:rPr>
                <w:rFonts w:hint="default" w:eastAsia="宋体"/>
                <w:lang w:val="en-US" w:eastAsia="zh-CN"/>
              </w:rPr>
            </w:pPr>
            <w:r>
              <w:rPr>
                <w:rFonts w:hint="eastAsia"/>
                <w:lang w:val="en-US" w:eastAsia="zh-CN"/>
              </w:rPr>
              <w:t>课堂展示</w:t>
            </w:r>
          </w:p>
        </w:tc>
        <w:tc>
          <w:tcPr>
            <w:tcW w:w="808" w:type="dxa"/>
            <w:gridSpan w:val="2"/>
            <w:tcBorders>
              <w:left w:val="double" w:color="auto" w:sz="4" w:space="0"/>
            </w:tcBorders>
            <w:vAlign w:val="center"/>
          </w:tcPr>
          <w:p w14:paraId="5C2217AE">
            <w:pPr>
              <w:pStyle w:val="14"/>
              <w:widowControl w:val="0"/>
              <w:jc w:val="both"/>
            </w:pPr>
          </w:p>
        </w:tc>
        <w:tc>
          <w:tcPr>
            <w:tcW w:w="743" w:type="dxa"/>
            <w:vAlign w:val="center"/>
          </w:tcPr>
          <w:p w14:paraId="53598AD6">
            <w:pPr>
              <w:pStyle w:val="14"/>
              <w:widowControl w:val="0"/>
            </w:pPr>
            <w:r>
              <w:rPr>
                <w:rFonts w:hint="eastAsia"/>
                <w:lang w:val="en-US" w:eastAsia="zh-CN"/>
              </w:rPr>
              <w:t>30</w:t>
            </w:r>
          </w:p>
        </w:tc>
        <w:tc>
          <w:tcPr>
            <w:tcW w:w="885" w:type="dxa"/>
            <w:gridSpan w:val="2"/>
            <w:vAlign w:val="center"/>
          </w:tcPr>
          <w:p w14:paraId="4D86D15C">
            <w:pPr>
              <w:pStyle w:val="14"/>
              <w:widowControl w:val="0"/>
            </w:pPr>
          </w:p>
        </w:tc>
        <w:tc>
          <w:tcPr>
            <w:tcW w:w="708" w:type="dxa"/>
            <w:vAlign w:val="center"/>
          </w:tcPr>
          <w:p w14:paraId="63A73304">
            <w:pPr>
              <w:pStyle w:val="14"/>
              <w:widowControl w:val="0"/>
            </w:pPr>
            <w:r>
              <w:rPr>
                <w:rFonts w:hint="eastAsia"/>
                <w:lang w:val="en-US" w:eastAsia="zh-CN"/>
              </w:rPr>
              <w:t>30</w:t>
            </w:r>
          </w:p>
        </w:tc>
        <w:tc>
          <w:tcPr>
            <w:tcW w:w="711" w:type="dxa"/>
            <w:vAlign w:val="center"/>
          </w:tcPr>
          <w:p w14:paraId="00818135">
            <w:pPr>
              <w:pStyle w:val="14"/>
              <w:widowControl w:val="0"/>
            </w:pPr>
            <w:r>
              <w:rPr>
                <w:rFonts w:hint="eastAsia"/>
                <w:lang w:val="en-US" w:eastAsia="zh-CN"/>
              </w:rPr>
              <w:t>40</w:t>
            </w:r>
          </w:p>
        </w:tc>
        <w:tc>
          <w:tcPr>
            <w:tcW w:w="737" w:type="dxa"/>
            <w:tcBorders>
              <w:right w:val="single" w:color="auto" w:sz="12" w:space="0"/>
            </w:tcBorders>
            <w:vAlign w:val="center"/>
          </w:tcPr>
          <w:p w14:paraId="3AE9A043">
            <w:pPr>
              <w:pStyle w:val="14"/>
              <w:widowControl w:val="0"/>
            </w:pPr>
            <w:r>
              <w:rPr>
                <w:rFonts w:hint="eastAsia"/>
              </w:rPr>
              <w:t>1</w:t>
            </w:r>
            <w:r>
              <w:t>00</w:t>
            </w:r>
          </w:p>
        </w:tc>
      </w:tr>
    </w:tbl>
    <w:p w14:paraId="681C5D98">
      <w:pPr>
        <w:pStyle w:val="17"/>
        <w:spacing w:before="326" w:beforeLines="100" w:after="163"/>
        <w:jc w:val="center"/>
      </w:pPr>
      <w:r>
        <w:rPr>
          <w:rFonts w:hint="eastAsia"/>
        </w:rPr>
        <w:t>评价标准细则（选填）</w:t>
      </w:r>
    </w:p>
    <w:tbl>
      <w:tblPr>
        <w:tblStyle w:val="8"/>
        <w:tblW w:w="512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97"/>
        <w:gridCol w:w="1478"/>
        <w:gridCol w:w="1479"/>
        <w:gridCol w:w="1479"/>
        <w:gridCol w:w="1479"/>
        <w:gridCol w:w="1490"/>
      </w:tblGrid>
      <w:tr w14:paraId="12A13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7" w:type="dxa"/>
            <w:vMerge w:val="restart"/>
            <w:vAlign w:val="center"/>
          </w:tcPr>
          <w:p w14:paraId="73D1CA6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97" w:type="dxa"/>
            <w:vMerge w:val="restart"/>
          </w:tcPr>
          <w:p w14:paraId="234DB60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D872CBF">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921880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89976F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78" w:type="dxa"/>
            <w:vMerge w:val="restart"/>
            <w:vAlign w:val="center"/>
          </w:tcPr>
          <w:p w14:paraId="1A4FC14A">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927" w:type="dxa"/>
            <w:gridSpan w:val="4"/>
            <w:vAlign w:val="center"/>
          </w:tcPr>
          <w:p w14:paraId="6771C34D">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0821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37" w:type="dxa"/>
            <w:vMerge w:val="continue"/>
          </w:tcPr>
          <w:p w14:paraId="484FDBC3">
            <w:pPr>
              <w:widowControl w:val="0"/>
              <w:snapToGrid w:val="0"/>
              <w:jc w:val="center"/>
              <w:rPr>
                <w:rFonts w:ascii="黑体" w:hAnsi="黑体" w:eastAsia="黑体"/>
                <w:bCs/>
                <w:sz w:val="21"/>
                <w:szCs w:val="21"/>
              </w:rPr>
            </w:pPr>
          </w:p>
        </w:tc>
        <w:tc>
          <w:tcPr>
            <w:tcW w:w="697" w:type="dxa"/>
            <w:vMerge w:val="continue"/>
          </w:tcPr>
          <w:p w14:paraId="5441B0B4">
            <w:pPr>
              <w:pStyle w:val="16"/>
              <w:widowControl w:val="0"/>
              <w:jc w:val="both"/>
              <w:rPr>
                <w:rFonts w:ascii="黑体" w:hAnsi="黑体"/>
                <w:bCs/>
                <w:sz w:val="21"/>
                <w:szCs w:val="21"/>
              </w:rPr>
            </w:pPr>
          </w:p>
        </w:tc>
        <w:tc>
          <w:tcPr>
            <w:tcW w:w="1478" w:type="dxa"/>
            <w:vMerge w:val="continue"/>
          </w:tcPr>
          <w:p w14:paraId="6A032152">
            <w:pPr>
              <w:pStyle w:val="16"/>
              <w:widowControl w:val="0"/>
              <w:jc w:val="both"/>
              <w:rPr>
                <w:rFonts w:ascii="黑体" w:hAnsi="黑体"/>
                <w:bCs/>
                <w:sz w:val="21"/>
                <w:szCs w:val="21"/>
              </w:rPr>
            </w:pPr>
          </w:p>
        </w:tc>
        <w:tc>
          <w:tcPr>
            <w:tcW w:w="1479" w:type="dxa"/>
            <w:vAlign w:val="center"/>
          </w:tcPr>
          <w:p w14:paraId="5502514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34D1B2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79" w:type="dxa"/>
            <w:vAlign w:val="center"/>
          </w:tcPr>
          <w:p w14:paraId="164B61F4">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90210AC">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79" w:type="dxa"/>
            <w:vAlign w:val="center"/>
          </w:tcPr>
          <w:p w14:paraId="0057ABCD">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26DAB6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90" w:type="dxa"/>
            <w:vAlign w:val="center"/>
          </w:tcPr>
          <w:p w14:paraId="22B0B53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EBF160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88CB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637" w:type="dxa"/>
            <w:vAlign w:val="center"/>
          </w:tcPr>
          <w:p w14:paraId="2CDEBCC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97" w:type="dxa"/>
            <w:vAlign w:val="center"/>
          </w:tcPr>
          <w:p w14:paraId="6A72D39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78" w:type="dxa"/>
          </w:tcPr>
          <w:p w14:paraId="0E3916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着正装,气息充足，节奏准确、旋律准确、表情记号及音乐术语准确，作品情感表达正确，表达歌曲的内涵</w:t>
            </w:r>
          </w:p>
        </w:tc>
        <w:tc>
          <w:tcPr>
            <w:tcW w:w="1479" w:type="dxa"/>
          </w:tcPr>
          <w:p w14:paraId="64EDBF5A">
            <w:pPr>
              <w:pStyle w:val="14"/>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着正装，气息充足，</w:t>
            </w:r>
            <w:r>
              <w:rPr>
                <w:rFonts w:hint="eastAsia" w:ascii="Helvetica" w:hAnsi="Helvetica" w:cs="Helvetica" w:eastAsiaTheme="minorEastAsia"/>
                <w:color w:val="000000"/>
                <w:sz w:val="19"/>
                <w:szCs w:val="19"/>
                <w:lang w:val="en-US" w:eastAsia="zh-CN"/>
              </w:rPr>
              <w:t>节奏准确、旋律完全准确，表情记号及音乐术语准确，作品情感情感和内涵表达准确</w:t>
            </w:r>
          </w:p>
        </w:tc>
        <w:tc>
          <w:tcPr>
            <w:tcW w:w="1479" w:type="dxa"/>
          </w:tcPr>
          <w:p w14:paraId="3A7389A5">
            <w:pPr>
              <w:pStyle w:val="14"/>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着正装，气息不流畅，</w:t>
            </w:r>
            <w:r>
              <w:rPr>
                <w:rFonts w:hint="eastAsia" w:ascii="Helvetica" w:hAnsi="Helvetica" w:cs="Helvetica" w:eastAsiaTheme="minorEastAsia"/>
                <w:color w:val="000000"/>
                <w:sz w:val="19"/>
                <w:szCs w:val="19"/>
                <w:lang w:val="en-US" w:eastAsia="zh-CN"/>
              </w:rPr>
              <w:t>节奏和旋律基本准确，表情记号及音乐术语使用准确，作品情感和内涵表现不充分</w:t>
            </w:r>
          </w:p>
        </w:tc>
        <w:tc>
          <w:tcPr>
            <w:tcW w:w="1479" w:type="dxa"/>
          </w:tcPr>
          <w:p w14:paraId="7022E383">
            <w:pPr>
              <w:pStyle w:val="14"/>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着正装，气息不稳，节奏和旋律个别不准确，能有感情地演唱，但表情记号和音乐术语处理不完全恰当</w:t>
            </w:r>
          </w:p>
        </w:tc>
        <w:tc>
          <w:tcPr>
            <w:tcW w:w="1490" w:type="dxa"/>
          </w:tcPr>
          <w:p w14:paraId="56E4FEA3">
            <w:pPr>
              <w:pStyle w:val="6"/>
              <w:widowControl/>
              <w:shd w:val="clear" w:color="auto" w:fill="FFFFFF"/>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便衣，没有用正确的呼吸演唱，节奏不稳、旋律不准，没表现表情记号和音乐术语处理不恰当</w:t>
            </w:r>
          </w:p>
        </w:tc>
      </w:tr>
      <w:tr w14:paraId="649CD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37" w:type="dxa"/>
            <w:vAlign w:val="center"/>
          </w:tcPr>
          <w:p w14:paraId="4DD3D66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97" w:type="dxa"/>
            <w:vAlign w:val="center"/>
          </w:tcPr>
          <w:p w14:paraId="30725A4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1.3.5</w:t>
            </w:r>
          </w:p>
        </w:tc>
        <w:tc>
          <w:tcPr>
            <w:tcW w:w="1478" w:type="dxa"/>
            <w:vAlign w:val="center"/>
          </w:tcPr>
          <w:p w14:paraId="509378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用正确的呼吸方法演唱，节奏准确，音色优美，会判断歌曲的调性和音乐风格</w:t>
            </w:r>
          </w:p>
        </w:tc>
        <w:tc>
          <w:tcPr>
            <w:tcW w:w="1479" w:type="dxa"/>
            <w:vAlign w:val="center"/>
          </w:tcPr>
          <w:p w14:paraId="788C09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用正确的呼吸方法演唱，节奏准确，音色优美，会判断歌曲的调性和音乐风格</w:t>
            </w:r>
          </w:p>
        </w:tc>
        <w:tc>
          <w:tcPr>
            <w:tcW w:w="1479" w:type="dxa"/>
            <w:vAlign w:val="center"/>
          </w:tcPr>
          <w:p w14:paraId="6261C9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用正确的呼吸方法演唱，节奏准确音色优美，判断歌曲的调性和音乐风格基本正确</w:t>
            </w:r>
          </w:p>
        </w:tc>
        <w:tc>
          <w:tcPr>
            <w:tcW w:w="1479" w:type="dxa"/>
            <w:vAlign w:val="center"/>
          </w:tcPr>
          <w:p w14:paraId="34C62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用正确的呼吸演唱，节奏不完全准确，音色暗淡，基本会判断歌曲调性和音乐风格</w:t>
            </w:r>
          </w:p>
        </w:tc>
        <w:tc>
          <w:tcPr>
            <w:tcW w:w="1490" w:type="dxa"/>
            <w:vAlign w:val="center"/>
          </w:tcPr>
          <w:p w14:paraId="40EC99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不会用正确的呼吸方法演唱，节奏不稳，破音，不会判断歌曲的调性和音乐风格</w:t>
            </w:r>
          </w:p>
        </w:tc>
      </w:tr>
      <w:tr w14:paraId="666D0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637" w:type="dxa"/>
            <w:vAlign w:val="center"/>
          </w:tcPr>
          <w:p w14:paraId="55A2AA5C">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97" w:type="dxa"/>
            <w:vAlign w:val="center"/>
          </w:tcPr>
          <w:p w14:paraId="277B067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2.4.5</w:t>
            </w:r>
          </w:p>
        </w:tc>
        <w:tc>
          <w:tcPr>
            <w:tcW w:w="1478" w:type="dxa"/>
            <w:vAlign w:val="center"/>
          </w:tcPr>
          <w:p w14:paraId="3B763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演唱歌曲时旋律准确，表情记号、音乐术语、情感处理符合作品风格</w:t>
            </w:r>
          </w:p>
        </w:tc>
        <w:tc>
          <w:tcPr>
            <w:tcW w:w="1479" w:type="dxa"/>
            <w:vAlign w:val="center"/>
          </w:tcPr>
          <w:p w14:paraId="62DFE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演唱歌曲时旋律准确，表情记号、音乐术语、情感处理符合作品风格</w:t>
            </w:r>
          </w:p>
        </w:tc>
        <w:tc>
          <w:tcPr>
            <w:tcW w:w="1479" w:type="dxa"/>
            <w:vAlign w:val="center"/>
          </w:tcPr>
          <w:p w14:paraId="58E04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个别旋律音准确，表情记号、音乐术语、情感处理基本符合作品风格</w:t>
            </w:r>
          </w:p>
        </w:tc>
        <w:tc>
          <w:tcPr>
            <w:tcW w:w="1479" w:type="dxa"/>
            <w:vAlign w:val="center"/>
          </w:tcPr>
          <w:p w14:paraId="0241D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个别音不准确，表情记号、音乐术语、情感处理未完全符合作品风格</w:t>
            </w:r>
          </w:p>
        </w:tc>
        <w:tc>
          <w:tcPr>
            <w:tcW w:w="1490" w:type="dxa"/>
            <w:vAlign w:val="center"/>
          </w:tcPr>
          <w:p w14:paraId="326EC5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演唱歌曲时旋律不准确，表情记号、音乐术语、情感处理不符合作品风格</w:t>
            </w:r>
          </w:p>
        </w:tc>
      </w:tr>
    </w:tbl>
    <w:p w14:paraId="4049C739">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87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80"/>
      </w:tblGrid>
      <w:tr w14:paraId="037494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8780" w:type="dxa"/>
          </w:tcPr>
          <w:p w14:paraId="59ECBF9C">
            <w:pPr>
              <w:pStyle w:val="14"/>
              <w:widowControl w:val="0"/>
              <w:jc w:val="left"/>
              <w:rPr>
                <w:rFonts w:ascii="仿宋" w:hAnsi="仿宋" w:eastAsia="仿宋" w:cs="仿宋"/>
              </w:rPr>
            </w:pPr>
          </w:p>
          <w:p w14:paraId="752395F7">
            <w:pPr>
              <w:pStyle w:val="14"/>
              <w:widowControl w:val="0"/>
              <w:jc w:val="left"/>
              <w:rPr>
                <w:rFonts w:ascii="宋体" w:hAnsi="宋体"/>
                <w:bCs/>
              </w:rPr>
            </w:pPr>
          </w:p>
          <w:p w14:paraId="4466E2EC">
            <w:pPr>
              <w:pStyle w:val="14"/>
              <w:widowControl w:val="0"/>
              <w:jc w:val="center"/>
              <w:rPr>
                <w:rFonts w:hint="default" w:ascii="宋体" w:hAnsi="宋体" w:eastAsia="宋体"/>
                <w:bCs/>
                <w:lang w:val="en-US" w:eastAsia="zh-CN"/>
              </w:rPr>
            </w:pPr>
            <w:r>
              <w:rPr>
                <w:rFonts w:hint="eastAsia" w:ascii="宋体" w:hAnsi="宋体"/>
                <w:bCs/>
                <w:lang w:val="en-US" w:eastAsia="zh-CN"/>
              </w:rPr>
              <w:t>无</w:t>
            </w:r>
          </w:p>
          <w:p w14:paraId="26D52936">
            <w:pPr>
              <w:pStyle w:val="14"/>
              <w:widowControl w:val="0"/>
              <w:jc w:val="left"/>
              <w:rPr>
                <w:rFonts w:ascii="宋体" w:hAnsi="宋体"/>
                <w:bCs/>
              </w:rPr>
            </w:pPr>
          </w:p>
          <w:p w14:paraId="63B219E3">
            <w:pPr>
              <w:pStyle w:val="14"/>
              <w:widowControl w:val="0"/>
              <w:jc w:val="left"/>
              <w:rPr>
                <w:rFonts w:ascii="黑体"/>
              </w:rPr>
            </w:pPr>
          </w:p>
        </w:tc>
      </w:tr>
    </w:tbl>
    <w:p w14:paraId="63187A65">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371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A1E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3A1E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4B2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74E22E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74E22E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264F"/>
    <w:multiLevelType w:val="singleLevel"/>
    <w:tmpl w:val="A08726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6F56E21"/>
    <w:rsid w:val="22987C80"/>
    <w:rsid w:val="24192CCC"/>
    <w:rsid w:val="2B580837"/>
    <w:rsid w:val="39A66CD4"/>
    <w:rsid w:val="3CD52CE1"/>
    <w:rsid w:val="405C1C05"/>
    <w:rsid w:val="410F2E6A"/>
    <w:rsid w:val="430E78E2"/>
    <w:rsid w:val="4430136C"/>
    <w:rsid w:val="4474724B"/>
    <w:rsid w:val="45A13F37"/>
    <w:rsid w:val="4AB0382B"/>
    <w:rsid w:val="4B621DBB"/>
    <w:rsid w:val="4C925E2D"/>
    <w:rsid w:val="4D655EB2"/>
    <w:rsid w:val="569868B5"/>
    <w:rsid w:val="611F6817"/>
    <w:rsid w:val="66CA1754"/>
    <w:rsid w:val="6F1E65D4"/>
    <w:rsid w:val="6F266C86"/>
    <w:rsid w:val="6F5042C2"/>
    <w:rsid w:val="73577E87"/>
    <w:rsid w:val="74316312"/>
    <w:rsid w:val="780F13C8"/>
    <w:rsid w:val="7C385448"/>
    <w:rsid w:val="7CB3663D"/>
    <w:rsid w:val="7CC731AE"/>
    <w:rsid w:val="7EE63D44"/>
    <w:rsid w:val="B332F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1558</Words>
  <Characters>1619</Characters>
  <Lines>6</Lines>
  <Paragraphs>1</Paragraphs>
  <TotalTime>6</TotalTime>
  <ScaleCrop>false</ScaleCrop>
  <LinksUpToDate>false</LinksUpToDate>
  <CharactersWithSpaces>1648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十九.</cp:lastModifiedBy>
  <cp:lastPrinted>2023-11-21T08:52:00Z</cp:lastPrinted>
  <dcterms:modified xsi:type="dcterms:W3CDTF">2026-03-10T13:35:10Z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B85F2FF2E29E471F87242D99721320EA_13</vt:lpwstr>
  </property>
  <property fmtid="{D5CDD505-2E9C-101B-9397-08002B2CF9AE}" pid="4" name="KSOTemplateDocerSaveRecord">
    <vt:lpwstr>eyJoZGlkIjoiZTllOTQzMzI2NGY5ZmJlOWJjNzJhZjc4NzIwNTA3YzEiLCJ1c2VySWQiOiIxNTI5NDM3ODA4In0=</vt:lpwstr>
  </property>
</Properties>
</file>