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756"/>
        <w:gridCol w:w="1433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75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21000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31（课程序号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2362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18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75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18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75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袁江</w:t>
            </w:r>
          </w:p>
        </w:tc>
        <w:tc>
          <w:tcPr>
            <w:tcW w:w="14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18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13053@gench.edu.cn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756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机制B19-1</w:t>
            </w:r>
          </w:p>
        </w:tc>
        <w:tc>
          <w:tcPr>
            <w:tcW w:w="143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18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计算中心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时间 :  周二3-4，5-6   地点: 线上/数学教研室  电话：18721772362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4550"/>
        <w:gridCol w:w="1517"/>
        <w:gridCol w:w="12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符号运算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等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教材 P18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学习掌握plot,ezplot等命令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学习掌握polar,ezpolar 等命令</w:t>
            </w:r>
          </w:p>
          <w:p>
            <w:pPr>
              <w:widowControl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>
            <w:pPr>
              <w:widowControl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>
            <w:pPr>
              <w:widowControl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roots，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inline,fzero，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min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bnd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等函数</w:t>
            </w:r>
          </w:p>
          <w:p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13(或14)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期末大作业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上机考试 开卷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537" w:tblpY="2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highlight w:val="cyan"/>
                <w:lang w:val="en-US" w:eastAsia="zh-TW" w:bidi="ar-SA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袁江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陈苏婷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2021年2月25日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5E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482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9E5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D77E8F"/>
    <w:rsid w:val="0250298D"/>
    <w:rsid w:val="043E2FCD"/>
    <w:rsid w:val="0B02141F"/>
    <w:rsid w:val="0C5D3850"/>
    <w:rsid w:val="0DB76A4A"/>
    <w:rsid w:val="199D2E85"/>
    <w:rsid w:val="1A433E05"/>
    <w:rsid w:val="1B9B294B"/>
    <w:rsid w:val="20487683"/>
    <w:rsid w:val="2271549B"/>
    <w:rsid w:val="22A25EA4"/>
    <w:rsid w:val="22D630F8"/>
    <w:rsid w:val="27C36F4B"/>
    <w:rsid w:val="28BF63F5"/>
    <w:rsid w:val="290317BD"/>
    <w:rsid w:val="2E59298A"/>
    <w:rsid w:val="2F9378EC"/>
    <w:rsid w:val="37E50B00"/>
    <w:rsid w:val="39D8490F"/>
    <w:rsid w:val="3ABE41BC"/>
    <w:rsid w:val="3B326914"/>
    <w:rsid w:val="3C7E292B"/>
    <w:rsid w:val="3CFB2107"/>
    <w:rsid w:val="40C6322B"/>
    <w:rsid w:val="436839F0"/>
    <w:rsid w:val="460A6FB1"/>
    <w:rsid w:val="46731E3A"/>
    <w:rsid w:val="49DF08B3"/>
    <w:rsid w:val="4A291E7F"/>
    <w:rsid w:val="4A443261"/>
    <w:rsid w:val="4C47406A"/>
    <w:rsid w:val="4C9F7C42"/>
    <w:rsid w:val="4CDA3550"/>
    <w:rsid w:val="52EF658F"/>
    <w:rsid w:val="54F415DE"/>
    <w:rsid w:val="55860239"/>
    <w:rsid w:val="5FC27247"/>
    <w:rsid w:val="61864852"/>
    <w:rsid w:val="64443A0A"/>
    <w:rsid w:val="65310993"/>
    <w:rsid w:val="661973C8"/>
    <w:rsid w:val="681D4377"/>
    <w:rsid w:val="6B152FAE"/>
    <w:rsid w:val="6C7F4229"/>
    <w:rsid w:val="6E256335"/>
    <w:rsid w:val="6ECD3564"/>
    <w:rsid w:val="700912C5"/>
    <w:rsid w:val="707D09F1"/>
    <w:rsid w:val="74F62C86"/>
    <w:rsid w:val="764B7276"/>
    <w:rsid w:val="77D14CC5"/>
    <w:rsid w:val="78BA7402"/>
    <w:rsid w:val="7B064125"/>
    <w:rsid w:val="7D503BF4"/>
    <w:rsid w:val="7E134B61"/>
    <w:rsid w:val="7FE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6FBC22-0AA8-4ABC-831F-6782079A53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158</Words>
  <Characters>902</Characters>
  <Lines>7</Lines>
  <Paragraphs>2</Paragraphs>
  <TotalTime>0</TotalTime>
  <ScaleCrop>false</ScaleCrop>
  <LinksUpToDate>false</LinksUpToDate>
  <CharactersWithSpaces>1058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2021-04-20T04:51:54Z</dcterms:modified>
  <dc:title>上海建桥学院教学进度计划表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RubyTemplateID" linkTarget="0">
    <vt:lpwstr>6</vt:lpwstr>
  </property>
  <property fmtid="{D5CDD505-2E9C-101B-9397-08002B2CF9AE}" pid="4" name="ICV">
    <vt:lpwstr>B7DB09FD84DC424CBFFEB267FD0E13FE</vt:lpwstr>
  </property>
</Properties>
</file>