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学前儿童科学教育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2130022</w:t>
            </w:r>
          </w:p>
        </w:tc>
        <w:tc>
          <w:tcPr>
            <w:tcW w:w="1161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120A623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66</w:t>
            </w:r>
          </w:p>
          <w:p w14:paraId="331D1B5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郭文杰</w:t>
            </w:r>
          </w:p>
        </w:tc>
        <w:tc>
          <w:tcPr>
            <w:tcW w:w="1161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21093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061E888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学前B2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-1</w:t>
            </w:r>
          </w:p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学前B2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-2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681628F3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一教105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课前课后，平时微信联系，周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国家高等教育智慧教育平台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(smartedu.cn) https://higher.smartedu.cn/course/63e5778daf1f1b5d3ecf9fe3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学前儿童科学教育及活动指导，丁香平等主编，湖南师范大学出版社，202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9BA4578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学前儿童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科学教育（第3版），刘占兰，北京师范大学出版社，2023.</w:t>
            </w:r>
          </w:p>
          <w:p w14:paraId="6A07CE9A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学前儿童科学教育活动指导（第四版），夏力，复旦大学出版社，2022.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学前儿童科学教育与活动指导（第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版），施燕，华东师范大学出版社，2022.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2347"/>
        <w:gridCol w:w="2159"/>
        <w:gridCol w:w="3018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3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7806BFDB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第一单元 学前儿童科学教育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导论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课堂讲授，自主学习</w:t>
            </w:r>
          </w:p>
        </w:tc>
        <w:tc>
          <w:tcPr>
            <w:tcW w:w="3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复习与预习，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依据学前儿童的认知特点和学前儿童科学教育活动的特性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设计打磨学前儿童观察认识类活动方案。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14:paraId="00213A3B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 xml:space="preserve">第二单元 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学前儿童观察认识类活动的设计、组织实施与评价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小组实操项目</w:t>
            </w:r>
          </w:p>
        </w:tc>
        <w:tc>
          <w:tcPr>
            <w:tcW w:w="3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3A0F89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复习与预习，小组合作设计实施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观察认识类科学教育活动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撰写小组项目反思报告。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14:paraId="0B78D30E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第三单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元 学前儿童实验操作类活动的设计、组织实施与评价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小组实操项目</w:t>
            </w:r>
          </w:p>
        </w:tc>
        <w:tc>
          <w:tcPr>
            <w:tcW w:w="3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A2F2D6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复习与预习，小组合作设计实施实验操作类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科学教育活动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撰写小组项目反思报告。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46098286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第四单元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 xml:space="preserve"> 学前儿童科技制作类活动的设计、组织实施与评价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小组实操项目</w:t>
            </w:r>
          </w:p>
        </w:tc>
        <w:tc>
          <w:tcPr>
            <w:tcW w:w="3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8AB508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复习与预习，小组合作设计实施科技制作类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科学教育活动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撰写小组项目反思报告。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14:paraId="594F6E53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第五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单元 学前儿童交流讨论类活动的设计、组织实施与评价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课堂讲授，案例分析</w:t>
            </w:r>
          </w:p>
        </w:tc>
        <w:tc>
          <w:tcPr>
            <w:tcW w:w="3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F6027C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复习与预习，绘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制交流讨论类科学教育活动组织设计策略的思维导图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14:paraId="0B417423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 xml:space="preserve">第六单元 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学前儿童数学活动的设计、组织实施与评价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小组实操项目</w:t>
            </w:r>
          </w:p>
        </w:tc>
        <w:tc>
          <w:tcPr>
            <w:tcW w:w="3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59F681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复习与预习，小组合作设计并实施学前儿童数学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教育活动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撰写小组项目反思报告。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1" w:type="dxa"/>
            <w:vAlign w:val="center"/>
          </w:tcPr>
          <w:p w14:paraId="4FAFA5EC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第七单元 学前儿童科学区域活动设计与组织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课堂讲授，案例分析</w:t>
            </w:r>
          </w:p>
        </w:tc>
        <w:tc>
          <w:tcPr>
            <w:tcW w:w="3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复习课堂所学，预习新课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14:paraId="7ACFB4FD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第八单元 学前儿童科学游戏活动设计与组织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自主学习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，课堂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讨论</w:t>
            </w:r>
          </w:p>
        </w:tc>
        <w:tc>
          <w:tcPr>
            <w:tcW w:w="3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总复习，准备期末考试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810"/>
        <w:gridCol w:w="2818"/>
        <w:gridCol w:w="1542"/>
      </w:tblGrid>
      <w:tr w14:paraId="54D52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/>
            <w:vAlign w:val="center"/>
          </w:tcPr>
          <w:p w14:paraId="5D5817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课程目标</w:t>
            </w:r>
          </w:p>
        </w:tc>
        <w:tc>
          <w:tcPr>
            <w:tcW w:w="28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vAlign w:val="center"/>
          </w:tcPr>
          <w:p w14:paraId="2B0A6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考核内容</w:t>
            </w:r>
          </w:p>
        </w:tc>
        <w:tc>
          <w:tcPr>
            <w:tcW w:w="281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vAlign w:val="center"/>
          </w:tcPr>
          <w:p w14:paraId="4A5D9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考核方式</w:t>
            </w:r>
          </w:p>
        </w:tc>
        <w:tc>
          <w:tcPr>
            <w:tcW w:w="1542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 w14:paraId="550168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占比</w:t>
            </w:r>
          </w:p>
        </w:tc>
      </w:tr>
      <w:tr w14:paraId="0AA1E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34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shd w:val="clear"/>
            <w:vAlign w:val="center"/>
          </w:tcPr>
          <w:p w14:paraId="0D2ED5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目标1</w:t>
            </w:r>
          </w:p>
        </w:tc>
        <w:tc>
          <w:tcPr>
            <w:tcW w:w="2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42AF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领域知识与核心经验，</w:t>
            </w:r>
          </w:p>
          <w:p w14:paraId="26D4F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活动设计与组织指导策略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839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期末闭卷考试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 w14:paraId="2AED17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30%</w:t>
            </w:r>
          </w:p>
        </w:tc>
      </w:tr>
      <w:tr w14:paraId="5C96C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34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shd w:val="clear"/>
            <w:vAlign w:val="center"/>
          </w:tcPr>
          <w:p w14:paraId="4CC0A5E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0BFBE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3793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线上学习情况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 w14:paraId="3CD213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10%</w:t>
            </w:r>
          </w:p>
        </w:tc>
      </w:tr>
      <w:tr w14:paraId="052FD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4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shd w:val="clear"/>
            <w:vAlign w:val="center"/>
          </w:tcPr>
          <w:p w14:paraId="6C262D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目标2</w:t>
            </w:r>
          </w:p>
        </w:tc>
        <w:tc>
          <w:tcPr>
            <w:tcW w:w="2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F85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小组协作设计、打磨教案、模拟演练、实操配合，基于实践与观察进行活动评价并撰写反思报告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F9F7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小组项目组织实施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 w14:paraId="6A0A9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30%</w:t>
            </w:r>
          </w:p>
        </w:tc>
      </w:tr>
      <w:tr w14:paraId="53A1D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34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shd w:val="clear"/>
            <w:vAlign w:val="center"/>
          </w:tcPr>
          <w:p w14:paraId="45648A9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A05A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21A9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小组项目反思报告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 w14:paraId="0F835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15%</w:t>
            </w:r>
          </w:p>
        </w:tc>
      </w:tr>
      <w:tr w14:paraId="20D36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34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/>
            <w:vAlign w:val="center"/>
          </w:tcPr>
          <w:p w14:paraId="0CD612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目标3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center"/>
          </w:tcPr>
          <w:p w14:paraId="216B1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科学兴趣与科学态度，科学的儿童观、教育观和教师观</w:t>
            </w:r>
          </w:p>
        </w:tc>
        <w:tc>
          <w:tcPr>
            <w:tcW w:w="281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center"/>
          </w:tcPr>
          <w:p w14:paraId="1772D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课程考勤、课堂参与度</w:t>
            </w:r>
          </w:p>
          <w:p w14:paraId="0DE7E0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课后任务完成态度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 w14:paraId="635D1C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15%</w:t>
            </w:r>
          </w:p>
        </w:tc>
      </w:tr>
    </w:tbl>
    <w:p w14:paraId="78FCEEB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  <w:bookmarkStart w:id="0" w:name="_GoBack"/>
      <w:bookmarkEnd w:id="0"/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郭文杰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5C56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0019"/>
    <w:rsid w:val="002B23AD"/>
    <w:rsid w:val="002B5004"/>
    <w:rsid w:val="002C578A"/>
    <w:rsid w:val="002D211E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007B"/>
    <w:rsid w:val="00391A51"/>
    <w:rsid w:val="0039429D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5BD3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4E7"/>
    <w:rsid w:val="00475657"/>
    <w:rsid w:val="00475C85"/>
    <w:rsid w:val="004770DF"/>
    <w:rsid w:val="00481276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3D8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49C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0915"/>
    <w:rsid w:val="008C2F3A"/>
    <w:rsid w:val="008C6957"/>
    <w:rsid w:val="008D1EC4"/>
    <w:rsid w:val="008D2640"/>
    <w:rsid w:val="008D2E8A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738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54B8"/>
    <w:rsid w:val="00BC622E"/>
    <w:rsid w:val="00BD2AE6"/>
    <w:rsid w:val="00BD7A3F"/>
    <w:rsid w:val="00BE1F18"/>
    <w:rsid w:val="00BE1F39"/>
    <w:rsid w:val="00BE747E"/>
    <w:rsid w:val="00BE7EFB"/>
    <w:rsid w:val="00BF7135"/>
    <w:rsid w:val="00C04815"/>
    <w:rsid w:val="00C063AF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4256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B6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0CD3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612"/>
    <w:rsid w:val="00FB4AE3"/>
    <w:rsid w:val="00FC2334"/>
    <w:rsid w:val="00FD1B13"/>
    <w:rsid w:val="00FD313C"/>
    <w:rsid w:val="00FE319F"/>
    <w:rsid w:val="00FE6709"/>
    <w:rsid w:val="00FF2D60"/>
    <w:rsid w:val="0250298D"/>
    <w:rsid w:val="05701B94"/>
    <w:rsid w:val="0B02141F"/>
    <w:rsid w:val="0DB76A4A"/>
    <w:rsid w:val="199D2E85"/>
    <w:rsid w:val="1B9B294B"/>
    <w:rsid w:val="2E59298A"/>
    <w:rsid w:val="37E50B00"/>
    <w:rsid w:val="49DF08B3"/>
    <w:rsid w:val="62F446FC"/>
    <w:rsid w:val="65310993"/>
    <w:rsid w:val="6E256335"/>
    <w:rsid w:val="700912C5"/>
    <w:rsid w:val="70357BF9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986</Words>
  <Characters>1118</Characters>
  <Lines>1</Lines>
  <Paragraphs>1</Paragraphs>
  <TotalTime>1</TotalTime>
  <ScaleCrop>false</ScaleCrop>
  <LinksUpToDate>false</LinksUpToDate>
  <CharactersWithSpaces>1162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2024-03-15T12:48:00Z</dcterms:created>
  <dc:creator>*****</dc:creator>
  <cp:lastModifiedBy>WPS USER</cp:lastModifiedBy>
  <cp:lastPrinted>2015-03-18T03:45:00Z</cp:lastPrinted>
  <dcterms:modified xsi:type="dcterms:W3CDTF">2026-03-08T08:57:34Z</dcterms:modified>
  <dc:title>上海建桥学院教学进度计划表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eyJoZGlkIjoiODViY2JkMjU3NGYzZTEwMzZmMGFkZWViYmNkYWU3NDIiLCJ1c2VySWQiOiI0MjIzMzQ1MTQifQ==</vt:lpwstr>
  </property>
  <property fmtid="{D5CDD505-2E9C-101B-9397-08002B2CF9AE}" pid="4" name="ICV">
    <vt:lpwstr>1D1E681C26A64317B9E67D353487A905_12</vt:lpwstr>
  </property>
</Properties>
</file>