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D356F">
      <w:pPr>
        <w:jc w:val="center"/>
        <w:rPr>
          <w:rFonts w:ascii="黑体" w:hAnsi="黑体" w:eastAsia="黑体"/>
          <w:bCs/>
          <w:sz w:val="32"/>
          <w:szCs w:val="32"/>
        </w:rPr>
      </w:pPr>
      <w:r>
        <w:rPr>
          <w:rFonts w:hint="eastAsia" w:ascii="黑体" w:hAnsi="黑体" w:eastAsia="黑体"/>
          <w:bCs/>
          <w:sz w:val="32"/>
          <w:szCs w:val="32"/>
        </w:rPr>
        <w:t>本科课程教学大纲（理论课）</w:t>
      </w:r>
    </w:p>
    <w:p w14:paraId="392087BB">
      <w:pPr>
        <w:pStyle w:val="16"/>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B0D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D79A942">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369565A6">
            <w:pPr>
              <w:widowControl w:val="0"/>
              <w:jc w:val="left"/>
              <w:rPr>
                <w:color w:val="000000" w:themeColor="text1"/>
                <w:sz w:val="21"/>
                <w:szCs w:val="21"/>
              </w:rPr>
            </w:pPr>
            <w:r>
              <w:rPr>
                <w:rFonts w:hint="eastAsia" w:ascii="黑体" w:hAnsi="黑体" w:eastAsia="黑体"/>
                <w:color w:val="000000" w:themeColor="text1"/>
                <w:sz w:val="21"/>
                <w:szCs w:val="21"/>
              </w:rPr>
              <w:t>（中文）高等数学基础</w:t>
            </w:r>
          </w:p>
        </w:tc>
      </w:tr>
      <w:tr w14:paraId="4852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EC31F40">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5A939144">
            <w:pPr>
              <w:widowControl w:val="0"/>
              <w:jc w:val="left"/>
              <w:rPr>
                <w:color w:val="000000" w:themeColor="text1"/>
                <w:sz w:val="21"/>
                <w:szCs w:val="21"/>
              </w:rPr>
            </w:pPr>
            <w:r>
              <w:rPr>
                <w:rFonts w:hint="eastAsia" w:ascii="黑体" w:hAnsi="黑体" w:eastAsia="黑体"/>
                <w:color w:val="000000" w:themeColor="text1"/>
                <w:sz w:val="21"/>
                <w:szCs w:val="21"/>
              </w:rPr>
              <w:t>（英文）Fundamentals of advanced mathematics</w:t>
            </w:r>
          </w:p>
        </w:tc>
      </w:tr>
      <w:tr w14:paraId="318E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23289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2ED9BFB3">
            <w:pPr>
              <w:widowControl w:val="0"/>
              <w:jc w:val="center"/>
              <w:rPr>
                <w:rFonts w:ascii="黑体" w:hAnsi="黑体" w:eastAsia="黑体"/>
                <w:color w:val="000000" w:themeColor="text1"/>
                <w:sz w:val="21"/>
                <w:szCs w:val="21"/>
              </w:rPr>
            </w:pPr>
            <w:r>
              <w:rPr>
                <w:color w:val="000000"/>
                <w:sz w:val="20"/>
                <w:szCs w:val="20"/>
              </w:rPr>
              <w:t>2138065</w:t>
            </w:r>
          </w:p>
        </w:tc>
        <w:tc>
          <w:tcPr>
            <w:tcW w:w="2126" w:type="dxa"/>
            <w:gridSpan w:val="2"/>
            <w:vAlign w:val="center"/>
          </w:tcPr>
          <w:p w14:paraId="29FFAEE9">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11BF29C7">
            <w:pPr>
              <w:widowControl w:val="0"/>
              <w:jc w:val="center"/>
              <w:rPr>
                <w:rFonts w:hint="eastAsia" w:eastAsia="宋体"/>
                <w:color w:val="000000" w:themeColor="text1"/>
                <w:sz w:val="21"/>
                <w:szCs w:val="21"/>
                <w:lang w:eastAsia="zh-CN"/>
              </w:rPr>
            </w:pPr>
            <w:r>
              <w:rPr>
                <w:rFonts w:hint="eastAsia"/>
                <w:color w:val="000000" w:themeColor="text1"/>
                <w:sz w:val="21"/>
                <w:szCs w:val="21"/>
                <w:lang w:val="en-US" w:eastAsia="zh-CN"/>
              </w:rPr>
              <w:t>1</w:t>
            </w:r>
          </w:p>
        </w:tc>
      </w:tr>
      <w:tr w14:paraId="1614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2D6107D">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2B019756">
            <w:pPr>
              <w:widowControl w:val="0"/>
              <w:jc w:val="center"/>
              <w:rPr>
                <w:rFonts w:hint="default" w:ascii="Times New Roman" w:hAnsi="Times New Roman" w:eastAsia="宋体"/>
                <w:color w:val="000000" w:themeColor="text1"/>
                <w:sz w:val="21"/>
                <w:szCs w:val="21"/>
                <w:lang w:val="en-US" w:eastAsia="zh-CN"/>
              </w:rPr>
            </w:pPr>
            <w:r>
              <w:rPr>
                <w:rFonts w:hint="eastAsia" w:ascii="Times New Roman" w:hAnsi="Times New Roman"/>
                <w:color w:val="000000" w:themeColor="text1"/>
                <w:sz w:val="21"/>
                <w:szCs w:val="21"/>
                <w:lang w:val="en-US" w:eastAsia="zh-CN"/>
              </w:rPr>
              <w:t>16</w:t>
            </w:r>
          </w:p>
        </w:tc>
        <w:tc>
          <w:tcPr>
            <w:tcW w:w="1272" w:type="dxa"/>
            <w:vAlign w:val="center"/>
          </w:tcPr>
          <w:p w14:paraId="54B409CD">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03C940F8">
            <w:pPr>
              <w:widowControl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16</w:t>
            </w:r>
          </w:p>
        </w:tc>
        <w:tc>
          <w:tcPr>
            <w:tcW w:w="1413" w:type="dxa"/>
            <w:gridSpan w:val="2"/>
            <w:vAlign w:val="center"/>
          </w:tcPr>
          <w:p w14:paraId="18D9DBA2">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60195D9E">
            <w:pPr>
              <w:widowControl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0</w:t>
            </w:r>
          </w:p>
        </w:tc>
      </w:tr>
      <w:tr w14:paraId="76AD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23D3E4">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6B951D72">
            <w:pPr>
              <w:widowControl w:val="0"/>
              <w:jc w:val="center"/>
              <w:rPr>
                <w:rFonts w:ascii="黑体" w:hAnsi="黑体" w:eastAsia="黑体"/>
                <w:color w:val="000000" w:themeColor="text1"/>
                <w:sz w:val="21"/>
                <w:szCs w:val="21"/>
              </w:rPr>
            </w:pPr>
            <w:r>
              <w:rPr>
                <w:rFonts w:hint="eastAsia"/>
                <w:bCs/>
                <w:color w:val="000000"/>
                <w:sz w:val="20"/>
                <w:szCs w:val="20"/>
              </w:rPr>
              <w:t>教育学院</w:t>
            </w:r>
          </w:p>
        </w:tc>
        <w:tc>
          <w:tcPr>
            <w:tcW w:w="2126" w:type="dxa"/>
            <w:gridSpan w:val="2"/>
            <w:vAlign w:val="center"/>
          </w:tcPr>
          <w:p w14:paraId="08FF1B4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2E5B13E4">
            <w:pPr>
              <w:widowControl w:val="0"/>
              <w:jc w:val="center"/>
              <w:rPr>
                <w:color w:val="000000" w:themeColor="text1"/>
                <w:sz w:val="21"/>
                <w:szCs w:val="21"/>
              </w:rPr>
            </w:pPr>
            <w:r>
              <w:rPr>
                <w:rFonts w:hint="eastAsia"/>
                <w:color w:val="000000"/>
                <w:sz w:val="20"/>
                <w:szCs w:val="20"/>
              </w:rPr>
              <w:t>全校本专科各专业</w:t>
            </w:r>
          </w:p>
        </w:tc>
      </w:tr>
      <w:tr w14:paraId="3CE7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F7A3B83">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0BF71F63">
            <w:pPr>
              <w:widowControl w:val="0"/>
              <w:jc w:val="center"/>
              <w:rPr>
                <w:color w:val="000000" w:themeColor="text1"/>
                <w:sz w:val="21"/>
                <w:szCs w:val="21"/>
              </w:rPr>
            </w:pPr>
            <w:r>
              <w:rPr>
                <w:rFonts w:hint="eastAsia"/>
                <w:color w:val="000000"/>
                <w:sz w:val="20"/>
                <w:szCs w:val="20"/>
              </w:rPr>
              <w:t>核心素养类选修课</w:t>
            </w:r>
          </w:p>
        </w:tc>
        <w:tc>
          <w:tcPr>
            <w:tcW w:w="2126" w:type="dxa"/>
            <w:gridSpan w:val="2"/>
            <w:vAlign w:val="center"/>
          </w:tcPr>
          <w:p w14:paraId="55A3C3B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30EE5D43">
            <w:pPr>
              <w:widowControl w:val="0"/>
              <w:jc w:val="center"/>
              <w:rPr>
                <w:color w:val="000000" w:themeColor="text1"/>
                <w:sz w:val="21"/>
                <w:szCs w:val="21"/>
              </w:rPr>
            </w:pPr>
            <w:r>
              <w:rPr>
                <w:rFonts w:hint="eastAsia" w:ascii="Times New Roman" w:hAnsi="Times New Roman"/>
                <w:color w:val="000000"/>
                <w:sz w:val="21"/>
                <w:szCs w:val="21"/>
              </w:rPr>
              <w:t>考查</w:t>
            </w:r>
          </w:p>
        </w:tc>
      </w:tr>
      <w:tr w14:paraId="2F1A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09524CF">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2B9F0207">
            <w:pPr>
              <w:widowControl w:val="0"/>
              <w:snapToGrid w:val="0"/>
              <w:spacing w:line="288" w:lineRule="auto"/>
              <w:jc w:val="both"/>
              <w:rPr>
                <w:color w:val="000000"/>
                <w:szCs w:val="21"/>
              </w:rPr>
            </w:pPr>
            <w:r>
              <w:rPr>
                <w:rFonts w:hint="eastAsia"/>
                <w:color w:val="000000"/>
                <w:sz w:val="20"/>
                <w:szCs w:val="20"/>
              </w:rPr>
              <w:t>高等</w:t>
            </w:r>
            <w:r>
              <w:rPr>
                <w:rFonts w:hint="eastAsia"/>
                <w:color w:val="000000"/>
                <w:sz w:val="20"/>
                <w:szCs w:val="20"/>
                <w:lang w:val="zh-CN"/>
              </w:rPr>
              <w:t xml:space="preserve">数学基础 </w:t>
            </w: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高等数学，高教出版社，同济大学数学系编写；高等数学及其应用，同济大学数学系编写；微积分，中国人民大学出版社出版。</w:t>
            </w:r>
            <w:r>
              <w:rPr>
                <w:color w:val="000000"/>
                <w:sz w:val="20"/>
                <w:szCs w:val="20"/>
              </w:rPr>
              <w:t>】</w:t>
            </w:r>
          </w:p>
          <w:p w14:paraId="177BD25C">
            <w:pPr>
              <w:widowControl w:val="0"/>
              <w:jc w:val="center"/>
              <w:rPr>
                <w:rFonts w:ascii="Times New Roman" w:hAnsi="Times New Roman"/>
                <w:color w:val="000000" w:themeColor="text1"/>
                <w:sz w:val="21"/>
                <w:szCs w:val="21"/>
              </w:rPr>
            </w:pPr>
          </w:p>
        </w:tc>
        <w:tc>
          <w:tcPr>
            <w:tcW w:w="1413" w:type="dxa"/>
            <w:gridSpan w:val="2"/>
            <w:vAlign w:val="center"/>
          </w:tcPr>
          <w:p w14:paraId="4B54B6B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3BEB055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4D57252D">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0729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1FD8F7C">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3A56F959">
            <w:pPr>
              <w:pStyle w:val="14"/>
              <w:widowControl w:val="0"/>
              <w:jc w:val="both"/>
            </w:pPr>
            <w:r>
              <w:rPr>
                <w:rFonts w:hint="eastAsia"/>
              </w:rPr>
              <w:t>无</w:t>
            </w:r>
          </w:p>
        </w:tc>
      </w:tr>
      <w:tr w14:paraId="0B1B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tcBorders>
            <w:shd w:val="clear" w:color="auto" w:fill="auto"/>
            <w:vAlign w:val="center"/>
          </w:tcPr>
          <w:p w14:paraId="263975EF">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233C7985">
            <w:pPr>
              <w:widowControl w:val="0"/>
              <w:spacing w:line="276" w:lineRule="auto"/>
              <w:ind w:firstLine="400" w:firstLineChars="200"/>
              <w:jc w:val="both"/>
              <w:rPr>
                <w:color w:val="000000"/>
                <w:sz w:val="20"/>
                <w:szCs w:val="20"/>
              </w:rPr>
            </w:pPr>
            <w:r>
              <w:rPr>
                <w:rFonts w:hint="eastAsia"/>
                <w:color w:val="000000"/>
                <w:sz w:val="20"/>
                <w:szCs w:val="20"/>
              </w:rPr>
              <w:t>高等数学以微积分学为核心内容。微积分奠定了现代数学的基础，给数学注入了旺盛的生命力，极大地推动了数学的发展，同时也极大地推动了天文学、生物学、经济学、工程学等的发展，并且在这些学科中有着广泛的应用。因此高等数学是大学各个专业重要的一门基础课程，同时也是大学最难学的一门基础课程。</w:t>
            </w:r>
          </w:p>
          <w:p w14:paraId="1B73F9AE">
            <w:pPr>
              <w:widowControl w:val="0"/>
              <w:spacing w:line="276" w:lineRule="auto"/>
              <w:ind w:firstLine="400" w:firstLineChars="200"/>
              <w:jc w:val="both"/>
              <w:rPr>
                <w:color w:val="000000"/>
                <w:sz w:val="20"/>
                <w:szCs w:val="20"/>
              </w:rPr>
            </w:pPr>
            <w:r>
              <w:rPr>
                <w:color w:val="000000"/>
                <w:sz w:val="20"/>
                <w:szCs w:val="20"/>
              </w:rPr>
              <w:t xml:space="preserve"> </w:t>
            </w:r>
            <w:r>
              <w:rPr>
                <w:rFonts w:hint="eastAsia"/>
                <w:color w:val="000000"/>
                <w:sz w:val="20"/>
                <w:szCs w:val="20"/>
              </w:rPr>
              <w:t>部分同学在学习高等数学感到有一定的困难。一方面由于高等数学用到好多的高中数学的知识，这部分知识由于学过时间较长而忘记，而在高等数学课程中只是简单的提及这部分高中数学的知识。另外一方面高等数学的概念多，抽象不好理解，学完高等数学后不知道有什么实际的用处。 我们在学生学完一学期的高等数学课之后，开设这样一门高等数学基础课程。 这门课程的内容主要有两方面：一方面介绍部分高中数学的内容，这些内容在高等数学上册和以后的高等数学下册中经常用到。另外一方面介绍一下高等数学的基本思想方法及其应用，主要从高等数学的应用方面来重新介绍一下高等数学，让学生了解这门课是应用性非常广泛的学问。而不是单纯的抽象数学符号运算。这样做的目的有两个：一方面为高等数学没有学好和学习有困难的学生提供一个复习高中数学和高等数学的机会。另外一方面对于高等数学的知识从应用的角度给你重新的理解和学习，提高学生的学习积极性和兴趣。</w:t>
            </w:r>
          </w:p>
          <w:p w14:paraId="7A8E4C6F">
            <w:pPr>
              <w:widowControl w:val="0"/>
              <w:spacing w:line="276" w:lineRule="auto"/>
              <w:ind w:firstLine="400" w:firstLineChars="200"/>
              <w:jc w:val="both"/>
            </w:pPr>
            <w:r>
              <w:rPr>
                <w:rFonts w:hint="eastAsia"/>
                <w:color w:val="000000"/>
                <w:sz w:val="20"/>
                <w:szCs w:val="20"/>
              </w:rPr>
              <w:t>通过本课程的学习，让学生复习一下高中的部分数学知识，熟悉各种函数的性质及其运算技巧，了解高等数学的基本方法和思想。为进一步学好高等数学知识打下坚实的基础。</w:t>
            </w:r>
          </w:p>
        </w:tc>
      </w:tr>
      <w:tr w14:paraId="15E2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45145BE3">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517AE240">
            <w:pPr>
              <w:widowControl w:val="0"/>
              <w:spacing w:line="276" w:lineRule="auto"/>
              <w:ind w:firstLine="400" w:firstLineChars="200"/>
              <w:jc w:val="both"/>
            </w:pPr>
            <w:r>
              <w:rPr>
                <w:rFonts w:hint="eastAsia"/>
                <w:color w:val="000000"/>
                <w:sz w:val="20"/>
                <w:szCs w:val="20"/>
              </w:rPr>
              <w:t>高等数学是大学生必修的基础课程，对于初高中数学基础相对比较薄弱的学生，接触到高等数学的知识后，感觉学习比较困难，没有充分掌握高等数学的知识。在学习过程中会逐渐失去学习兴趣和信心。本课程从高等数学用到比较多的高中数学的知识讲起，让学生循序渐进的逐步过渡到高等数学的学习中。重新拾起学生学习高等数学的兴趣和信心。课程适合基础比较薄弱，学习高等数学有困难，或者进一步想更好学习好高等数学的学生选修。</w:t>
            </w:r>
          </w:p>
        </w:tc>
      </w:tr>
      <w:tr w14:paraId="3AD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D3C93C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7489FCB9">
            <w:pPr>
              <w:widowControl w:val="0"/>
              <w:jc w:val="right"/>
              <w:rPr>
                <w:rFonts w:ascii="黑体" w:hAnsi="黑体" w:eastAsia="黑体"/>
                <w:color w:val="000000" w:themeColor="text1"/>
                <w:sz w:val="21"/>
                <w:szCs w:val="21"/>
              </w:rPr>
            </w:pPr>
            <w:r>
              <w:rPr>
                <w:rFonts w:hint="eastAsia"/>
                <w:sz w:val="21"/>
                <w:szCs w:val="21"/>
                <w:lang w:val="en-US" w:eastAsia="zh-CN"/>
              </w:rPr>
              <w:t>范庆斋</w:t>
            </w:r>
            <w:r>
              <w:rPr>
                <w:rFonts w:hint="eastAsia"/>
                <w:sz w:val="21"/>
                <w:szCs w:val="21"/>
              </w:rPr>
              <w:t>（签名）</w:t>
            </w:r>
          </w:p>
        </w:tc>
        <w:tc>
          <w:tcPr>
            <w:tcW w:w="1425" w:type="dxa"/>
            <w:gridSpan w:val="2"/>
            <w:tcBorders>
              <w:top w:val="double" w:color="auto" w:sz="4" w:space="0"/>
            </w:tcBorders>
            <w:vAlign w:val="center"/>
          </w:tcPr>
          <w:p w14:paraId="64DB9CE1">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2C1A7C80">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p>
        </w:tc>
      </w:tr>
      <w:tr w14:paraId="58EF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DF9B33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78172548">
            <w:pPr>
              <w:widowControl w:val="0"/>
              <w:jc w:val="right"/>
              <w:rPr>
                <w:rFonts w:ascii="黑体" w:hAnsi="黑体" w:eastAsia="黑体"/>
                <w:color w:val="000000" w:themeColor="text1"/>
                <w:sz w:val="21"/>
                <w:szCs w:val="21"/>
              </w:rPr>
            </w:pPr>
            <w:r>
              <w:rPr>
                <w:rFonts w:hint="eastAsia"/>
                <w:sz w:val="21"/>
                <w:szCs w:val="21"/>
              </w:rPr>
              <w:t>（签名）</w:t>
            </w:r>
          </w:p>
        </w:tc>
        <w:tc>
          <w:tcPr>
            <w:tcW w:w="1425" w:type="dxa"/>
            <w:gridSpan w:val="2"/>
            <w:vAlign w:val="center"/>
          </w:tcPr>
          <w:p w14:paraId="491BB8AC">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1D507F3C">
            <w:pPr>
              <w:widowControl w:val="0"/>
              <w:jc w:val="center"/>
              <w:rPr>
                <w:rFonts w:ascii="Times New Roman" w:hAnsi="Times New Roman"/>
                <w:color w:val="000000"/>
                <w:sz w:val="21"/>
                <w:szCs w:val="21"/>
              </w:rPr>
            </w:pPr>
          </w:p>
        </w:tc>
      </w:tr>
      <w:tr w14:paraId="7F6F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599A6E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0CA47084">
            <w:pPr>
              <w:widowControl w:val="0"/>
              <w:jc w:val="right"/>
              <w:rPr>
                <w:rFonts w:ascii="黑体" w:hAnsi="黑体" w:eastAsia="黑体"/>
                <w:color w:val="000000" w:themeColor="text1"/>
                <w:sz w:val="21"/>
                <w:szCs w:val="21"/>
              </w:rPr>
            </w:pPr>
            <w:r>
              <w:rPr>
                <w:rFonts w:hint="eastAsia"/>
                <w:sz w:val="21"/>
                <w:szCs w:val="21"/>
              </w:rPr>
              <w:t>（签名）</w:t>
            </w:r>
          </w:p>
        </w:tc>
        <w:tc>
          <w:tcPr>
            <w:tcW w:w="1425" w:type="dxa"/>
            <w:gridSpan w:val="2"/>
            <w:tcBorders>
              <w:bottom w:val="single" w:color="auto" w:sz="12" w:space="0"/>
            </w:tcBorders>
            <w:vAlign w:val="center"/>
          </w:tcPr>
          <w:p w14:paraId="642435CD">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0B8AA1FE">
            <w:pPr>
              <w:widowControl w:val="0"/>
              <w:jc w:val="center"/>
              <w:rPr>
                <w:rFonts w:ascii="Times New Roman" w:hAnsi="Times New Roman"/>
                <w:color w:val="000000"/>
                <w:sz w:val="21"/>
                <w:szCs w:val="21"/>
              </w:rPr>
            </w:pPr>
          </w:p>
        </w:tc>
      </w:tr>
    </w:tbl>
    <w:p w14:paraId="7B206E2C">
      <w:pPr>
        <w:spacing w:line="100" w:lineRule="exact"/>
        <w:rPr>
          <w:rFonts w:ascii="Arial" w:hAnsi="Arial" w:eastAsia="黑体"/>
        </w:rPr>
      </w:pPr>
      <w:r>
        <w:br w:type="page"/>
      </w:r>
    </w:p>
    <w:p w14:paraId="69A1B4BE">
      <w:pPr>
        <w:pStyle w:val="16"/>
        <w:spacing w:beforeLines="100" w:line="360" w:lineRule="auto"/>
        <w:rPr>
          <w:rFonts w:ascii="黑体" w:hAnsi="宋体"/>
        </w:rPr>
      </w:pPr>
      <w:r>
        <w:rPr>
          <w:rFonts w:hint="eastAsia" w:ascii="黑体" w:hAnsi="宋体"/>
        </w:rPr>
        <w:t>二、课程目标与毕业要求</w:t>
      </w:r>
    </w:p>
    <w:p w14:paraId="39C20EDD">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1529F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4FC68C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20A903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725320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A796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9ED93D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C0FC10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22EADAE">
            <w:pPr>
              <w:pStyle w:val="14"/>
              <w:jc w:val="left"/>
              <w:rPr>
                <w:rFonts w:ascii="宋体" w:hAnsi="宋体"/>
                <w:bCs/>
              </w:rPr>
            </w:pPr>
            <w:r>
              <w:rPr>
                <w:rFonts w:hint="eastAsia" w:ascii="宋体" w:hAnsi="宋体"/>
                <w:bCs/>
              </w:rPr>
              <w:t>集合和函数的初步知识，指数对数函数性质，三角反三角函数性质</w:t>
            </w:r>
          </w:p>
        </w:tc>
      </w:tr>
      <w:tr w14:paraId="321E5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EE45065">
            <w:pPr>
              <w:pStyle w:val="14"/>
              <w:rPr>
                <w:bCs/>
              </w:rPr>
            </w:pPr>
          </w:p>
        </w:tc>
        <w:tc>
          <w:tcPr>
            <w:tcW w:w="764" w:type="dxa"/>
            <w:shd w:val="clear" w:color="auto" w:fill="auto"/>
            <w:vAlign w:val="center"/>
          </w:tcPr>
          <w:p w14:paraId="7377001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C37D744">
            <w:pPr>
              <w:pStyle w:val="14"/>
              <w:jc w:val="left"/>
              <w:rPr>
                <w:rFonts w:ascii="宋体" w:hAnsi="宋体"/>
                <w:bCs/>
              </w:rPr>
            </w:pPr>
            <w:bookmarkStart w:id="6" w:name="_GoBack"/>
            <w:bookmarkEnd w:id="6"/>
            <w:r>
              <w:rPr>
                <w:rFonts w:hint="eastAsia" w:ascii="宋体" w:hAnsi="宋体"/>
                <w:bCs/>
              </w:rPr>
              <w:t>三角反三角函数性质</w:t>
            </w:r>
          </w:p>
        </w:tc>
      </w:tr>
      <w:tr w14:paraId="75260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F35AD1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21A065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9C1CE49">
            <w:pPr>
              <w:pStyle w:val="14"/>
              <w:jc w:val="left"/>
              <w:rPr>
                <w:rFonts w:ascii="宋体" w:hAnsi="宋体"/>
                <w:bCs/>
              </w:rPr>
            </w:pPr>
            <w:r>
              <w:rPr>
                <w:rFonts w:hint="eastAsia" w:ascii="宋体" w:hAnsi="宋体"/>
                <w:bCs/>
              </w:rPr>
              <w:t>微分及其应用</w:t>
            </w:r>
          </w:p>
        </w:tc>
      </w:tr>
      <w:tr w14:paraId="03887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4F9FEDB">
            <w:pPr>
              <w:pStyle w:val="14"/>
              <w:rPr>
                <w:rFonts w:ascii="宋体" w:hAnsi="宋体"/>
              </w:rPr>
            </w:pPr>
          </w:p>
        </w:tc>
        <w:tc>
          <w:tcPr>
            <w:tcW w:w="764" w:type="dxa"/>
            <w:shd w:val="clear" w:color="auto" w:fill="auto"/>
            <w:vAlign w:val="center"/>
          </w:tcPr>
          <w:p w14:paraId="4AD3328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B0AD6E1">
            <w:pPr>
              <w:pStyle w:val="14"/>
              <w:jc w:val="left"/>
              <w:rPr>
                <w:rFonts w:ascii="宋体" w:hAnsi="宋体"/>
                <w:bCs/>
              </w:rPr>
            </w:pPr>
            <w:r>
              <w:rPr>
                <w:rFonts w:hint="eastAsia" w:ascii="宋体" w:hAnsi="宋体"/>
                <w:bCs/>
              </w:rPr>
              <w:t>积分及其应用</w:t>
            </w:r>
          </w:p>
        </w:tc>
      </w:tr>
      <w:tr w14:paraId="0FA71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715DAB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A3DB50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4F122D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BED373D">
            <w:pPr>
              <w:pStyle w:val="14"/>
              <w:jc w:val="left"/>
              <w:rPr>
                <w:rFonts w:ascii="宋体" w:hAnsi="宋体"/>
                <w:bCs/>
              </w:rPr>
            </w:pPr>
            <w:r>
              <w:rPr>
                <w:rFonts w:hint="eastAsia" w:ascii="宋体" w:hAnsi="宋体"/>
                <w:bCs/>
              </w:rPr>
              <w:t>建立数学思维，培养学生严谨科学的学习习惯，较强的自主学习能力</w:t>
            </w:r>
          </w:p>
        </w:tc>
      </w:tr>
      <w:tr w14:paraId="1BA3C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B22094">
            <w:pPr>
              <w:pStyle w:val="14"/>
              <w:rPr>
                <w:rFonts w:ascii="宋体" w:hAnsi="宋体"/>
              </w:rPr>
            </w:pPr>
          </w:p>
        </w:tc>
        <w:tc>
          <w:tcPr>
            <w:tcW w:w="764" w:type="dxa"/>
            <w:shd w:val="clear" w:color="auto" w:fill="auto"/>
            <w:vAlign w:val="center"/>
          </w:tcPr>
          <w:p w14:paraId="7992D29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0B81E86">
            <w:pPr>
              <w:pStyle w:val="14"/>
              <w:jc w:val="left"/>
              <w:rPr>
                <w:rFonts w:ascii="宋体" w:hAnsi="宋体"/>
                <w:bCs/>
              </w:rPr>
            </w:pPr>
            <w:r>
              <w:rPr>
                <w:rFonts w:hint="eastAsia"/>
                <w:bCs/>
              </w:rPr>
              <w:t>课程与德育、智育相结合</w:t>
            </w:r>
            <w:r>
              <w:rPr>
                <w:rFonts w:hint="eastAsia" w:ascii="宋体" w:hAnsi="宋体"/>
                <w:bCs/>
              </w:rPr>
              <w:t>，明确爱国、诚信、敬业、友爱的精神，建立符合社会主义道德要求的价值观和爱党爱国奉献社会的理想信念。</w:t>
            </w:r>
          </w:p>
        </w:tc>
      </w:tr>
    </w:tbl>
    <w:p w14:paraId="095C2412">
      <w:pPr>
        <w:pStyle w:val="17"/>
        <w:spacing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B2204B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F851969">
            <w:pPr>
              <w:pStyle w:val="14"/>
              <w:widowControl w:val="0"/>
              <w:jc w:val="left"/>
              <w:rPr>
                <w:rFonts w:ascii="宋体" w:hAnsi="宋体"/>
                <w:bCs/>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积极服务他人、服务社会、诚信尽责、爱岗敬业。诚信尽责，为人诚实，信守承诺，勤奋努力，精益求精，勇于担责。</w:t>
            </w:r>
          </w:p>
        </w:tc>
      </w:tr>
      <w:tr w14:paraId="431049B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F79858A">
            <w:pPr>
              <w:pStyle w:val="14"/>
              <w:widowControl w:val="0"/>
              <w:jc w:val="left"/>
              <w:rPr>
                <w:rFonts w:ascii="宋体" w:hAnsi="宋体"/>
                <w:bCs/>
              </w:rPr>
            </w:pPr>
            <w:r>
              <w:rPr>
                <w:rFonts w:cs="Times New Roman"/>
              </w:rPr>
              <w:t>LO4自主学习：能根据环境需要确定自己的学习目标，并主动地通过搜集信息、分析信息、讨论、实践、质疑、创造等方法来实现学习目标。能搜集、获取达到目标所需要的学习资源，实施学习计划、反思学习计划、持续改进，达到学习目标。</w:t>
            </w:r>
          </w:p>
        </w:tc>
      </w:tr>
      <w:tr w14:paraId="219EFC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A415FB">
            <w:pPr>
              <w:pStyle w:val="14"/>
              <w:widowControl w:val="0"/>
              <w:jc w:val="left"/>
              <w:rPr>
                <w:rFonts w:cs="Times New Roman"/>
              </w:rPr>
            </w:pPr>
            <w:r>
              <w:rPr>
                <w:rFonts w:cs="Times New Roman"/>
              </w:rPr>
              <w:t>LO6协同创新</w:t>
            </w:r>
            <w:r>
              <w:rPr>
                <w:rFonts w:hint="eastAsia" w:cs="Times New Roman"/>
              </w:rPr>
              <w:t>：同群体保持良好的合作关系，做集体中的积极成员，善于自我管理和团队管理；善于从多个维度思考问题，利用自己的知识与实践来提出新设想。</w:t>
            </w:r>
          </w:p>
          <w:p w14:paraId="3AB16FE3">
            <w:pPr>
              <w:pStyle w:val="14"/>
              <w:widowControl w:val="0"/>
              <w:ind w:left="360"/>
              <w:jc w:val="left"/>
              <w:rPr>
                <w:rFonts w:ascii="宋体" w:hAnsi="宋体"/>
                <w:bCs/>
              </w:rPr>
            </w:pPr>
          </w:p>
        </w:tc>
      </w:tr>
    </w:tbl>
    <w:p w14:paraId="359660BA">
      <w:pPr>
        <w:pStyle w:val="17"/>
        <w:spacing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FE0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4640834">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202BCB3">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2C395886">
            <w:pPr>
              <w:pStyle w:val="13"/>
              <w:rPr>
                <w:szCs w:val="16"/>
              </w:rPr>
            </w:pPr>
            <w:r>
              <w:rPr>
                <w:rFonts w:hint="eastAsia"/>
                <w:szCs w:val="16"/>
              </w:rPr>
              <w:t>支撑度</w:t>
            </w:r>
          </w:p>
        </w:tc>
        <w:tc>
          <w:tcPr>
            <w:tcW w:w="4763" w:type="dxa"/>
            <w:tcBorders>
              <w:top w:val="single" w:color="auto" w:sz="12" w:space="0"/>
            </w:tcBorders>
            <w:vAlign w:val="center"/>
          </w:tcPr>
          <w:p w14:paraId="7EC568EC">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162BB704">
            <w:pPr>
              <w:pStyle w:val="13"/>
              <w:rPr>
                <w:szCs w:val="16"/>
              </w:rPr>
            </w:pPr>
            <w:r>
              <w:rPr>
                <w:rFonts w:hint="eastAsia"/>
                <w:szCs w:val="16"/>
              </w:rPr>
              <w:t>对指标点的贡献度</w:t>
            </w:r>
          </w:p>
        </w:tc>
      </w:tr>
      <w:tr w14:paraId="1D73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BB5D188">
            <w:pPr>
              <w:pStyle w:val="14"/>
            </w:pPr>
            <w:r>
              <w:rPr>
                <w:rFonts w:cs="Times New Roman"/>
              </w:rPr>
              <w:t>LO1</w:t>
            </w:r>
          </w:p>
        </w:tc>
        <w:tc>
          <w:tcPr>
            <w:tcW w:w="794" w:type="dxa"/>
            <w:vMerge w:val="restart"/>
            <w:tcBorders>
              <w:left w:val="single" w:color="auto" w:sz="4" w:space="0"/>
            </w:tcBorders>
            <w:vAlign w:val="center"/>
          </w:tcPr>
          <w:p w14:paraId="0A139401">
            <w:pPr>
              <w:pStyle w:val="14"/>
              <w:rPr>
                <w:rFonts w:cs="Times New Roman"/>
                <w:bCs/>
              </w:rPr>
            </w:pPr>
            <w:r>
              <w:rPr>
                <w:rFonts w:hint="eastAsia" w:cs="Times New Roman"/>
              </w:rPr>
              <w:t>④</w:t>
            </w:r>
          </w:p>
        </w:tc>
        <w:tc>
          <w:tcPr>
            <w:tcW w:w="794" w:type="dxa"/>
            <w:vMerge w:val="restart"/>
            <w:tcBorders>
              <w:right w:val="double" w:color="auto" w:sz="4" w:space="0"/>
            </w:tcBorders>
            <w:shd w:val="clear" w:color="auto" w:fill="auto"/>
            <w:vAlign w:val="center"/>
          </w:tcPr>
          <w:p w14:paraId="665F3F20">
            <w:pPr>
              <w:pStyle w:val="14"/>
              <w:rPr>
                <w:rFonts w:ascii="宋体" w:hAnsi="宋体"/>
              </w:rPr>
            </w:pPr>
            <w:r>
              <w:rPr>
                <w:rFonts w:hint="eastAsia" w:ascii="宋体" w:hAnsi="宋体"/>
              </w:rPr>
              <w:t>M</w:t>
            </w:r>
          </w:p>
        </w:tc>
        <w:tc>
          <w:tcPr>
            <w:tcW w:w="4763" w:type="dxa"/>
            <w:vAlign w:val="center"/>
          </w:tcPr>
          <w:p w14:paraId="6BBEBDD2">
            <w:pPr>
              <w:pStyle w:val="14"/>
              <w:rPr>
                <w:rFonts w:ascii="宋体" w:hAnsi="宋体"/>
                <w:bCs/>
              </w:rPr>
            </w:pPr>
            <w:r>
              <w:rPr>
                <w:rFonts w:hint="eastAsia"/>
                <w:bCs/>
              </w:rPr>
              <w:t>课程与德育、智育相结合</w:t>
            </w:r>
            <w:r>
              <w:rPr>
                <w:rFonts w:hint="eastAsia" w:ascii="宋体" w:hAnsi="宋体"/>
                <w:bCs/>
              </w:rPr>
              <w:t>，明确爱国、诚信、敬业、友爱的精神，建立符合社会主义道德要求的价值观和爱党爱国奉献社会的理想信念。</w:t>
            </w:r>
          </w:p>
        </w:tc>
        <w:tc>
          <w:tcPr>
            <w:tcW w:w="1348" w:type="dxa"/>
            <w:tcBorders>
              <w:right w:val="single" w:color="auto" w:sz="12" w:space="0"/>
            </w:tcBorders>
            <w:vAlign w:val="center"/>
          </w:tcPr>
          <w:p w14:paraId="4D71CDFA">
            <w:pPr>
              <w:pStyle w:val="14"/>
              <w:rPr>
                <w:rFonts w:ascii="宋体" w:hAnsi="宋体"/>
                <w:bCs/>
              </w:rPr>
            </w:pPr>
            <w:r>
              <w:rPr>
                <w:rFonts w:hint="eastAsia" w:ascii="宋体" w:hAnsi="宋体"/>
                <w:bCs/>
              </w:rPr>
              <w:t>100%</w:t>
            </w:r>
          </w:p>
        </w:tc>
      </w:tr>
      <w:tr w14:paraId="67C6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 w:hRule="atLeast"/>
          <w:jc w:val="center"/>
        </w:trPr>
        <w:tc>
          <w:tcPr>
            <w:tcW w:w="777" w:type="dxa"/>
            <w:vMerge w:val="continue"/>
            <w:tcBorders>
              <w:left w:val="single" w:color="auto" w:sz="12" w:space="0"/>
              <w:right w:val="single" w:color="auto" w:sz="4" w:space="0"/>
            </w:tcBorders>
            <w:shd w:val="clear" w:color="auto" w:fill="auto"/>
            <w:vAlign w:val="center"/>
          </w:tcPr>
          <w:p w14:paraId="78CC2BAB">
            <w:pPr>
              <w:pStyle w:val="14"/>
              <w:rPr>
                <w:b/>
              </w:rPr>
            </w:pPr>
          </w:p>
        </w:tc>
        <w:tc>
          <w:tcPr>
            <w:tcW w:w="794" w:type="dxa"/>
            <w:vMerge w:val="continue"/>
            <w:tcBorders>
              <w:left w:val="single" w:color="auto" w:sz="4" w:space="0"/>
            </w:tcBorders>
            <w:vAlign w:val="center"/>
          </w:tcPr>
          <w:p w14:paraId="327401AF">
            <w:pPr>
              <w:pStyle w:val="14"/>
              <w:rPr>
                <w:bCs/>
              </w:rPr>
            </w:pPr>
          </w:p>
        </w:tc>
        <w:tc>
          <w:tcPr>
            <w:tcW w:w="794" w:type="dxa"/>
            <w:vMerge w:val="continue"/>
            <w:tcBorders>
              <w:right w:val="double" w:color="auto" w:sz="4" w:space="0"/>
            </w:tcBorders>
            <w:shd w:val="clear" w:color="auto" w:fill="auto"/>
            <w:vAlign w:val="center"/>
          </w:tcPr>
          <w:p w14:paraId="50F4626D">
            <w:pPr>
              <w:pStyle w:val="14"/>
              <w:rPr>
                <w:rFonts w:ascii="宋体" w:hAnsi="宋体"/>
              </w:rPr>
            </w:pPr>
          </w:p>
        </w:tc>
        <w:tc>
          <w:tcPr>
            <w:tcW w:w="4763" w:type="dxa"/>
            <w:vAlign w:val="center"/>
          </w:tcPr>
          <w:p w14:paraId="746E9472">
            <w:pPr>
              <w:pStyle w:val="14"/>
              <w:rPr>
                <w:rFonts w:ascii="宋体" w:hAnsi="宋体"/>
                <w:bCs/>
              </w:rPr>
            </w:pPr>
          </w:p>
        </w:tc>
        <w:tc>
          <w:tcPr>
            <w:tcW w:w="1348" w:type="dxa"/>
            <w:tcBorders>
              <w:right w:val="single" w:color="auto" w:sz="12" w:space="0"/>
            </w:tcBorders>
            <w:vAlign w:val="center"/>
          </w:tcPr>
          <w:p w14:paraId="636AE8E8">
            <w:pPr>
              <w:pStyle w:val="14"/>
              <w:rPr>
                <w:rFonts w:ascii="宋体" w:hAnsi="宋体"/>
                <w:bCs/>
              </w:rPr>
            </w:pPr>
          </w:p>
        </w:tc>
      </w:tr>
      <w:tr w14:paraId="6405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4C0B973">
            <w:pPr>
              <w:pStyle w:val="14"/>
            </w:pPr>
            <w:r>
              <w:rPr>
                <w:rFonts w:cs="Times New Roman"/>
              </w:rPr>
              <w:t>LO</w:t>
            </w:r>
            <w:r>
              <w:rPr>
                <w:rFonts w:hint="eastAsia" w:cs="Times New Roman"/>
              </w:rPr>
              <w:t>4</w:t>
            </w:r>
          </w:p>
        </w:tc>
        <w:tc>
          <w:tcPr>
            <w:tcW w:w="794" w:type="dxa"/>
            <w:vMerge w:val="restart"/>
            <w:tcBorders>
              <w:left w:val="single" w:color="auto" w:sz="4" w:space="0"/>
            </w:tcBorders>
            <w:vAlign w:val="center"/>
          </w:tcPr>
          <w:p w14:paraId="19A23ECD">
            <w:pPr>
              <w:pStyle w:val="14"/>
              <w:rPr>
                <w:rFonts w:cs="Times New Roman"/>
                <w:bCs/>
              </w:rPr>
            </w:pPr>
            <w:r>
              <w:rPr>
                <w:rFonts w:cs="Times New Roman"/>
              </w:rPr>
              <w:t>②</w:t>
            </w:r>
          </w:p>
        </w:tc>
        <w:tc>
          <w:tcPr>
            <w:tcW w:w="794" w:type="dxa"/>
            <w:vMerge w:val="restart"/>
            <w:tcBorders>
              <w:right w:val="double" w:color="auto" w:sz="4" w:space="0"/>
            </w:tcBorders>
            <w:shd w:val="clear" w:color="auto" w:fill="auto"/>
            <w:vAlign w:val="center"/>
          </w:tcPr>
          <w:p w14:paraId="3DA17C5B">
            <w:pPr>
              <w:pStyle w:val="14"/>
              <w:rPr>
                <w:rFonts w:ascii="宋体" w:hAnsi="宋体"/>
              </w:rPr>
            </w:pPr>
            <w:r>
              <w:rPr>
                <w:rFonts w:hint="eastAsia" w:ascii="宋体" w:hAnsi="宋体"/>
              </w:rPr>
              <w:t>M</w:t>
            </w:r>
          </w:p>
        </w:tc>
        <w:tc>
          <w:tcPr>
            <w:tcW w:w="4763" w:type="dxa"/>
            <w:vAlign w:val="center"/>
          </w:tcPr>
          <w:p w14:paraId="4665944F">
            <w:pPr>
              <w:pStyle w:val="14"/>
              <w:jc w:val="both"/>
              <w:rPr>
                <w:rFonts w:ascii="宋体" w:hAnsi="宋体"/>
                <w:bCs/>
              </w:rPr>
            </w:pPr>
            <w:r>
              <w:rPr>
                <w:rFonts w:hint="eastAsia" w:ascii="宋体" w:hAnsi="宋体"/>
                <w:bCs/>
              </w:rPr>
              <w:t>理解和掌握常用的数学建模方法。</w:t>
            </w:r>
          </w:p>
        </w:tc>
        <w:tc>
          <w:tcPr>
            <w:tcW w:w="1348" w:type="dxa"/>
            <w:tcBorders>
              <w:right w:val="single" w:color="auto" w:sz="12" w:space="0"/>
            </w:tcBorders>
            <w:vAlign w:val="center"/>
          </w:tcPr>
          <w:p w14:paraId="1743481E">
            <w:pPr>
              <w:pStyle w:val="14"/>
              <w:rPr>
                <w:rFonts w:ascii="宋体" w:hAnsi="宋体"/>
                <w:bCs/>
              </w:rPr>
            </w:pPr>
            <w:r>
              <w:rPr>
                <w:rFonts w:hint="eastAsia" w:ascii="宋体" w:hAnsi="宋体"/>
                <w:bCs/>
              </w:rPr>
              <w:t>70%</w:t>
            </w:r>
          </w:p>
        </w:tc>
      </w:tr>
      <w:tr w14:paraId="7281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9766046">
            <w:pPr>
              <w:pStyle w:val="14"/>
            </w:pPr>
          </w:p>
        </w:tc>
        <w:tc>
          <w:tcPr>
            <w:tcW w:w="794" w:type="dxa"/>
            <w:vMerge w:val="continue"/>
            <w:tcBorders>
              <w:left w:val="single" w:color="auto" w:sz="4" w:space="0"/>
            </w:tcBorders>
            <w:vAlign w:val="center"/>
          </w:tcPr>
          <w:p w14:paraId="4CFB0DEA">
            <w:pPr>
              <w:pStyle w:val="14"/>
              <w:rPr>
                <w:rFonts w:cs="Times New Roman"/>
                <w:bCs/>
              </w:rPr>
            </w:pPr>
          </w:p>
        </w:tc>
        <w:tc>
          <w:tcPr>
            <w:tcW w:w="794" w:type="dxa"/>
            <w:vMerge w:val="continue"/>
            <w:tcBorders>
              <w:right w:val="double" w:color="auto" w:sz="4" w:space="0"/>
            </w:tcBorders>
            <w:shd w:val="clear" w:color="auto" w:fill="auto"/>
            <w:vAlign w:val="center"/>
          </w:tcPr>
          <w:p w14:paraId="32C7D0D9">
            <w:pPr>
              <w:pStyle w:val="14"/>
              <w:rPr>
                <w:rFonts w:ascii="宋体" w:hAnsi="宋体"/>
              </w:rPr>
            </w:pPr>
          </w:p>
        </w:tc>
        <w:tc>
          <w:tcPr>
            <w:tcW w:w="4763" w:type="dxa"/>
            <w:vAlign w:val="center"/>
          </w:tcPr>
          <w:p w14:paraId="4DC21498">
            <w:pPr>
              <w:pStyle w:val="14"/>
              <w:rPr>
                <w:rFonts w:ascii="宋体" w:hAnsi="宋体"/>
                <w:bCs/>
              </w:rPr>
            </w:pPr>
            <w:r>
              <w:rPr>
                <w:rFonts w:hint="eastAsia" w:ascii="宋体" w:hAnsi="宋体"/>
                <w:bCs/>
              </w:rPr>
              <w:t>建立数学思维，培养学生严谨科学的学习习惯，较</w:t>
            </w:r>
          </w:p>
          <w:p w14:paraId="538BC1EC">
            <w:pPr>
              <w:pStyle w:val="14"/>
              <w:jc w:val="both"/>
              <w:rPr>
                <w:rFonts w:ascii="宋体" w:hAnsi="宋体"/>
                <w:bCs/>
              </w:rPr>
            </w:pPr>
            <w:r>
              <w:rPr>
                <w:rFonts w:hint="eastAsia" w:ascii="宋体" w:hAnsi="宋体"/>
                <w:bCs/>
              </w:rPr>
              <w:t>强的自主学习能力。</w:t>
            </w:r>
          </w:p>
        </w:tc>
        <w:tc>
          <w:tcPr>
            <w:tcW w:w="1348" w:type="dxa"/>
            <w:tcBorders>
              <w:right w:val="single" w:color="auto" w:sz="12" w:space="0"/>
            </w:tcBorders>
            <w:vAlign w:val="center"/>
          </w:tcPr>
          <w:p w14:paraId="386672D7">
            <w:pPr>
              <w:pStyle w:val="14"/>
              <w:rPr>
                <w:rFonts w:ascii="宋体" w:hAnsi="宋体"/>
                <w:bCs/>
              </w:rPr>
            </w:pPr>
            <w:r>
              <w:rPr>
                <w:rFonts w:hint="eastAsia" w:ascii="宋体" w:hAnsi="宋体"/>
                <w:bCs/>
              </w:rPr>
              <w:t>30%</w:t>
            </w:r>
          </w:p>
        </w:tc>
      </w:tr>
      <w:tr w14:paraId="435B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3" w:hRule="atLeast"/>
          <w:jc w:val="center"/>
        </w:trPr>
        <w:tc>
          <w:tcPr>
            <w:tcW w:w="777" w:type="dxa"/>
            <w:vMerge w:val="continue"/>
            <w:tcBorders>
              <w:left w:val="single" w:color="auto" w:sz="12" w:space="0"/>
              <w:right w:val="single" w:color="auto" w:sz="4" w:space="0"/>
            </w:tcBorders>
            <w:shd w:val="clear" w:color="auto" w:fill="auto"/>
            <w:vAlign w:val="center"/>
          </w:tcPr>
          <w:p w14:paraId="5C518350">
            <w:pPr>
              <w:pStyle w:val="14"/>
            </w:pPr>
          </w:p>
        </w:tc>
        <w:tc>
          <w:tcPr>
            <w:tcW w:w="794" w:type="dxa"/>
            <w:vMerge w:val="continue"/>
            <w:tcBorders>
              <w:left w:val="single" w:color="auto" w:sz="4" w:space="0"/>
            </w:tcBorders>
            <w:vAlign w:val="center"/>
          </w:tcPr>
          <w:p w14:paraId="2B6BAB5D">
            <w:pPr>
              <w:pStyle w:val="14"/>
              <w:rPr>
                <w:rFonts w:cs="Times New Roman"/>
                <w:bCs/>
              </w:rPr>
            </w:pPr>
          </w:p>
        </w:tc>
        <w:tc>
          <w:tcPr>
            <w:tcW w:w="794" w:type="dxa"/>
            <w:vMerge w:val="continue"/>
            <w:tcBorders>
              <w:right w:val="double" w:color="auto" w:sz="4" w:space="0"/>
            </w:tcBorders>
            <w:shd w:val="clear" w:color="auto" w:fill="auto"/>
            <w:vAlign w:val="center"/>
          </w:tcPr>
          <w:p w14:paraId="6DE9280A">
            <w:pPr>
              <w:pStyle w:val="14"/>
              <w:rPr>
                <w:rFonts w:ascii="宋体" w:hAnsi="宋体"/>
              </w:rPr>
            </w:pPr>
          </w:p>
        </w:tc>
        <w:tc>
          <w:tcPr>
            <w:tcW w:w="4763" w:type="dxa"/>
            <w:vAlign w:val="center"/>
          </w:tcPr>
          <w:p w14:paraId="517089CE">
            <w:pPr>
              <w:pStyle w:val="14"/>
              <w:rPr>
                <w:rFonts w:ascii="宋体" w:hAnsi="宋体"/>
                <w:bCs/>
              </w:rPr>
            </w:pPr>
          </w:p>
        </w:tc>
        <w:tc>
          <w:tcPr>
            <w:tcW w:w="1348" w:type="dxa"/>
            <w:tcBorders>
              <w:right w:val="single" w:color="auto" w:sz="12" w:space="0"/>
            </w:tcBorders>
            <w:vAlign w:val="center"/>
          </w:tcPr>
          <w:p w14:paraId="0549AF4B">
            <w:pPr>
              <w:pStyle w:val="14"/>
              <w:rPr>
                <w:rFonts w:ascii="宋体" w:hAnsi="宋体"/>
                <w:bCs/>
              </w:rPr>
            </w:pPr>
          </w:p>
        </w:tc>
      </w:tr>
      <w:tr w14:paraId="66A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377A926">
            <w:pPr>
              <w:pStyle w:val="14"/>
            </w:pPr>
            <w:r>
              <w:rPr>
                <w:rFonts w:cs="Times New Roman"/>
              </w:rPr>
              <w:t>LO</w:t>
            </w:r>
            <w:r>
              <w:rPr>
                <w:rFonts w:hint="eastAsia" w:cs="Times New Roman"/>
              </w:rPr>
              <w:t>6</w:t>
            </w:r>
          </w:p>
        </w:tc>
        <w:tc>
          <w:tcPr>
            <w:tcW w:w="794" w:type="dxa"/>
            <w:tcBorders>
              <w:left w:val="single" w:color="auto" w:sz="4" w:space="0"/>
              <w:bottom w:val="single" w:color="auto" w:sz="12" w:space="0"/>
            </w:tcBorders>
            <w:vAlign w:val="center"/>
          </w:tcPr>
          <w:p w14:paraId="4D54BA19">
            <w:pPr>
              <w:pStyle w:val="14"/>
              <w:numPr>
                <w:ilvl w:val="0"/>
                <w:numId w:val="1"/>
              </w:numPr>
              <w:rPr>
                <w:rFonts w:cs="Times New Roman"/>
                <w:bCs/>
              </w:rPr>
            </w:pPr>
          </w:p>
        </w:tc>
        <w:tc>
          <w:tcPr>
            <w:tcW w:w="794" w:type="dxa"/>
            <w:tcBorders>
              <w:bottom w:val="single" w:color="auto" w:sz="12" w:space="0"/>
              <w:right w:val="double" w:color="auto" w:sz="4" w:space="0"/>
            </w:tcBorders>
            <w:shd w:val="clear" w:color="auto" w:fill="auto"/>
            <w:vAlign w:val="center"/>
          </w:tcPr>
          <w:p w14:paraId="1210E549">
            <w:pPr>
              <w:pStyle w:val="14"/>
              <w:rPr>
                <w:rFonts w:ascii="宋体" w:hAnsi="宋体"/>
              </w:rPr>
            </w:pPr>
            <w:r>
              <w:rPr>
                <w:rFonts w:hint="eastAsia" w:ascii="宋体" w:hAnsi="宋体"/>
              </w:rPr>
              <w:t>M</w:t>
            </w:r>
          </w:p>
        </w:tc>
        <w:tc>
          <w:tcPr>
            <w:tcW w:w="4763" w:type="dxa"/>
            <w:tcBorders>
              <w:bottom w:val="single" w:color="auto" w:sz="12" w:space="0"/>
            </w:tcBorders>
            <w:vAlign w:val="center"/>
          </w:tcPr>
          <w:p w14:paraId="64F74BB7">
            <w:pPr>
              <w:pStyle w:val="14"/>
              <w:rPr>
                <w:rFonts w:ascii="宋体" w:hAnsi="宋体"/>
                <w:bCs/>
              </w:rPr>
            </w:pPr>
            <w:r>
              <w:rPr>
                <w:rFonts w:hint="eastAsia" w:ascii="宋体" w:hAnsi="宋体"/>
                <w:bCs/>
              </w:rPr>
              <w:t>建立数学思维，培养学生严谨科学的学习习惯，较</w:t>
            </w:r>
          </w:p>
          <w:p w14:paraId="2CA8682B">
            <w:pPr>
              <w:pStyle w:val="14"/>
              <w:jc w:val="both"/>
              <w:rPr>
                <w:rFonts w:ascii="宋体" w:hAnsi="宋体"/>
                <w:bCs/>
              </w:rPr>
            </w:pPr>
            <w:r>
              <w:rPr>
                <w:rFonts w:hint="eastAsia" w:ascii="宋体" w:hAnsi="宋体"/>
                <w:bCs/>
              </w:rPr>
              <w:t>强的自主学习能力。</w:t>
            </w:r>
          </w:p>
        </w:tc>
        <w:tc>
          <w:tcPr>
            <w:tcW w:w="1348" w:type="dxa"/>
            <w:tcBorders>
              <w:bottom w:val="single" w:color="auto" w:sz="12" w:space="0"/>
              <w:right w:val="single" w:color="auto" w:sz="12" w:space="0"/>
            </w:tcBorders>
            <w:vAlign w:val="center"/>
          </w:tcPr>
          <w:p w14:paraId="23A70E75">
            <w:pPr>
              <w:pStyle w:val="14"/>
              <w:rPr>
                <w:rFonts w:ascii="宋体" w:hAnsi="宋体"/>
                <w:bCs/>
              </w:rPr>
            </w:pPr>
            <w:r>
              <w:rPr>
                <w:rFonts w:hint="eastAsia" w:ascii="宋体" w:hAnsi="宋体"/>
                <w:bCs/>
              </w:rPr>
              <w:t>100%</w:t>
            </w:r>
          </w:p>
        </w:tc>
      </w:tr>
    </w:tbl>
    <w:p w14:paraId="68DA1B25">
      <w:pPr>
        <w:pStyle w:val="16"/>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CDC1A44">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BA063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FD3AEEC">
            <w:pPr>
              <w:widowControl w:val="0"/>
              <w:snapToGrid w:val="0"/>
              <w:spacing w:line="288" w:lineRule="auto"/>
              <w:jc w:val="both"/>
              <w:rPr>
                <w:rFonts w:hint="eastAsia"/>
                <w:bCs/>
                <w:sz w:val="20"/>
                <w:szCs w:val="20"/>
              </w:rPr>
            </w:pPr>
            <w:bookmarkStart w:id="0" w:name="OLE_LINK6"/>
            <w:bookmarkStart w:id="1" w:name="OLE_LINK5"/>
            <w:r>
              <w:rPr>
                <w:rFonts w:hint="eastAsia"/>
                <w:bCs/>
                <w:sz w:val="20"/>
                <w:szCs w:val="20"/>
              </w:rPr>
              <w:t>第一单元 第一章和第二章</w:t>
            </w:r>
          </w:p>
          <w:p w14:paraId="07C0EBEF">
            <w:pPr>
              <w:widowControl w:val="0"/>
              <w:snapToGrid w:val="0"/>
              <w:spacing w:line="288" w:lineRule="auto"/>
              <w:jc w:val="both"/>
              <w:rPr>
                <w:bCs/>
                <w:sz w:val="20"/>
                <w:szCs w:val="20"/>
              </w:rPr>
            </w:pPr>
            <w:r>
              <w:rPr>
                <w:rFonts w:hint="eastAsia"/>
                <w:bCs/>
                <w:sz w:val="20"/>
                <w:szCs w:val="20"/>
              </w:rPr>
              <w:t>第一章 集合论的基础知识：</w:t>
            </w:r>
          </w:p>
          <w:p w14:paraId="38FFC216">
            <w:pPr>
              <w:widowControl w:val="0"/>
              <w:snapToGrid w:val="0"/>
              <w:spacing w:line="288" w:lineRule="auto"/>
              <w:jc w:val="both"/>
              <w:rPr>
                <w:bCs/>
                <w:sz w:val="20"/>
                <w:szCs w:val="20"/>
              </w:rPr>
            </w:pPr>
            <w:r>
              <w:rPr>
                <w:rFonts w:hint="eastAsia"/>
                <w:bCs/>
                <w:sz w:val="20"/>
                <w:szCs w:val="20"/>
              </w:rPr>
              <w:t>1 集合的概念，</w:t>
            </w:r>
          </w:p>
          <w:p w14:paraId="757C11BA">
            <w:pPr>
              <w:widowControl w:val="0"/>
              <w:snapToGrid w:val="0"/>
              <w:spacing w:line="288" w:lineRule="auto"/>
              <w:jc w:val="both"/>
              <w:rPr>
                <w:bCs/>
                <w:sz w:val="20"/>
                <w:szCs w:val="20"/>
              </w:rPr>
            </w:pPr>
            <w:r>
              <w:rPr>
                <w:rFonts w:hint="eastAsia"/>
                <w:bCs/>
                <w:sz w:val="20"/>
                <w:szCs w:val="20"/>
              </w:rPr>
              <w:t>2集合的运算</w:t>
            </w:r>
          </w:p>
          <w:p w14:paraId="5AB1D585">
            <w:pPr>
              <w:widowControl w:val="0"/>
              <w:snapToGrid w:val="0"/>
              <w:spacing w:line="288" w:lineRule="auto"/>
              <w:jc w:val="both"/>
              <w:rPr>
                <w:bCs/>
                <w:sz w:val="20"/>
                <w:szCs w:val="20"/>
              </w:rPr>
            </w:pPr>
            <w:r>
              <w:rPr>
                <w:rFonts w:hint="eastAsia"/>
                <w:bCs/>
                <w:sz w:val="20"/>
                <w:szCs w:val="20"/>
              </w:rPr>
              <w:t>3集合论是数学文化知识</w:t>
            </w:r>
          </w:p>
          <w:p w14:paraId="65B87379">
            <w:pPr>
              <w:widowControl w:val="0"/>
              <w:snapToGrid w:val="0"/>
              <w:spacing w:line="288" w:lineRule="auto"/>
              <w:jc w:val="both"/>
              <w:rPr>
                <w:bCs/>
                <w:sz w:val="20"/>
                <w:szCs w:val="20"/>
              </w:rPr>
            </w:pPr>
            <w:r>
              <w:rPr>
                <w:rFonts w:hint="eastAsia"/>
                <w:bCs/>
                <w:sz w:val="20"/>
                <w:szCs w:val="20"/>
              </w:rPr>
              <w:t>理解集合的概念和掌握常用的运算。</w:t>
            </w:r>
          </w:p>
          <w:p w14:paraId="04B4FC4A">
            <w:pPr>
              <w:widowControl w:val="0"/>
              <w:snapToGrid w:val="0"/>
              <w:spacing w:line="288" w:lineRule="auto"/>
              <w:jc w:val="both"/>
              <w:rPr>
                <w:bCs/>
                <w:sz w:val="20"/>
                <w:szCs w:val="20"/>
              </w:rPr>
            </w:pPr>
            <w:r>
              <w:rPr>
                <w:rFonts w:hint="eastAsia"/>
                <w:bCs/>
                <w:sz w:val="20"/>
                <w:szCs w:val="20"/>
              </w:rPr>
              <w:t>第二章 函数：</w:t>
            </w:r>
          </w:p>
          <w:p w14:paraId="47A3981B">
            <w:pPr>
              <w:widowControl w:val="0"/>
              <w:snapToGrid w:val="0"/>
              <w:spacing w:line="288" w:lineRule="auto"/>
              <w:jc w:val="both"/>
              <w:rPr>
                <w:bCs/>
                <w:sz w:val="20"/>
                <w:szCs w:val="20"/>
              </w:rPr>
            </w:pPr>
            <w:r>
              <w:rPr>
                <w:rFonts w:hint="eastAsia"/>
                <w:bCs/>
                <w:sz w:val="20"/>
                <w:szCs w:val="20"/>
              </w:rPr>
              <w:t xml:space="preserve">1函数的基本概念 </w:t>
            </w:r>
          </w:p>
          <w:p w14:paraId="41B25A59">
            <w:pPr>
              <w:widowControl w:val="0"/>
              <w:snapToGrid w:val="0"/>
              <w:spacing w:line="288" w:lineRule="auto"/>
              <w:jc w:val="both"/>
              <w:rPr>
                <w:bCs/>
                <w:sz w:val="20"/>
                <w:szCs w:val="20"/>
              </w:rPr>
            </w:pPr>
            <w:r>
              <w:rPr>
                <w:rFonts w:hint="eastAsia"/>
                <w:bCs/>
                <w:sz w:val="20"/>
                <w:szCs w:val="20"/>
              </w:rPr>
              <w:t>2函数一次函数，二次函数，幂函数。</w:t>
            </w:r>
          </w:p>
          <w:p w14:paraId="4C62343E">
            <w:pPr>
              <w:widowControl w:val="0"/>
              <w:snapToGrid w:val="0"/>
              <w:spacing w:line="288" w:lineRule="auto"/>
              <w:jc w:val="both"/>
              <w:rPr>
                <w:bCs/>
                <w:sz w:val="20"/>
                <w:szCs w:val="20"/>
              </w:rPr>
            </w:pPr>
            <w:r>
              <w:rPr>
                <w:rFonts w:hint="eastAsia"/>
                <w:bCs/>
                <w:sz w:val="20"/>
                <w:szCs w:val="20"/>
              </w:rPr>
              <w:t>3函数的性质。</w:t>
            </w:r>
          </w:p>
          <w:p w14:paraId="6E6A0E1D">
            <w:pPr>
              <w:widowControl w:val="0"/>
              <w:snapToGrid w:val="0"/>
              <w:spacing w:line="288" w:lineRule="auto"/>
              <w:jc w:val="both"/>
              <w:rPr>
                <w:bCs/>
                <w:sz w:val="20"/>
                <w:szCs w:val="20"/>
              </w:rPr>
            </w:pPr>
            <w:r>
              <w:rPr>
                <w:rFonts w:hint="eastAsia"/>
                <w:bCs/>
                <w:sz w:val="20"/>
                <w:szCs w:val="20"/>
              </w:rPr>
              <w:t>4反函数。</w:t>
            </w:r>
          </w:p>
          <w:p w14:paraId="193881CA">
            <w:pPr>
              <w:widowControl w:val="0"/>
              <w:snapToGrid w:val="0"/>
              <w:spacing w:line="288" w:lineRule="auto"/>
              <w:jc w:val="both"/>
              <w:rPr>
                <w:bCs/>
                <w:sz w:val="20"/>
                <w:szCs w:val="20"/>
              </w:rPr>
            </w:pPr>
            <w:r>
              <w:rPr>
                <w:rFonts w:hint="eastAsia"/>
                <w:bCs/>
                <w:sz w:val="20"/>
                <w:szCs w:val="20"/>
              </w:rPr>
              <w:t>掌握函数的概念和一次二次函数及其幂函数的性质。</w:t>
            </w:r>
          </w:p>
          <w:p w14:paraId="36ABC2F4">
            <w:pPr>
              <w:widowControl w:val="0"/>
              <w:snapToGrid w:val="0"/>
              <w:spacing w:line="288" w:lineRule="auto"/>
              <w:jc w:val="both"/>
              <w:rPr>
                <w:rFonts w:hint="eastAsia"/>
                <w:bCs/>
                <w:sz w:val="20"/>
                <w:szCs w:val="20"/>
              </w:rPr>
            </w:pPr>
            <w:r>
              <w:rPr>
                <w:rFonts w:hint="eastAsia"/>
                <w:bCs/>
                <w:sz w:val="20"/>
                <w:szCs w:val="20"/>
              </w:rPr>
              <w:t>第二单元第三章第四章第五章</w:t>
            </w:r>
          </w:p>
          <w:p w14:paraId="51DB92CF">
            <w:pPr>
              <w:widowControl w:val="0"/>
              <w:snapToGrid w:val="0"/>
              <w:spacing w:line="288" w:lineRule="auto"/>
              <w:jc w:val="both"/>
              <w:rPr>
                <w:bCs/>
                <w:sz w:val="20"/>
                <w:szCs w:val="20"/>
              </w:rPr>
            </w:pPr>
            <w:r>
              <w:rPr>
                <w:rFonts w:hint="eastAsia"/>
                <w:bCs/>
                <w:sz w:val="20"/>
                <w:szCs w:val="20"/>
              </w:rPr>
              <w:t>第三章 指数函数，对数函数：</w:t>
            </w:r>
          </w:p>
          <w:p w14:paraId="76A15F21">
            <w:pPr>
              <w:widowControl w:val="0"/>
              <w:snapToGrid w:val="0"/>
              <w:spacing w:line="288" w:lineRule="auto"/>
              <w:jc w:val="both"/>
              <w:rPr>
                <w:bCs/>
                <w:sz w:val="20"/>
                <w:szCs w:val="20"/>
              </w:rPr>
            </w:pPr>
            <w:r>
              <w:rPr>
                <w:rFonts w:hint="eastAsia"/>
                <w:bCs/>
                <w:sz w:val="20"/>
                <w:szCs w:val="20"/>
              </w:rPr>
              <w:t>1幂指数的运算，幂函数。</w:t>
            </w:r>
          </w:p>
          <w:p w14:paraId="5FF0BD39">
            <w:pPr>
              <w:widowControl w:val="0"/>
              <w:snapToGrid w:val="0"/>
              <w:spacing w:line="288" w:lineRule="auto"/>
              <w:jc w:val="both"/>
              <w:rPr>
                <w:bCs/>
                <w:sz w:val="20"/>
                <w:szCs w:val="20"/>
              </w:rPr>
            </w:pPr>
            <w:r>
              <w:rPr>
                <w:rFonts w:hint="eastAsia"/>
                <w:bCs/>
                <w:sz w:val="20"/>
                <w:szCs w:val="20"/>
              </w:rPr>
              <w:t>2 指数的运算与指数函数。</w:t>
            </w:r>
          </w:p>
          <w:p w14:paraId="44341BB9">
            <w:pPr>
              <w:widowControl w:val="0"/>
              <w:snapToGrid w:val="0"/>
              <w:spacing w:line="288" w:lineRule="auto"/>
              <w:jc w:val="both"/>
              <w:rPr>
                <w:bCs/>
                <w:sz w:val="20"/>
                <w:szCs w:val="20"/>
              </w:rPr>
            </w:pPr>
            <w:r>
              <w:rPr>
                <w:rFonts w:hint="eastAsia"/>
                <w:bCs/>
                <w:sz w:val="20"/>
                <w:szCs w:val="20"/>
              </w:rPr>
              <w:t>3对数的运算与对数函数。</w:t>
            </w:r>
          </w:p>
          <w:p w14:paraId="6791F841">
            <w:pPr>
              <w:widowControl w:val="0"/>
              <w:snapToGrid w:val="0"/>
              <w:spacing w:line="288" w:lineRule="auto"/>
              <w:jc w:val="both"/>
              <w:rPr>
                <w:bCs/>
                <w:sz w:val="20"/>
                <w:szCs w:val="20"/>
              </w:rPr>
            </w:pPr>
            <w:r>
              <w:rPr>
                <w:rFonts w:hint="eastAsia"/>
                <w:bCs/>
                <w:sz w:val="20"/>
                <w:szCs w:val="20"/>
              </w:rPr>
              <w:t>掌握指数和对数的运算，掌握指数函数和对数函数性质及其图形。</w:t>
            </w:r>
          </w:p>
          <w:p w14:paraId="116D0EB5">
            <w:pPr>
              <w:widowControl w:val="0"/>
              <w:snapToGrid w:val="0"/>
              <w:spacing w:line="288" w:lineRule="auto"/>
              <w:jc w:val="both"/>
              <w:rPr>
                <w:bCs/>
                <w:sz w:val="20"/>
                <w:szCs w:val="20"/>
              </w:rPr>
            </w:pPr>
            <w:r>
              <w:rPr>
                <w:rFonts w:hint="eastAsia"/>
                <w:bCs/>
                <w:sz w:val="20"/>
                <w:szCs w:val="20"/>
              </w:rPr>
              <w:t>第四章 三角函数：</w:t>
            </w:r>
          </w:p>
          <w:p w14:paraId="7DB14B87">
            <w:pPr>
              <w:widowControl w:val="0"/>
              <w:snapToGrid w:val="0"/>
              <w:spacing w:line="288" w:lineRule="auto"/>
              <w:jc w:val="both"/>
              <w:rPr>
                <w:bCs/>
                <w:sz w:val="20"/>
                <w:szCs w:val="20"/>
              </w:rPr>
            </w:pPr>
            <w:r>
              <w:rPr>
                <w:rFonts w:hint="eastAsia"/>
                <w:bCs/>
                <w:sz w:val="20"/>
                <w:szCs w:val="20"/>
              </w:rPr>
              <w:t>1 角的弧度制。</w:t>
            </w:r>
          </w:p>
          <w:p w14:paraId="7F52EE0C">
            <w:pPr>
              <w:widowControl w:val="0"/>
              <w:snapToGrid w:val="0"/>
              <w:spacing w:line="288" w:lineRule="auto"/>
              <w:jc w:val="both"/>
              <w:rPr>
                <w:bCs/>
                <w:sz w:val="20"/>
                <w:szCs w:val="20"/>
              </w:rPr>
            </w:pPr>
            <w:r>
              <w:rPr>
                <w:rFonts w:hint="eastAsia"/>
                <w:bCs/>
                <w:sz w:val="20"/>
                <w:szCs w:val="20"/>
              </w:rPr>
              <w:t>2 正弦函数，余弦函数，和正切函数，余切函数。</w:t>
            </w:r>
          </w:p>
          <w:p w14:paraId="528E9BBA">
            <w:pPr>
              <w:widowControl w:val="0"/>
              <w:snapToGrid w:val="0"/>
              <w:spacing w:line="288" w:lineRule="auto"/>
              <w:jc w:val="both"/>
              <w:rPr>
                <w:bCs/>
                <w:sz w:val="20"/>
                <w:szCs w:val="20"/>
              </w:rPr>
            </w:pPr>
            <w:r>
              <w:rPr>
                <w:rFonts w:hint="eastAsia"/>
                <w:bCs/>
                <w:sz w:val="20"/>
                <w:szCs w:val="20"/>
              </w:rPr>
              <w:t>3三角函数的性质与各种关系式。</w:t>
            </w:r>
          </w:p>
          <w:p w14:paraId="4AB395FB">
            <w:pPr>
              <w:widowControl w:val="0"/>
              <w:snapToGrid w:val="0"/>
              <w:spacing w:line="288" w:lineRule="auto"/>
              <w:jc w:val="both"/>
              <w:rPr>
                <w:bCs/>
                <w:sz w:val="20"/>
                <w:szCs w:val="20"/>
              </w:rPr>
            </w:pPr>
            <w:r>
              <w:rPr>
                <w:rFonts w:hint="eastAsia"/>
                <w:bCs/>
                <w:sz w:val="20"/>
                <w:szCs w:val="20"/>
              </w:rPr>
              <w:t>4三角函数在电子技术中的应用。</w:t>
            </w:r>
          </w:p>
          <w:p w14:paraId="75BBA477">
            <w:pPr>
              <w:widowControl w:val="0"/>
              <w:snapToGrid w:val="0"/>
              <w:spacing w:line="288" w:lineRule="auto"/>
              <w:jc w:val="both"/>
              <w:rPr>
                <w:bCs/>
                <w:sz w:val="20"/>
                <w:szCs w:val="20"/>
              </w:rPr>
            </w:pPr>
            <w:r>
              <w:rPr>
                <w:rFonts w:hint="eastAsia"/>
                <w:bCs/>
                <w:sz w:val="20"/>
                <w:szCs w:val="20"/>
              </w:rPr>
              <w:t>掌握三角函数的性质及其图形。</w:t>
            </w:r>
          </w:p>
          <w:p w14:paraId="3B649819">
            <w:pPr>
              <w:widowControl w:val="0"/>
              <w:snapToGrid w:val="0"/>
              <w:spacing w:line="288" w:lineRule="auto"/>
              <w:jc w:val="both"/>
              <w:rPr>
                <w:bCs/>
                <w:sz w:val="20"/>
                <w:szCs w:val="20"/>
              </w:rPr>
            </w:pPr>
            <w:r>
              <w:rPr>
                <w:rFonts w:hint="eastAsia"/>
                <w:bCs/>
                <w:sz w:val="20"/>
                <w:szCs w:val="20"/>
              </w:rPr>
              <w:t>第五章 反三角函数：</w:t>
            </w:r>
          </w:p>
          <w:p w14:paraId="479ECC5B">
            <w:pPr>
              <w:widowControl w:val="0"/>
              <w:snapToGrid w:val="0"/>
              <w:spacing w:line="288" w:lineRule="auto"/>
              <w:jc w:val="both"/>
              <w:rPr>
                <w:bCs/>
                <w:sz w:val="20"/>
                <w:szCs w:val="20"/>
              </w:rPr>
            </w:pPr>
            <w:r>
              <w:rPr>
                <w:rFonts w:hint="eastAsia"/>
                <w:bCs/>
                <w:sz w:val="20"/>
                <w:szCs w:val="20"/>
              </w:rPr>
              <w:t xml:space="preserve"> 1 倍角公式，和差化积，积化和差公式</w:t>
            </w:r>
          </w:p>
          <w:p w14:paraId="5A54CE32">
            <w:pPr>
              <w:widowControl w:val="0"/>
              <w:snapToGrid w:val="0"/>
              <w:spacing w:line="288" w:lineRule="auto"/>
              <w:jc w:val="both"/>
              <w:rPr>
                <w:bCs/>
                <w:sz w:val="20"/>
                <w:szCs w:val="20"/>
              </w:rPr>
            </w:pPr>
            <w:r>
              <w:rPr>
                <w:rFonts w:hint="eastAsia"/>
                <w:bCs/>
                <w:sz w:val="20"/>
                <w:szCs w:val="20"/>
              </w:rPr>
              <w:t xml:space="preserve"> 2 反三角函数及其图形和性质。</w:t>
            </w:r>
          </w:p>
          <w:p w14:paraId="124173BE">
            <w:pPr>
              <w:widowControl w:val="0"/>
              <w:snapToGrid w:val="0"/>
              <w:spacing w:line="288" w:lineRule="auto"/>
              <w:jc w:val="both"/>
              <w:rPr>
                <w:bCs/>
                <w:sz w:val="20"/>
                <w:szCs w:val="20"/>
              </w:rPr>
            </w:pPr>
            <w:r>
              <w:rPr>
                <w:rFonts w:hint="eastAsia"/>
                <w:bCs/>
                <w:sz w:val="20"/>
                <w:szCs w:val="20"/>
              </w:rPr>
              <w:t xml:space="preserve"> 3函数方面的数学文化知识。</w:t>
            </w:r>
          </w:p>
          <w:p w14:paraId="65F5A7CE">
            <w:pPr>
              <w:widowControl w:val="0"/>
              <w:snapToGrid w:val="0"/>
              <w:spacing w:line="288" w:lineRule="auto"/>
              <w:jc w:val="both"/>
              <w:rPr>
                <w:bCs/>
                <w:sz w:val="20"/>
                <w:szCs w:val="20"/>
              </w:rPr>
            </w:pPr>
            <w:r>
              <w:rPr>
                <w:rFonts w:hint="eastAsia"/>
                <w:bCs/>
                <w:sz w:val="20"/>
                <w:szCs w:val="20"/>
              </w:rPr>
              <w:t>掌握三角函数的积化化和差公式和差化积等常用的公式。掌握反三角函数的性质及其图形。</w:t>
            </w:r>
          </w:p>
          <w:p w14:paraId="2B9F4641">
            <w:pPr>
              <w:widowControl w:val="0"/>
              <w:snapToGrid w:val="0"/>
              <w:spacing w:line="288" w:lineRule="auto"/>
              <w:jc w:val="both"/>
              <w:rPr>
                <w:rFonts w:hint="eastAsia"/>
                <w:bCs/>
                <w:sz w:val="20"/>
                <w:szCs w:val="20"/>
              </w:rPr>
            </w:pPr>
            <w:r>
              <w:rPr>
                <w:rFonts w:hint="eastAsia"/>
                <w:bCs/>
                <w:sz w:val="20"/>
                <w:szCs w:val="20"/>
              </w:rPr>
              <w:t>第三单元，第</w:t>
            </w:r>
            <w:r>
              <w:rPr>
                <w:rFonts w:hint="eastAsia"/>
                <w:bCs/>
                <w:sz w:val="20"/>
                <w:szCs w:val="20"/>
                <w:lang w:val="en-US" w:eastAsia="zh-CN"/>
              </w:rPr>
              <w:t>六</w:t>
            </w:r>
            <w:r>
              <w:rPr>
                <w:rFonts w:hint="eastAsia"/>
                <w:bCs/>
                <w:sz w:val="20"/>
                <w:szCs w:val="20"/>
              </w:rPr>
              <w:t>章，第</w:t>
            </w:r>
            <w:r>
              <w:rPr>
                <w:rFonts w:hint="eastAsia"/>
                <w:bCs/>
                <w:sz w:val="20"/>
                <w:szCs w:val="20"/>
                <w:lang w:val="en-US" w:eastAsia="zh-CN"/>
              </w:rPr>
              <w:t>七</w:t>
            </w:r>
            <w:r>
              <w:rPr>
                <w:rFonts w:hint="eastAsia"/>
                <w:bCs/>
                <w:sz w:val="20"/>
                <w:szCs w:val="20"/>
              </w:rPr>
              <w:t>章</w:t>
            </w:r>
          </w:p>
          <w:p w14:paraId="5E788F8D">
            <w:pPr>
              <w:widowControl w:val="0"/>
              <w:snapToGrid w:val="0"/>
              <w:spacing w:line="288" w:lineRule="auto"/>
              <w:jc w:val="both"/>
              <w:rPr>
                <w:bCs/>
                <w:sz w:val="20"/>
                <w:szCs w:val="20"/>
              </w:rPr>
            </w:pPr>
            <w:r>
              <w:rPr>
                <w:rFonts w:hint="eastAsia"/>
                <w:bCs/>
                <w:sz w:val="20"/>
                <w:szCs w:val="20"/>
              </w:rPr>
              <w:t>第</w:t>
            </w:r>
            <w:r>
              <w:rPr>
                <w:rFonts w:hint="eastAsia"/>
                <w:bCs/>
                <w:sz w:val="20"/>
                <w:szCs w:val="20"/>
                <w:lang w:val="en-US" w:eastAsia="zh-CN"/>
              </w:rPr>
              <w:t>六</w:t>
            </w:r>
            <w:r>
              <w:rPr>
                <w:rFonts w:hint="eastAsia"/>
                <w:bCs/>
                <w:sz w:val="20"/>
                <w:szCs w:val="20"/>
              </w:rPr>
              <w:t>章 微分的基本思想和方法：</w:t>
            </w:r>
          </w:p>
          <w:p w14:paraId="444FDBE9">
            <w:pPr>
              <w:widowControl w:val="0"/>
              <w:snapToGrid w:val="0"/>
              <w:spacing w:line="288" w:lineRule="auto"/>
              <w:jc w:val="both"/>
              <w:rPr>
                <w:bCs/>
                <w:sz w:val="20"/>
                <w:szCs w:val="20"/>
              </w:rPr>
            </w:pPr>
            <w:r>
              <w:rPr>
                <w:rFonts w:hint="eastAsia"/>
                <w:bCs/>
                <w:sz w:val="20"/>
                <w:szCs w:val="20"/>
              </w:rPr>
              <w:t xml:space="preserve">1微分的思想及其方法 </w:t>
            </w:r>
          </w:p>
          <w:p w14:paraId="306AFED8">
            <w:pPr>
              <w:widowControl w:val="0"/>
              <w:snapToGrid w:val="0"/>
              <w:spacing w:line="288" w:lineRule="auto"/>
              <w:jc w:val="both"/>
              <w:rPr>
                <w:bCs/>
                <w:sz w:val="20"/>
                <w:szCs w:val="20"/>
              </w:rPr>
            </w:pPr>
            <w:r>
              <w:rPr>
                <w:rFonts w:hint="eastAsia"/>
                <w:bCs/>
                <w:sz w:val="20"/>
                <w:szCs w:val="20"/>
              </w:rPr>
              <w:t>2 微分在研究函数方面的应用</w:t>
            </w:r>
          </w:p>
          <w:p w14:paraId="29B0F7D3">
            <w:pPr>
              <w:widowControl w:val="0"/>
              <w:snapToGrid w:val="0"/>
              <w:spacing w:line="288" w:lineRule="auto"/>
              <w:jc w:val="both"/>
              <w:rPr>
                <w:bCs/>
                <w:sz w:val="20"/>
                <w:szCs w:val="20"/>
              </w:rPr>
            </w:pPr>
            <w:r>
              <w:rPr>
                <w:rFonts w:hint="eastAsia"/>
                <w:bCs/>
                <w:sz w:val="20"/>
                <w:szCs w:val="20"/>
              </w:rPr>
              <w:t>3微分在其他学科中应用</w:t>
            </w:r>
          </w:p>
          <w:p w14:paraId="22AD6140">
            <w:pPr>
              <w:widowControl w:val="0"/>
              <w:snapToGrid w:val="0"/>
              <w:spacing w:line="288" w:lineRule="auto"/>
              <w:jc w:val="both"/>
              <w:rPr>
                <w:bCs/>
                <w:sz w:val="20"/>
                <w:szCs w:val="20"/>
              </w:rPr>
            </w:pPr>
            <w:r>
              <w:rPr>
                <w:rFonts w:hint="eastAsia"/>
                <w:bCs/>
                <w:sz w:val="20"/>
                <w:szCs w:val="20"/>
              </w:rPr>
              <w:t>4微分的数学文化知识</w:t>
            </w:r>
          </w:p>
          <w:p w14:paraId="4F92DAA6">
            <w:pPr>
              <w:widowControl w:val="0"/>
              <w:snapToGrid w:val="0"/>
              <w:spacing w:line="288" w:lineRule="auto"/>
              <w:jc w:val="both"/>
              <w:rPr>
                <w:bCs/>
                <w:sz w:val="20"/>
                <w:szCs w:val="20"/>
              </w:rPr>
            </w:pPr>
            <w:r>
              <w:rPr>
                <w:rFonts w:hint="eastAsia"/>
                <w:bCs/>
                <w:sz w:val="20"/>
                <w:szCs w:val="20"/>
              </w:rPr>
              <w:t>掌握求导数的基本方法。掌握导数在研究函数的应用，知道微分在其他学科中的应用。</w:t>
            </w:r>
          </w:p>
          <w:p w14:paraId="4EE94EA6">
            <w:pPr>
              <w:widowControl w:val="0"/>
              <w:snapToGrid w:val="0"/>
              <w:spacing w:line="288" w:lineRule="auto"/>
              <w:jc w:val="both"/>
              <w:rPr>
                <w:bCs/>
                <w:sz w:val="20"/>
                <w:szCs w:val="20"/>
              </w:rPr>
            </w:pPr>
            <w:r>
              <w:rPr>
                <w:rFonts w:hint="eastAsia"/>
                <w:bCs/>
                <w:sz w:val="20"/>
                <w:szCs w:val="20"/>
              </w:rPr>
              <w:t>第</w:t>
            </w:r>
            <w:r>
              <w:rPr>
                <w:rFonts w:hint="eastAsia"/>
                <w:bCs/>
                <w:sz w:val="20"/>
                <w:szCs w:val="20"/>
                <w:lang w:val="en-US" w:eastAsia="zh-CN"/>
              </w:rPr>
              <w:t>七</w:t>
            </w:r>
            <w:r>
              <w:rPr>
                <w:rFonts w:hint="eastAsia"/>
                <w:bCs/>
                <w:sz w:val="20"/>
                <w:szCs w:val="20"/>
              </w:rPr>
              <w:t>章 积分的基本思想和方法：</w:t>
            </w:r>
          </w:p>
          <w:p w14:paraId="748CF069">
            <w:pPr>
              <w:widowControl w:val="0"/>
              <w:snapToGrid w:val="0"/>
              <w:spacing w:line="288" w:lineRule="auto"/>
              <w:jc w:val="both"/>
              <w:rPr>
                <w:bCs/>
                <w:sz w:val="20"/>
                <w:szCs w:val="20"/>
              </w:rPr>
            </w:pPr>
            <w:r>
              <w:rPr>
                <w:rFonts w:hint="eastAsia"/>
                <w:bCs/>
                <w:sz w:val="20"/>
                <w:szCs w:val="20"/>
              </w:rPr>
              <w:t>1积分的方法和思想</w:t>
            </w:r>
          </w:p>
          <w:p w14:paraId="5A7A3B8A">
            <w:pPr>
              <w:widowControl w:val="0"/>
              <w:snapToGrid w:val="0"/>
              <w:spacing w:line="288" w:lineRule="auto"/>
              <w:jc w:val="both"/>
              <w:rPr>
                <w:bCs/>
                <w:sz w:val="20"/>
                <w:szCs w:val="20"/>
              </w:rPr>
            </w:pPr>
            <w:r>
              <w:rPr>
                <w:rFonts w:hint="eastAsia"/>
                <w:bCs/>
                <w:sz w:val="20"/>
                <w:szCs w:val="20"/>
              </w:rPr>
              <w:t>2 积分在求面积方面的应用</w:t>
            </w:r>
          </w:p>
          <w:p w14:paraId="7DE4F0C8">
            <w:pPr>
              <w:widowControl w:val="0"/>
              <w:snapToGrid w:val="0"/>
              <w:spacing w:line="288" w:lineRule="auto"/>
              <w:jc w:val="both"/>
              <w:rPr>
                <w:bCs/>
                <w:sz w:val="20"/>
                <w:szCs w:val="20"/>
              </w:rPr>
            </w:pPr>
            <w:r>
              <w:rPr>
                <w:rFonts w:hint="eastAsia"/>
                <w:bCs/>
                <w:sz w:val="20"/>
                <w:szCs w:val="20"/>
              </w:rPr>
              <w:t>3积分在在其他学科中应用</w:t>
            </w:r>
          </w:p>
          <w:p w14:paraId="198E63E2">
            <w:pPr>
              <w:widowControl w:val="0"/>
              <w:snapToGrid w:val="0"/>
              <w:spacing w:line="288" w:lineRule="auto"/>
              <w:jc w:val="both"/>
              <w:rPr>
                <w:bCs/>
                <w:sz w:val="20"/>
                <w:szCs w:val="20"/>
              </w:rPr>
            </w:pPr>
            <w:r>
              <w:rPr>
                <w:rFonts w:hint="eastAsia"/>
                <w:bCs/>
                <w:sz w:val="20"/>
                <w:szCs w:val="20"/>
              </w:rPr>
              <w:t>4积分方面的数学文化知识</w:t>
            </w:r>
          </w:p>
          <w:p w14:paraId="4472406C">
            <w:pPr>
              <w:widowControl w:val="0"/>
              <w:snapToGrid w:val="0"/>
              <w:spacing w:line="288" w:lineRule="auto"/>
              <w:jc w:val="both"/>
              <w:rPr>
                <w:bCs/>
                <w:sz w:val="20"/>
                <w:szCs w:val="20"/>
              </w:rPr>
            </w:pPr>
            <w:r>
              <w:rPr>
                <w:rFonts w:hint="eastAsia"/>
                <w:bCs/>
                <w:sz w:val="20"/>
                <w:szCs w:val="20"/>
              </w:rPr>
              <w:t>掌握积分的基本运算方法。知道积分在其他学科中应用。</w:t>
            </w:r>
          </w:p>
          <w:p w14:paraId="0DA190FA">
            <w:pPr>
              <w:pStyle w:val="14"/>
              <w:widowControl w:val="0"/>
              <w:jc w:val="left"/>
              <w:rPr>
                <w:rFonts w:ascii="仿宋" w:hAnsi="仿宋" w:eastAsia="仿宋" w:cs="仿宋"/>
              </w:rPr>
            </w:pPr>
          </w:p>
        </w:tc>
      </w:tr>
      <w:bookmarkEnd w:id="0"/>
      <w:bookmarkEnd w:id="1"/>
    </w:tbl>
    <w:p w14:paraId="3A879E12">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tblGrid>
      <w:tr w14:paraId="37DC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3A5A4B16">
            <w:pPr>
              <w:pStyle w:val="13"/>
              <w:ind w:firstLine="489"/>
              <w:jc w:val="right"/>
              <w:rPr>
                <w:szCs w:val="16"/>
              </w:rPr>
            </w:pPr>
            <w:r>
              <w:rPr>
                <w:rFonts w:hint="eastAsia"/>
                <w:szCs w:val="16"/>
              </w:rPr>
              <w:t>课程目标</w:t>
            </w:r>
          </w:p>
          <w:p w14:paraId="150E76E9">
            <w:pPr>
              <w:pStyle w:val="13"/>
              <w:ind w:right="210"/>
              <w:jc w:val="left"/>
              <w:rPr>
                <w:szCs w:val="16"/>
              </w:rPr>
            </w:pPr>
          </w:p>
          <w:p w14:paraId="1F3D6EF2">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769F7DCC">
            <w:pPr>
              <w:pStyle w:val="13"/>
              <w:rPr>
                <w:szCs w:val="16"/>
              </w:rPr>
            </w:pPr>
            <w:r>
              <w:rPr>
                <w:rFonts w:hint="eastAsia"/>
                <w:szCs w:val="16"/>
              </w:rPr>
              <w:t>1</w:t>
            </w:r>
          </w:p>
        </w:tc>
        <w:tc>
          <w:tcPr>
            <w:tcW w:w="1100" w:type="dxa"/>
            <w:tcBorders>
              <w:top w:val="single" w:color="auto" w:sz="12" w:space="0"/>
            </w:tcBorders>
            <w:vAlign w:val="center"/>
          </w:tcPr>
          <w:p w14:paraId="52220AFE">
            <w:pPr>
              <w:pStyle w:val="13"/>
              <w:rPr>
                <w:szCs w:val="16"/>
              </w:rPr>
            </w:pPr>
            <w:r>
              <w:rPr>
                <w:rFonts w:hint="eastAsia"/>
                <w:szCs w:val="16"/>
              </w:rPr>
              <w:t>2</w:t>
            </w:r>
          </w:p>
        </w:tc>
        <w:tc>
          <w:tcPr>
            <w:tcW w:w="1100" w:type="dxa"/>
            <w:tcBorders>
              <w:top w:val="single" w:color="auto" w:sz="12" w:space="0"/>
            </w:tcBorders>
            <w:vAlign w:val="center"/>
          </w:tcPr>
          <w:p w14:paraId="6C04A1DE">
            <w:pPr>
              <w:pStyle w:val="13"/>
              <w:rPr>
                <w:szCs w:val="16"/>
              </w:rPr>
            </w:pPr>
            <w:r>
              <w:rPr>
                <w:rFonts w:hint="eastAsia"/>
                <w:szCs w:val="16"/>
              </w:rPr>
              <w:t>3</w:t>
            </w:r>
          </w:p>
        </w:tc>
        <w:tc>
          <w:tcPr>
            <w:tcW w:w="1099" w:type="dxa"/>
            <w:tcBorders>
              <w:top w:val="single" w:color="auto" w:sz="12" w:space="0"/>
            </w:tcBorders>
            <w:vAlign w:val="center"/>
          </w:tcPr>
          <w:p w14:paraId="4D5CFB6F">
            <w:pPr>
              <w:pStyle w:val="13"/>
              <w:rPr>
                <w:szCs w:val="16"/>
              </w:rPr>
            </w:pPr>
            <w:r>
              <w:rPr>
                <w:rFonts w:hint="eastAsia"/>
                <w:szCs w:val="16"/>
              </w:rPr>
              <w:t>4</w:t>
            </w:r>
          </w:p>
        </w:tc>
      </w:tr>
      <w:tr w14:paraId="71D4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6500FD8">
            <w:pPr>
              <w:pStyle w:val="14"/>
            </w:pPr>
            <w:r>
              <w:rPr>
                <w:rFonts w:hint="eastAsia"/>
              </w:rPr>
              <w:t>第一单元</w:t>
            </w:r>
          </w:p>
        </w:tc>
        <w:tc>
          <w:tcPr>
            <w:tcW w:w="1100" w:type="dxa"/>
            <w:vAlign w:val="center"/>
          </w:tcPr>
          <w:p w14:paraId="36E04C30">
            <w:pPr>
              <w:pStyle w:val="14"/>
            </w:pPr>
            <w:r>
              <w:rPr>
                <w:rFonts w:ascii="宋体" w:hAnsi="宋体"/>
                <w:color w:val="000000" w:themeColor="text1"/>
              </w:rPr>
              <w:t>√</w:t>
            </w:r>
          </w:p>
        </w:tc>
        <w:tc>
          <w:tcPr>
            <w:tcW w:w="1100" w:type="dxa"/>
            <w:vAlign w:val="center"/>
          </w:tcPr>
          <w:p w14:paraId="2A9ED8F4">
            <w:pPr>
              <w:pStyle w:val="14"/>
            </w:pPr>
            <w:r>
              <w:rPr>
                <w:rFonts w:ascii="宋体" w:hAnsi="宋体"/>
                <w:color w:val="000000" w:themeColor="text1"/>
              </w:rPr>
              <w:t>√</w:t>
            </w:r>
          </w:p>
        </w:tc>
        <w:tc>
          <w:tcPr>
            <w:tcW w:w="1100" w:type="dxa"/>
            <w:vAlign w:val="center"/>
          </w:tcPr>
          <w:p w14:paraId="7348C8AF">
            <w:pPr>
              <w:pStyle w:val="14"/>
            </w:pPr>
            <w:r>
              <w:rPr>
                <w:rFonts w:ascii="宋体" w:hAnsi="宋体"/>
                <w:color w:val="000000" w:themeColor="text1"/>
              </w:rPr>
              <w:t>√</w:t>
            </w:r>
          </w:p>
        </w:tc>
        <w:tc>
          <w:tcPr>
            <w:tcW w:w="1099" w:type="dxa"/>
            <w:vAlign w:val="center"/>
          </w:tcPr>
          <w:p w14:paraId="551D898D">
            <w:pPr>
              <w:pStyle w:val="14"/>
            </w:pPr>
            <w:r>
              <w:rPr>
                <w:rFonts w:ascii="宋体" w:hAnsi="宋体"/>
                <w:color w:val="000000" w:themeColor="text1"/>
              </w:rPr>
              <w:t>√</w:t>
            </w:r>
          </w:p>
        </w:tc>
      </w:tr>
      <w:tr w14:paraId="220A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C364173">
            <w:pPr>
              <w:pStyle w:val="14"/>
            </w:pPr>
            <w:r>
              <w:rPr>
                <w:rFonts w:hint="eastAsia"/>
              </w:rPr>
              <w:t>第二单元</w:t>
            </w:r>
          </w:p>
        </w:tc>
        <w:tc>
          <w:tcPr>
            <w:tcW w:w="1100" w:type="dxa"/>
            <w:vAlign w:val="center"/>
          </w:tcPr>
          <w:p w14:paraId="46A8D817">
            <w:pPr>
              <w:pStyle w:val="14"/>
            </w:pPr>
            <w:r>
              <w:rPr>
                <w:rFonts w:ascii="宋体" w:hAnsi="宋体"/>
                <w:color w:val="000000" w:themeColor="text1"/>
              </w:rPr>
              <w:t>√</w:t>
            </w:r>
          </w:p>
        </w:tc>
        <w:tc>
          <w:tcPr>
            <w:tcW w:w="1100" w:type="dxa"/>
            <w:vAlign w:val="center"/>
          </w:tcPr>
          <w:p w14:paraId="09963AD1">
            <w:pPr>
              <w:pStyle w:val="14"/>
            </w:pPr>
            <w:r>
              <w:rPr>
                <w:rFonts w:ascii="宋体" w:hAnsi="宋体"/>
                <w:color w:val="000000" w:themeColor="text1"/>
              </w:rPr>
              <w:t>√</w:t>
            </w:r>
          </w:p>
        </w:tc>
        <w:tc>
          <w:tcPr>
            <w:tcW w:w="1100" w:type="dxa"/>
            <w:vAlign w:val="center"/>
          </w:tcPr>
          <w:p w14:paraId="64BE73BE">
            <w:pPr>
              <w:pStyle w:val="14"/>
            </w:pPr>
            <w:r>
              <w:rPr>
                <w:rFonts w:ascii="宋体" w:hAnsi="宋体"/>
                <w:color w:val="000000" w:themeColor="text1"/>
              </w:rPr>
              <w:t>√</w:t>
            </w:r>
          </w:p>
        </w:tc>
        <w:tc>
          <w:tcPr>
            <w:tcW w:w="1099" w:type="dxa"/>
            <w:vAlign w:val="center"/>
          </w:tcPr>
          <w:p w14:paraId="1CF2C38D">
            <w:pPr>
              <w:pStyle w:val="14"/>
            </w:pPr>
            <w:r>
              <w:rPr>
                <w:rFonts w:ascii="宋体" w:hAnsi="宋体"/>
                <w:color w:val="000000" w:themeColor="text1"/>
              </w:rPr>
              <w:t>√</w:t>
            </w:r>
          </w:p>
        </w:tc>
      </w:tr>
      <w:tr w14:paraId="59F8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030E916F">
            <w:pPr>
              <w:pStyle w:val="14"/>
            </w:pPr>
            <w:r>
              <w:rPr>
                <w:rFonts w:hint="eastAsia"/>
              </w:rPr>
              <w:t>第三单元</w:t>
            </w:r>
          </w:p>
        </w:tc>
        <w:tc>
          <w:tcPr>
            <w:tcW w:w="1100" w:type="dxa"/>
            <w:tcBorders>
              <w:bottom w:val="single" w:color="auto" w:sz="12" w:space="0"/>
            </w:tcBorders>
            <w:vAlign w:val="center"/>
          </w:tcPr>
          <w:p w14:paraId="440634BD">
            <w:pPr>
              <w:pStyle w:val="14"/>
            </w:pPr>
            <w:r>
              <w:rPr>
                <w:rFonts w:ascii="宋体" w:hAnsi="宋体"/>
                <w:color w:val="000000" w:themeColor="text1"/>
              </w:rPr>
              <w:t>√</w:t>
            </w:r>
          </w:p>
        </w:tc>
        <w:tc>
          <w:tcPr>
            <w:tcW w:w="1100" w:type="dxa"/>
            <w:tcBorders>
              <w:bottom w:val="single" w:color="auto" w:sz="12" w:space="0"/>
            </w:tcBorders>
            <w:vAlign w:val="center"/>
          </w:tcPr>
          <w:p w14:paraId="1F7B642B">
            <w:pPr>
              <w:pStyle w:val="14"/>
            </w:pPr>
            <w:r>
              <w:rPr>
                <w:rFonts w:ascii="宋体" w:hAnsi="宋体"/>
                <w:color w:val="000000" w:themeColor="text1"/>
              </w:rPr>
              <w:t>√</w:t>
            </w:r>
          </w:p>
        </w:tc>
        <w:tc>
          <w:tcPr>
            <w:tcW w:w="1100" w:type="dxa"/>
            <w:tcBorders>
              <w:bottom w:val="single" w:color="auto" w:sz="12" w:space="0"/>
            </w:tcBorders>
            <w:vAlign w:val="center"/>
          </w:tcPr>
          <w:p w14:paraId="123D1DC7">
            <w:pPr>
              <w:pStyle w:val="14"/>
            </w:pPr>
            <w:r>
              <w:rPr>
                <w:rFonts w:ascii="宋体" w:hAnsi="宋体"/>
                <w:color w:val="000000" w:themeColor="text1"/>
              </w:rPr>
              <w:t>√</w:t>
            </w:r>
          </w:p>
        </w:tc>
        <w:tc>
          <w:tcPr>
            <w:tcW w:w="1099" w:type="dxa"/>
            <w:tcBorders>
              <w:bottom w:val="single" w:color="auto" w:sz="12" w:space="0"/>
            </w:tcBorders>
            <w:vAlign w:val="center"/>
          </w:tcPr>
          <w:p w14:paraId="762656D2">
            <w:pPr>
              <w:pStyle w:val="14"/>
            </w:pPr>
            <w:r>
              <w:rPr>
                <w:rFonts w:ascii="宋体" w:hAnsi="宋体"/>
                <w:color w:val="000000" w:themeColor="text1"/>
              </w:rPr>
              <w:t>√</w:t>
            </w:r>
          </w:p>
        </w:tc>
      </w:tr>
    </w:tbl>
    <w:p w14:paraId="11770DA6">
      <w:pPr>
        <w:pStyle w:val="17"/>
        <w:spacing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AE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61F69A0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5953B299">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AF409B0">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C8EE8C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E02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137607F8">
            <w:pPr>
              <w:widowControl w:val="0"/>
              <w:snapToGrid w:val="0"/>
              <w:jc w:val="center"/>
              <w:rPr>
                <w:rFonts w:ascii="黑体" w:hAnsi="黑体" w:eastAsia="黑体"/>
                <w:bCs/>
                <w:sz w:val="21"/>
                <w:szCs w:val="21"/>
              </w:rPr>
            </w:pPr>
          </w:p>
        </w:tc>
        <w:tc>
          <w:tcPr>
            <w:tcW w:w="2690" w:type="dxa"/>
            <w:vMerge w:val="continue"/>
          </w:tcPr>
          <w:p w14:paraId="46565819">
            <w:pPr>
              <w:widowControl w:val="0"/>
              <w:snapToGrid w:val="0"/>
              <w:jc w:val="center"/>
              <w:rPr>
                <w:rFonts w:ascii="黑体" w:hAnsi="黑体" w:eastAsia="黑体"/>
                <w:bCs/>
                <w:sz w:val="21"/>
                <w:szCs w:val="21"/>
              </w:rPr>
            </w:pPr>
          </w:p>
        </w:tc>
        <w:tc>
          <w:tcPr>
            <w:tcW w:w="1697" w:type="dxa"/>
            <w:vMerge w:val="continue"/>
          </w:tcPr>
          <w:p w14:paraId="607181B9">
            <w:pPr>
              <w:widowControl w:val="0"/>
              <w:snapToGrid w:val="0"/>
              <w:jc w:val="center"/>
              <w:rPr>
                <w:rFonts w:ascii="黑体" w:hAnsi="黑体" w:eastAsia="黑体"/>
                <w:bCs/>
                <w:sz w:val="21"/>
                <w:szCs w:val="21"/>
              </w:rPr>
            </w:pPr>
          </w:p>
        </w:tc>
        <w:tc>
          <w:tcPr>
            <w:tcW w:w="708" w:type="dxa"/>
            <w:vAlign w:val="center"/>
          </w:tcPr>
          <w:p w14:paraId="450DF94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32FFE4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0B2E68E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F70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BA7B98C">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tc>
        <w:tc>
          <w:tcPr>
            <w:tcW w:w="2690" w:type="dxa"/>
            <w:vAlign w:val="center"/>
          </w:tcPr>
          <w:p w14:paraId="6CAB9FC2">
            <w:pPr>
              <w:widowControl w:val="0"/>
              <w:snapToGrid w:val="0"/>
              <w:jc w:val="center"/>
              <w:rPr>
                <w:rFonts w:ascii="Times New Roman" w:hAnsi="Times New Roman"/>
                <w:bCs/>
                <w:sz w:val="21"/>
                <w:szCs w:val="21"/>
              </w:rPr>
            </w:pPr>
            <w:r>
              <w:rPr>
                <w:rFonts w:hint="eastAsia" w:ascii="Times New Roman" w:hAnsi="Times New Roman"/>
                <w:bCs/>
                <w:sz w:val="21"/>
                <w:szCs w:val="21"/>
              </w:rPr>
              <w:t>主要教学讨论习题</w:t>
            </w:r>
          </w:p>
        </w:tc>
        <w:tc>
          <w:tcPr>
            <w:tcW w:w="1697" w:type="dxa"/>
            <w:vAlign w:val="center"/>
          </w:tcPr>
          <w:p w14:paraId="062F5215">
            <w:pPr>
              <w:widowControl w:val="0"/>
              <w:snapToGrid w:val="0"/>
              <w:jc w:val="center"/>
              <w:rPr>
                <w:rFonts w:ascii="Times New Roman" w:hAnsi="Times New Roman"/>
                <w:bCs/>
                <w:sz w:val="21"/>
                <w:szCs w:val="21"/>
              </w:rPr>
            </w:pPr>
            <w:r>
              <w:rPr>
                <w:rFonts w:hint="eastAsia" w:ascii="Times New Roman" w:hAnsi="Times New Roman"/>
                <w:bCs/>
                <w:sz w:val="21"/>
                <w:szCs w:val="21"/>
              </w:rPr>
              <w:t>课堂出勤、平时作业、平时表现</w:t>
            </w:r>
          </w:p>
        </w:tc>
        <w:tc>
          <w:tcPr>
            <w:tcW w:w="708" w:type="dxa"/>
            <w:vAlign w:val="center"/>
          </w:tcPr>
          <w:p w14:paraId="77F03A63">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653" w:type="dxa"/>
            <w:vAlign w:val="center"/>
          </w:tcPr>
          <w:p w14:paraId="170C1AB9">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F9804D3">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r>
      <w:tr w14:paraId="269B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2961E0C">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tc>
        <w:tc>
          <w:tcPr>
            <w:tcW w:w="2690" w:type="dxa"/>
            <w:vAlign w:val="center"/>
          </w:tcPr>
          <w:p w14:paraId="1B24E62B">
            <w:pPr>
              <w:widowControl w:val="0"/>
              <w:snapToGrid w:val="0"/>
              <w:jc w:val="center"/>
              <w:rPr>
                <w:rFonts w:ascii="Times New Roman" w:hAnsi="Times New Roman"/>
                <w:bCs/>
                <w:sz w:val="21"/>
                <w:szCs w:val="21"/>
              </w:rPr>
            </w:pPr>
            <w:r>
              <w:rPr>
                <w:rFonts w:hint="eastAsia" w:ascii="Times New Roman" w:hAnsi="Times New Roman"/>
                <w:bCs/>
                <w:sz w:val="21"/>
                <w:szCs w:val="21"/>
              </w:rPr>
              <w:t>主要教学讨论习题</w:t>
            </w:r>
          </w:p>
        </w:tc>
        <w:tc>
          <w:tcPr>
            <w:tcW w:w="1697" w:type="dxa"/>
            <w:vAlign w:val="center"/>
          </w:tcPr>
          <w:p w14:paraId="4D0B19B5">
            <w:pPr>
              <w:widowControl w:val="0"/>
              <w:snapToGrid w:val="0"/>
              <w:jc w:val="center"/>
              <w:rPr>
                <w:rFonts w:ascii="Times New Roman" w:hAnsi="Times New Roman"/>
                <w:bCs/>
                <w:sz w:val="21"/>
                <w:szCs w:val="21"/>
              </w:rPr>
            </w:pPr>
            <w:r>
              <w:rPr>
                <w:rFonts w:hint="eastAsia" w:ascii="Times New Roman" w:hAnsi="Times New Roman"/>
                <w:bCs/>
                <w:sz w:val="21"/>
                <w:szCs w:val="21"/>
              </w:rPr>
              <w:t>课堂出勤、平时作业、平时表现</w:t>
            </w:r>
          </w:p>
        </w:tc>
        <w:tc>
          <w:tcPr>
            <w:tcW w:w="708" w:type="dxa"/>
            <w:vAlign w:val="center"/>
          </w:tcPr>
          <w:p w14:paraId="7814F1F5">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53" w:type="dxa"/>
            <w:vAlign w:val="center"/>
          </w:tcPr>
          <w:p w14:paraId="67230D15">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086E7977">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r>
      <w:tr w14:paraId="0B45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432CB30">
            <w:pPr>
              <w:widowControl w:val="0"/>
              <w:snapToGrid w:val="0"/>
              <w:jc w:val="center"/>
              <w:rPr>
                <w:rFonts w:ascii="Times New Roman" w:hAnsi="Times New Roman"/>
                <w:bCs/>
                <w:sz w:val="21"/>
                <w:szCs w:val="21"/>
              </w:rPr>
            </w:pPr>
            <w:r>
              <w:rPr>
                <w:rFonts w:hint="eastAsia" w:ascii="Times New Roman" w:hAnsi="Times New Roman"/>
                <w:bCs/>
                <w:sz w:val="21"/>
                <w:szCs w:val="21"/>
              </w:rPr>
              <w:t>第三单元</w:t>
            </w:r>
          </w:p>
        </w:tc>
        <w:tc>
          <w:tcPr>
            <w:tcW w:w="2690" w:type="dxa"/>
            <w:vAlign w:val="center"/>
          </w:tcPr>
          <w:p w14:paraId="07070752">
            <w:pPr>
              <w:widowControl w:val="0"/>
              <w:snapToGrid w:val="0"/>
              <w:jc w:val="center"/>
              <w:rPr>
                <w:rFonts w:ascii="Times New Roman" w:hAnsi="Times New Roman"/>
                <w:bCs/>
                <w:sz w:val="21"/>
                <w:szCs w:val="21"/>
              </w:rPr>
            </w:pPr>
            <w:r>
              <w:rPr>
                <w:rFonts w:hint="eastAsia" w:ascii="Times New Roman" w:hAnsi="Times New Roman"/>
                <w:bCs/>
                <w:sz w:val="21"/>
                <w:szCs w:val="21"/>
              </w:rPr>
              <w:t>主要教学讨论习题</w:t>
            </w:r>
          </w:p>
        </w:tc>
        <w:tc>
          <w:tcPr>
            <w:tcW w:w="1697" w:type="dxa"/>
            <w:vAlign w:val="center"/>
          </w:tcPr>
          <w:p w14:paraId="59329F6D">
            <w:pPr>
              <w:widowControl w:val="0"/>
              <w:snapToGrid w:val="0"/>
              <w:jc w:val="center"/>
              <w:rPr>
                <w:rFonts w:ascii="Times New Roman" w:hAnsi="Times New Roman"/>
                <w:bCs/>
                <w:sz w:val="21"/>
                <w:szCs w:val="21"/>
              </w:rPr>
            </w:pPr>
            <w:r>
              <w:rPr>
                <w:rFonts w:hint="eastAsia" w:ascii="Times New Roman" w:hAnsi="Times New Roman"/>
                <w:bCs/>
                <w:sz w:val="21"/>
                <w:szCs w:val="21"/>
              </w:rPr>
              <w:t>课堂出勤、平时作业、平时表现</w:t>
            </w:r>
          </w:p>
        </w:tc>
        <w:tc>
          <w:tcPr>
            <w:tcW w:w="708" w:type="dxa"/>
            <w:vAlign w:val="center"/>
          </w:tcPr>
          <w:p w14:paraId="321ACB9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53" w:type="dxa"/>
            <w:vAlign w:val="center"/>
          </w:tcPr>
          <w:p w14:paraId="6EEF8EF9">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6882555">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r>
      <w:tr w14:paraId="019E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1F3AC774">
            <w:pPr>
              <w:pStyle w:val="13"/>
              <w:widowControl w:val="0"/>
            </w:pPr>
            <w:r>
              <w:rPr>
                <w:rFonts w:hint="eastAsia"/>
              </w:rPr>
              <w:t>合计</w:t>
            </w:r>
          </w:p>
        </w:tc>
        <w:tc>
          <w:tcPr>
            <w:tcW w:w="708" w:type="dxa"/>
            <w:tcBorders>
              <w:bottom w:val="single" w:color="auto" w:sz="12" w:space="0"/>
            </w:tcBorders>
            <w:vAlign w:val="center"/>
          </w:tcPr>
          <w:p w14:paraId="20A6C2D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53" w:type="dxa"/>
            <w:tcBorders>
              <w:bottom w:val="single" w:color="auto" w:sz="12" w:space="0"/>
            </w:tcBorders>
            <w:vAlign w:val="center"/>
          </w:tcPr>
          <w:p w14:paraId="3E4E050A">
            <w:pPr>
              <w:widowControl w:val="0"/>
              <w:snapToGrid w:val="0"/>
              <w:jc w:val="center"/>
              <w:rPr>
                <w:rFonts w:ascii="Times New Roman" w:hAnsi="Times New Roman"/>
                <w:bCs/>
                <w:sz w:val="21"/>
                <w:szCs w:val="21"/>
              </w:rPr>
            </w:pPr>
          </w:p>
        </w:tc>
        <w:tc>
          <w:tcPr>
            <w:tcW w:w="700" w:type="dxa"/>
            <w:tcBorders>
              <w:bottom w:val="single" w:color="auto" w:sz="12" w:space="0"/>
              <w:right w:val="single" w:color="auto" w:sz="12" w:space="0"/>
            </w:tcBorders>
            <w:vAlign w:val="center"/>
          </w:tcPr>
          <w:p w14:paraId="673559A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3313EA4B">
      <w:pPr>
        <w:pStyle w:val="16"/>
        <w:spacing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6F2A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AC5C3CA">
            <w:pPr>
              <w:widowControl w:val="0"/>
              <w:snapToGrid w:val="0"/>
              <w:jc w:val="both"/>
              <w:rPr>
                <w:rFonts w:ascii="Times New Roman" w:hAnsi="Times New Roman"/>
                <w:color w:val="000000"/>
                <w:sz w:val="21"/>
                <w:szCs w:val="21"/>
              </w:rPr>
            </w:pPr>
            <w:r>
              <w:rPr>
                <w:rFonts w:hint="eastAsia" w:ascii="Times New Roman" w:hAnsi="Times New Roman"/>
                <w:color w:val="000000"/>
                <w:sz w:val="21"/>
                <w:szCs w:val="21"/>
              </w:rPr>
              <w:t>对于数学建模课程思政如下设计：</w:t>
            </w:r>
          </w:p>
          <w:p w14:paraId="598F2C3F">
            <w:pPr>
              <w:widowControl w:val="0"/>
              <w:snapToGrid w:val="0"/>
              <w:jc w:val="both"/>
              <w:rPr>
                <w:rFonts w:ascii="Times New Roman" w:hAnsi="Times New Roman"/>
                <w:color w:val="000000"/>
                <w:sz w:val="21"/>
                <w:szCs w:val="21"/>
              </w:rPr>
            </w:pPr>
            <w:r>
              <w:rPr>
                <w:rFonts w:ascii="Times New Roman" w:hAnsi="Times New Roman"/>
                <w:color w:val="000000"/>
                <w:sz w:val="21"/>
                <w:szCs w:val="21"/>
              </w:rPr>
              <w:t>1通过课程教学引导学生遵守学术道德规范，讲述学术诚信的重要性，避免抄袭和剽窃等学术不端行为。</w:t>
            </w:r>
          </w:p>
          <w:p w14:paraId="48F8F6C2">
            <w:pPr>
              <w:widowControl w:val="0"/>
              <w:snapToGrid w:val="0"/>
              <w:jc w:val="both"/>
              <w:rPr>
                <w:rFonts w:ascii="Times New Roman" w:hAnsi="Times New Roman"/>
                <w:color w:val="000000"/>
                <w:sz w:val="21"/>
                <w:szCs w:val="21"/>
              </w:rPr>
            </w:pPr>
            <w:r>
              <w:rPr>
                <w:rFonts w:ascii="Times New Roman" w:hAnsi="Times New Roman"/>
                <w:color w:val="000000"/>
                <w:sz w:val="21"/>
                <w:szCs w:val="21"/>
              </w:rPr>
              <w:t>2. 社会责任感：让学生认识到数学能够解决实际问题，培养学生对社会问题的关注与解决的能力。</w:t>
            </w:r>
          </w:p>
          <w:p w14:paraId="65057984">
            <w:pPr>
              <w:widowControl w:val="0"/>
              <w:snapToGrid w:val="0"/>
              <w:jc w:val="both"/>
              <w:rPr>
                <w:rFonts w:ascii="Times New Roman" w:hAnsi="Times New Roman"/>
                <w:color w:val="000000"/>
                <w:sz w:val="21"/>
                <w:szCs w:val="21"/>
              </w:rPr>
            </w:pPr>
            <w:r>
              <w:rPr>
                <w:rFonts w:ascii="Times New Roman" w:hAnsi="Times New Roman"/>
                <w:color w:val="000000"/>
                <w:sz w:val="21"/>
                <w:szCs w:val="21"/>
              </w:rPr>
              <w:t>3. 创新意识：鼓励学生在数学</w:t>
            </w:r>
            <w:r>
              <w:rPr>
                <w:rFonts w:hint="eastAsia" w:ascii="Times New Roman" w:hAnsi="Times New Roman"/>
                <w:color w:val="000000"/>
                <w:sz w:val="21"/>
                <w:szCs w:val="21"/>
              </w:rPr>
              <w:t>学习</w:t>
            </w:r>
            <w:r>
              <w:rPr>
                <w:rFonts w:ascii="Times New Roman" w:hAnsi="Times New Roman"/>
                <w:color w:val="000000"/>
                <w:sz w:val="21"/>
                <w:szCs w:val="21"/>
              </w:rPr>
              <w:t>过程中提出不同的方案，并培养学生的创新思维和创造力。通过讨论和互动，引导学生提出自己独特的观点和思考，并鼓励他们超越惯性思维，勇于尝试新的方法。</w:t>
            </w:r>
          </w:p>
          <w:p w14:paraId="09E12BD5">
            <w:pPr>
              <w:widowControl w:val="0"/>
              <w:snapToGrid w:val="0"/>
              <w:jc w:val="both"/>
              <w:rPr>
                <w:rFonts w:ascii="Times New Roman" w:hAnsi="Times New Roman"/>
                <w:color w:val="000000"/>
                <w:sz w:val="21"/>
                <w:szCs w:val="21"/>
              </w:rPr>
            </w:pPr>
            <w:r>
              <w:rPr>
                <w:rFonts w:ascii="Times New Roman" w:hAnsi="Times New Roman"/>
                <w:color w:val="000000"/>
                <w:sz w:val="21"/>
                <w:szCs w:val="21"/>
              </w:rPr>
              <w:t>4. 理论与实践结合：引导学生将理论知识应用于实际问题中，并培养他们独立思考、分析问题和解决问题的能力。</w:t>
            </w:r>
          </w:p>
          <w:p w14:paraId="78915647">
            <w:pPr>
              <w:widowControl w:val="0"/>
              <w:snapToGrid w:val="0"/>
              <w:jc w:val="both"/>
            </w:pPr>
            <w:r>
              <w:rPr>
                <w:rFonts w:ascii="Times New Roman" w:hAnsi="Times New Roman"/>
                <w:color w:val="000000"/>
                <w:sz w:val="21"/>
                <w:szCs w:val="21"/>
              </w:rPr>
              <w:t>5. 社会主义核心价值观：</w:t>
            </w:r>
            <w:r>
              <w:rPr>
                <w:rFonts w:hint="eastAsia" w:ascii="Times New Roman" w:hAnsi="Times New Roman"/>
                <w:color w:val="000000"/>
                <w:sz w:val="21"/>
                <w:szCs w:val="21"/>
              </w:rPr>
              <w:t>建立良好的世界观，如</w:t>
            </w:r>
            <w:r>
              <w:rPr>
                <w:rFonts w:ascii="Times New Roman" w:hAnsi="Times New Roman"/>
                <w:color w:val="000000"/>
                <w:sz w:val="21"/>
                <w:szCs w:val="21"/>
              </w:rPr>
              <w:t>科学精神、创新意识、合作共赢、勤奋努力等，引导学生树立正确的人生观、价值观和世界观，以及提高学生的思想道德素质。</w:t>
            </w:r>
            <w:r>
              <w:rPr>
                <w:rFonts w:hint="eastAsia" w:ascii="Times New Roman" w:hAnsi="Times New Roman"/>
                <w:color w:val="000000"/>
                <w:sz w:val="21"/>
                <w:szCs w:val="21"/>
              </w:rPr>
              <w:t>培养学生的社会责任感和综合素质。</w:t>
            </w:r>
          </w:p>
          <w:p w14:paraId="7E269F0E">
            <w:pPr>
              <w:pStyle w:val="14"/>
              <w:widowControl w:val="0"/>
              <w:jc w:val="left"/>
            </w:pPr>
          </w:p>
          <w:p w14:paraId="55DD61F0">
            <w:pPr>
              <w:pStyle w:val="14"/>
              <w:widowControl w:val="0"/>
              <w:jc w:val="left"/>
            </w:pPr>
          </w:p>
        </w:tc>
      </w:tr>
    </w:tbl>
    <w:p w14:paraId="0D12F997">
      <w:pPr>
        <w:pStyle w:val="16"/>
        <w:spacing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394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27BFF6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C28BB2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3077A76">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47ADB79">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1387709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542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22A8F1D">
            <w:pPr>
              <w:widowControl w:val="0"/>
              <w:snapToGrid w:val="0"/>
              <w:jc w:val="center"/>
              <w:rPr>
                <w:rFonts w:ascii="黑体" w:hAnsi="黑体" w:eastAsia="黑体"/>
                <w:bCs/>
                <w:sz w:val="21"/>
                <w:szCs w:val="21"/>
              </w:rPr>
            </w:pPr>
          </w:p>
        </w:tc>
        <w:tc>
          <w:tcPr>
            <w:tcW w:w="709" w:type="dxa"/>
            <w:vMerge w:val="continue"/>
          </w:tcPr>
          <w:p w14:paraId="38DD2545">
            <w:pPr>
              <w:pStyle w:val="16"/>
              <w:widowControl w:val="0"/>
              <w:jc w:val="both"/>
              <w:rPr>
                <w:rFonts w:ascii="黑体" w:hAnsi="黑体"/>
                <w:bCs/>
                <w:sz w:val="21"/>
                <w:szCs w:val="21"/>
              </w:rPr>
            </w:pPr>
          </w:p>
        </w:tc>
        <w:tc>
          <w:tcPr>
            <w:tcW w:w="2353" w:type="dxa"/>
            <w:vMerge w:val="continue"/>
            <w:tcBorders>
              <w:right w:val="double" w:color="auto" w:sz="4" w:space="0"/>
            </w:tcBorders>
          </w:tcPr>
          <w:p w14:paraId="6DC4DD6D">
            <w:pPr>
              <w:pStyle w:val="16"/>
              <w:widowControl w:val="0"/>
              <w:jc w:val="both"/>
              <w:rPr>
                <w:rFonts w:ascii="黑体" w:hAnsi="黑体"/>
                <w:bCs/>
                <w:sz w:val="21"/>
                <w:szCs w:val="21"/>
              </w:rPr>
            </w:pPr>
          </w:p>
        </w:tc>
        <w:tc>
          <w:tcPr>
            <w:tcW w:w="612" w:type="dxa"/>
            <w:tcBorders>
              <w:left w:val="double" w:color="auto" w:sz="4" w:space="0"/>
            </w:tcBorders>
            <w:vAlign w:val="center"/>
          </w:tcPr>
          <w:p w14:paraId="439E7ECA">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7EC6C1AC">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DAC89A4">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40DE0315">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0BFBF4A">
            <w:pPr>
              <w:pStyle w:val="16"/>
              <w:widowControl w:val="0"/>
              <w:spacing w:line="240" w:lineRule="auto"/>
              <w:jc w:val="center"/>
              <w:rPr>
                <w:rFonts w:ascii="黑体" w:hAnsi="黑体"/>
                <w:bCs/>
                <w:sz w:val="21"/>
                <w:szCs w:val="21"/>
              </w:rPr>
            </w:pPr>
          </w:p>
        </w:tc>
        <w:tc>
          <w:tcPr>
            <w:tcW w:w="612" w:type="dxa"/>
            <w:vAlign w:val="center"/>
          </w:tcPr>
          <w:p w14:paraId="5FCD0BD1">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36F64DF4">
            <w:pPr>
              <w:pStyle w:val="16"/>
              <w:widowControl w:val="0"/>
              <w:spacing w:line="240" w:lineRule="auto"/>
              <w:jc w:val="center"/>
              <w:rPr>
                <w:rFonts w:ascii="黑体" w:hAnsi="黑体"/>
                <w:bCs/>
                <w:sz w:val="21"/>
                <w:szCs w:val="21"/>
              </w:rPr>
            </w:pPr>
          </w:p>
        </w:tc>
      </w:tr>
      <w:tr w14:paraId="56C8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8B1B77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4B16248">
            <w:pPr>
              <w:pStyle w:val="14"/>
              <w:widowControl w:val="0"/>
            </w:pPr>
            <w:r>
              <w:rPr>
                <w:rFonts w:hint="eastAsia"/>
              </w:rPr>
              <w:t>50%</w:t>
            </w:r>
          </w:p>
        </w:tc>
        <w:tc>
          <w:tcPr>
            <w:tcW w:w="2353" w:type="dxa"/>
            <w:tcBorders>
              <w:right w:val="double" w:color="auto" w:sz="4" w:space="0"/>
            </w:tcBorders>
            <w:vAlign w:val="center"/>
          </w:tcPr>
          <w:p w14:paraId="0446D029">
            <w:pPr>
              <w:pStyle w:val="14"/>
              <w:widowControl w:val="0"/>
            </w:pPr>
            <w:r>
              <w:rPr>
                <w:rFonts w:hint="eastAsia"/>
              </w:rPr>
              <w:t>大作业</w:t>
            </w:r>
          </w:p>
        </w:tc>
        <w:tc>
          <w:tcPr>
            <w:tcW w:w="612" w:type="dxa"/>
            <w:tcBorders>
              <w:left w:val="double" w:color="auto" w:sz="4" w:space="0"/>
            </w:tcBorders>
            <w:vAlign w:val="center"/>
          </w:tcPr>
          <w:p w14:paraId="7C68BA0B">
            <w:pPr>
              <w:pStyle w:val="14"/>
              <w:widowControl w:val="0"/>
            </w:pPr>
            <w:r>
              <w:rPr>
                <w:rFonts w:hint="eastAsia"/>
              </w:rPr>
              <w:t>60</w:t>
            </w:r>
          </w:p>
        </w:tc>
        <w:tc>
          <w:tcPr>
            <w:tcW w:w="612" w:type="dxa"/>
            <w:vAlign w:val="center"/>
          </w:tcPr>
          <w:p w14:paraId="1F614A99">
            <w:pPr>
              <w:pStyle w:val="14"/>
              <w:widowControl w:val="0"/>
            </w:pPr>
            <w:r>
              <w:rPr>
                <w:rFonts w:hint="eastAsia"/>
              </w:rPr>
              <w:t>20</w:t>
            </w:r>
          </w:p>
        </w:tc>
        <w:tc>
          <w:tcPr>
            <w:tcW w:w="612" w:type="dxa"/>
            <w:vAlign w:val="center"/>
          </w:tcPr>
          <w:p w14:paraId="6B3257DE">
            <w:pPr>
              <w:pStyle w:val="14"/>
              <w:widowControl w:val="0"/>
            </w:pPr>
            <w:r>
              <w:rPr>
                <w:rFonts w:hint="eastAsia"/>
              </w:rPr>
              <w:t>10</w:t>
            </w:r>
          </w:p>
        </w:tc>
        <w:tc>
          <w:tcPr>
            <w:tcW w:w="612" w:type="dxa"/>
            <w:vAlign w:val="center"/>
          </w:tcPr>
          <w:p w14:paraId="691E0C0E">
            <w:pPr>
              <w:pStyle w:val="14"/>
              <w:widowControl w:val="0"/>
            </w:pPr>
            <w:r>
              <w:rPr>
                <w:rFonts w:hint="eastAsia"/>
              </w:rPr>
              <w:t>10</w:t>
            </w:r>
          </w:p>
        </w:tc>
        <w:tc>
          <w:tcPr>
            <w:tcW w:w="612" w:type="dxa"/>
            <w:vAlign w:val="center"/>
          </w:tcPr>
          <w:p w14:paraId="05C523C5">
            <w:pPr>
              <w:pStyle w:val="14"/>
              <w:widowControl w:val="0"/>
            </w:pPr>
          </w:p>
        </w:tc>
        <w:tc>
          <w:tcPr>
            <w:tcW w:w="612" w:type="dxa"/>
            <w:vAlign w:val="center"/>
          </w:tcPr>
          <w:p w14:paraId="5EFD964F">
            <w:pPr>
              <w:pStyle w:val="14"/>
              <w:widowControl w:val="0"/>
            </w:pPr>
          </w:p>
        </w:tc>
        <w:tc>
          <w:tcPr>
            <w:tcW w:w="706" w:type="dxa"/>
            <w:tcBorders>
              <w:right w:val="single" w:color="auto" w:sz="12" w:space="0"/>
            </w:tcBorders>
            <w:vAlign w:val="center"/>
          </w:tcPr>
          <w:p w14:paraId="279B7208">
            <w:pPr>
              <w:pStyle w:val="14"/>
              <w:widowControl w:val="0"/>
            </w:pPr>
            <w:r>
              <w:rPr>
                <w:rFonts w:hint="eastAsia"/>
              </w:rPr>
              <w:t>1</w:t>
            </w:r>
            <w:r>
              <w:t>00</w:t>
            </w:r>
          </w:p>
        </w:tc>
      </w:tr>
      <w:tr w14:paraId="1FC8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EB950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0071C83">
            <w:pPr>
              <w:pStyle w:val="14"/>
              <w:widowControl w:val="0"/>
            </w:pPr>
            <w:r>
              <w:rPr>
                <w:rFonts w:hint="eastAsia"/>
              </w:rPr>
              <w:t>30%</w:t>
            </w:r>
          </w:p>
        </w:tc>
        <w:tc>
          <w:tcPr>
            <w:tcW w:w="2353" w:type="dxa"/>
            <w:tcBorders>
              <w:right w:val="double" w:color="auto" w:sz="4" w:space="0"/>
            </w:tcBorders>
            <w:vAlign w:val="center"/>
          </w:tcPr>
          <w:p w14:paraId="001D67AC">
            <w:pPr>
              <w:pStyle w:val="14"/>
              <w:widowControl w:val="0"/>
            </w:pPr>
            <w:r>
              <w:rPr>
                <w:rFonts w:hint="eastAsia"/>
              </w:rPr>
              <w:t>平时作业</w:t>
            </w:r>
          </w:p>
        </w:tc>
        <w:tc>
          <w:tcPr>
            <w:tcW w:w="612" w:type="dxa"/>
            <w:tcBorders>
              <w:left w:val="double" w:color="auto" w:sz="4" w:space="0"/>
            </w:tcBorders>
            <w:vAlign w:val="center"/>
          </w:tcPr>
          <w:p w14:paraId="497E8A9A">
            <w:pPr>
              <w:pStyle w:val="14"/>
              <w:widowControl w:val="0"/>
            </w:pPr>
            <w:r>
              <w:rPr>
                <w:rFonts w:hint="eastAsia"/>
              </w:rPr>
              <w:t>50</w:t>
            </w:r>
          </w:p>
        </w:tc>
        <w:tc>
          <w:tcPr>
            <w:tcW w:w="612" w:type="dxa"/>
            <w:vAlign w:val="center"/>
          </w:tcPr>
          <w:p w14:paraId="154E198F">
            <w:pPr>
              <w:pStyle w:val="14"/>
              <w:widowControl w:val="0"/>
            </w:pPr>
            <w:r>
              <w:rPr>
                <w:rFonts w:hint="eastAsia"/>
              </w:rPr>
              <w:t>30</w:t>
            </w:r>
          </w:p>
        </w:tc>
        <w:tc>
          <w:tcPr>
            <w:tcW w:w="612" w:type="dxa"/>
            <w:vAlign w:val="center"/>
          </w:tcPr>
          <w:p w14:paraId="32F6B703">
            <w:pPr>
              <w:pStyle w:val="14"/>
              <w:widowControl w:val="0"/>
            </w:pPr>
            <w:r>
              <w:rPr>
                <w:rFonts w:hint="eastAsia"/>
              </w:rPr>
              <w:t>20</w:t>
            </w:r>
          </w:p>
        </w:tc>
        <w:tc>
          <w:tcPr>
            <w:tcW w:w="612" w:type="dxa"/>
            <w:vAlign w:val="center"/>
          </w:tcPr>
          <w:p w14:paraId="0704D418">
            <w:pPr>
              <w:pStyle w:val="14"/>
              <w:widowControl w:val="0"/>
            </w:pPr>
          </w:p>
        </w:tc>
        <w:tc>
          <w:tcPr>
            <w:tcW w:w="612" w:type="dxa"/>
            <w:vAlign w:val="center"/>
          </w:tcPr>
          <w:p w14:paraId="2D8BEE51">
            <w:pPr>
              <w:pStyle w:val="14"/>
              <w:widowControl w:val="0"/>
            </w:pPr>
          </w:p>
        </w:tc>
        <w:tc>
          <w:tcPr>
            <w:tcW w:w="612" w:type="dxa"/>
            <w:vAlign w:val="center"/>
          </w:tcPr>
          <w:p w14:paraId="52EBD6C3">
            <w:pPr>
              <w:pStyle w:val="14"/>
              <w:widowControl w:val="0"/>
            </w:pPr>
          </w:p>
        </w:tc>
        <w:tc>
          <w:tcPr>
            <w:tcW w:w="706" w:type="dxa"/>
            <w:tcBorders>
              <w:right w:val="single" w:color="auto" w:sz="12" w:space="0"/>
            </w:tcBorders>
            <w:vAlign w:val="center"/>
          </w:tcPr>
          <w:p w14:paraId="268B7229">
            <w:pPr>
              <w:pStyle w:val="14"/>
              <w:widowControl w:val="0"/>
            </w:pPr>
            <w:r>
              <w:rPr>
                <w:rFonts w:hint="eastAsia"/>
              </w:rPr>
              <w:t>1</w:t>
            </w:r>
            <w:r>
              <w:t>00</w:t>
            </w:r>
          </w:p>
        </w:tc>
      </w:tr>
      <w:tr w14:paraId="14A8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688C73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4D6043BA">
            <w:pPr>
              <w:pStyle w:val="14"/>
              <w:widowControl w:val="0"/>
            </w:pPr>
            <w:r>
              <w:rPr>
                <w:rFonts w:hint="eastAsia"/>
              </w:rPr>
              <w:t>20%</w:t>
            </w:r>
          </w:p>
        </w:tc>
        <w:tc>
          <w:tcPr>
            <w:tcW w:w="2353" w:type="dxa"/>
            <w:tcBorders>
              <w:right w:val="double" w:color="auto" w:sz="4" w:space="0"/>
            </w:tcBorders>
            <w:vAlign w:val="center"/>
          </w:tcPr>
          <w:p w14:paraId="4A104793">
            <w:pPr>
              <w:pStyle w:val="14"/>
              <w:widowControl w:val="0"/>
            </w:pPr>
            <w:r>
              <w:rPr>
                <w:rFonts w:hint="eastAsia"/>
              </w:rPr>
              <w:t>考勤</w:t>
            </w:r>
          </w:p>
        </w:tc>
        <w:tc>
          <w:tcPr>
            <w:tcW w:w="612" w:type="dxa"/>
            <w:tcBorders>
              <w:left w:val="double" w:color="auto" w:sz="4" w:space="0"/>
            </w:tcBorders>
            <w:vAlign w:val="center"/>
          </w:tcPr>
          <w:p w14:paraId="71958C98">
            <w:pPr>
              <w:pStyle w:val="14"/>
              <w:widowControl w:val="0"/>
            </w:pPr>
            <w:r>
              <w:rPr>
                <w:rFonts w:hint="eastAsia"/>
              </w:rPr>
              <w:t>50</w:t>
            </w:r>
          </w:p>
        </w:tc>
        <w:tc>
          <w:tcPr>
            <w:tcW w:w="612" w:type="dxa"/>
            <w:vAlign w:val="center"/>
          </w:tcPr>
          <w:p w14:paraId="09F36630">
            <w:pPr>
              <w:pStyle w:val="14"/>
              <w:widowControl w:val="0"/>
            </w:pPr>
            <w:r>
              <w:rPr>
                <w:rFonts w:hint="eastAsia"/>
              </w:rPr>
              <w:t>50</w:t>
            </w:r>
          </w:p>
        </w:tc>
        <w:tc>
          <w:tcPr>
            <w:tcW w:w="612" w:type="dxa"/>
            <w:vAlign w:val="center"/>
          </w:tcPr>
          <w:p w14:paraId="6FCD7F40">
            <w:pPr>
              <w:pStyle w:val="14"/>
              <w:widowControl w:val="0"/>
            </w:pPr>
          </w:p>
        </w:tc>
        <w:tc>
          <w:tcPr>
            <w:tcW w:w="612" w:type="dxa"/>
            <w:vAlign w:val="center"/>
          </w:tcPr>
          <w:p w14:paraId="71C1F180">
            <w:pPr>
              <w:pStyle w:val="14"/>
              <w:widowControl w:val="0"/>
            </w:pPr>
          </w:p>
        </w:tc>
        <w:tc>
          <w:tcPr>
            <w:tcW w:w="612" w:type="dxa"/>
            <w:vAlign w:val="center"/>
          </w:tcPr>
          <w:p w14:paraId="4579B6C1">
            <w:pPr>
              <w:pStyle w:val="14"/>
              <w:widowControl w:val="0"/>
            </w:pPr>
          </w:p>
        </w:tc>
        <w:tc>
          <w:tcPr>
            <w:tcW w:w="612" w:type="dxa"/>
            <w:vAlign w:val="center"/>
          </w:tcPr>
          <w:p w14:paraId="32B4A04A">
            <w:pPr>
              <w:pStyle w:val="14"/>
              <w:widowControl w:val="0"/>
            </w:pPr>
          </w:p>
        </w:tc>
        <w:tc>
          <w:tcPr>
            <w:tcW w:w="706" w:type="dxa"/>
            <w:tcBorders>
              <w:right w:val="single" w:color="auto" w:sz="12" w:space="0"/>
            </w:tcBorders>
            <w:vAlign w:val="center"/>
          </w:tcPr>
          <w:p w14:paraId="49ADFEE0">
            <w:pPr>
              <w:pStyle w:val="14"/>
              <w:widowControl w:val="0"/>
            </w:pPr>
            <w:r>
              <w:rPr>
                <w:rFonts w:hint="eastAsia"/>
              </w:rPr>
              <w:t>1</w:t>
            </w:r>
            <w:r>
              <w:t>00</w:t>
            </w:r>
          </w:p>
        </w:tc>
      </w:tr>
    </w:tbl>
    <w:p w14:paraId="74E95338">
      <w:pPr>
        <w:pStyle w:val="17"/>
        <w:spacing w:beforeLines="100" w:after="163"/>
        <w:jc w:val="center"/>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CE83">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28B9888B">
                <w:pPr>
                  <w:rPr>
                    <w:rFonts w:ascii="Times New Roman" w:hAnsi="Times New Roman"/>
                  </w:rPr>
                </w:pPr>
                <w:r>
                  <w:rPr>
                    <w:rFonts w:ascii="Times New Roman" w:hAnsi="Times New Roman"/>
                  </w:rPr>
                  <w:t>SJQU-QR-JW-055（A0）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968"/>
    <w:multiLevelType w:val="multilevel"/>
    <w:tmpl w:val="5C7E096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iOTQ2YTMzYTNmODRjYzQ4NWY5MjU1MmNhMzJmNT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35807"/>
    <w:rsid w:val="002420F1"/>
    <w:rsid w:val="00253AC8"/>
    <w:rsid w:val="00256B39"/>
    <w:rsid w:val="0026033C"/>
    <w:rsid w:val="002702CE"/>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4690"/>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5117"/>
    <w:rsid w:val="00BD7AB0"/>
    <w:rsid w:val="00BF3C20"/>
    <w:rsid w:val="00C011BC"/>
    <w:rsid w:val="00C03DBA"/>
    <w:rsid w:val="00C112E7"/>
    <w:rsid w:val="00C11C78"/>
    <w:rsid w:val="00C11CD4"/>
    <w:rsid w:val="00C15061"/>
    <w:rsid w:val="00C1713D"/>
    <w:rsid w:val="00C20D9D"/>
    <w:rsid w:val="00C2134F"/>
    <w:rsid w:val="00C24718"/>
    <w:rsid w:val="00C2675D"/>
    <w:rsid w:val="00C2747A"/>
    <w:rsid w:val="00C30AEE"/>
    <w:rsid w:val="00C33362"/>
    <w:rsid w:val="00C353AE"/>
    <w:rsid w:val="00C4194E"/>
    <w:rsid w:val="00C516B1"/>
    <w:rsid w:val="00C5350C"/>
    <w:rsid w:val="00C55399"/>
    <w:rsid w:val="00C56E09"/>
    <w:rsid w:val="00C61B1B"/>
    <w:rsid w:val="00C66AB7"/>
    <w:rsid w:val="00C673D1"/>
    <w:rsid w:val="00C746CB"/>
    <w:rsid w:val="00C77BBF"/>
    <w:rsid w:val="00C77D64"/>
    <w:rsid w:val="00C81564"/>
    <w:rsid w:val="00C9080C"/>
    <w:rsid w:val="00C94429"/>
    <w:rsid w:val="00CA18FD"/>
    <w:rsid w:val="00CA27E5"/>
    <w:rsid w:val="00CA388C"/>
    <w:rsid w:val="00CA4897"/>
    <w:rsid w:val="00CA6928"/>
    <w:rsid w:val="00CB3D3F"/>
    <w:rsid w:val="00CB5A1A"/>
    <w:rsid w:val="00CC59E6"/>
    <w:rsid w:val="00CC6F64"/>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10A9"/>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18221B5"/>
    <w:rsid w:val="22987C80"/>
    <w:rsid w:val="24192CCC"/>
    <w:rsid w:val="26F4679D"/>
    <w:rsid w:val="39A66CD4"/>
    <w:rsid w:val="3CD52CE1"/>
    <w:rsid w:val="410F2E6A"/>
    <w:rsid w:val="4430136C"/>
    <w:rsid w:val="4AB0382B"/>
    <w:rsid w:val="569868B5"/>
    <w:rsid w:val="5D5260C9"/>
    <w:rsid w:val="611F6817"/>
    <w:rsid w:val="66CA1754"/>
    <w:rsid w:val="6F1E65D4"/>
    <w:rsid w:val="6F266C86"/>
    <w:rsid w:val="6F5042C2"/>
    <w:rsid w:val="74316312"/>
    <w:rsid w:val="780E3053"/>
    <w:rsid w:val="780F13C8"/>
    <w:rsid w:val="784C0BD5"/>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Lines="25" w:beforeAutospacing="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5F5EF-8C4A-4AF9-994A-5333F8B7328A}">
  <ds:schemaRefs/>
</ds:datastoreItem>
</file>

<file path=docProps/app.xml><?xml version="1.0" encoding="utf-8"?>
<Properties xmlns="http://schemas.openxmlformats.org/officeDocument/2006/extended-properties" xmlns:vt="http://schemas.openxmlformats.org/officeDocument/2006/docPropsVTypes">
  <Template>Normal</Template>
  <Pages>6</Pages>
  <Words>2943</Words>
  <Characters>3035</Characters>
  <Lines>24</Lines>
  <Paragraphs>6</Paragraphs>
  <TotalTime>27</TotalTime>
  <ScaleCrop>false</ScaleCrop>
  <LinksUpToDate>false</LinksUpToDate>
  <CharactersWithSpaces>3070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fanqi</cp:lastModifiedBy>
  <cp:lastPrinted>2023-11-21T00:52:00Z</cp:lastPrinted>
  <dcterms:modified xsi:type="dcterms:W3CDTF">2024-09-06T13:17:29Z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B8588DEF0F9F45EEA60E8230054E83AB_12</vt:lpwstr>
  </property>
</Properties>
</file>