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小标宋简体" w:hAnsi="宋体" w:eastAsia="方正小标宋简体"/>
          <w:bCs/>
          <w:kern w:val="0"/>
          <w:sz w:val="24"/>
          <w:szCs w:val="24"/>
        </w:rPr>
      </w:pPr>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6350" b="11430"/>
                <wp:wrapNone/>
                <wp:docPr id="1" name="文本框 1"/>
                <wp:cNvGraphicFramePr/>
                <a:graphic xmlns:a="http://schemas.openxmlformats.org/drawingml/2006/main">
                  <a:graphicData uri="http://schemas.microsoft.com/office/word/2010/wordprocessingShape">
                    <wps:wsp>
                      <wps:cNvSpPr txBox="1"/>
                      <wps:spPr>
                        <a:xfrm>
                          <a:off x="540385" y="35941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DL&#10;Vkea1AAAAAgBAAAPAAAAAAAAAAEAIAAAACIAAABkcnMvZG93bnJldi54bWxQSwECFAAUAAAACACH&#10;TuJANG/VK2ECAACnBAAADgAAAAAAAAABACAAAAAjAQAAZHJzL2Uyb0RvYy54bWxQSwUGAAAAAAYA&#10;BgBZAQAA9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26（A</w:t>
                      </w:r>
                      <w:r>
                        <w:rPr>
                          <w:rFonts w:ascii="宋体" w:hAnsi="宋体"/>
                          <w:spacing w:val="20"/>
                          <w:sz w:val="24"/>
                          <w:szCs w:val="24"/>
                        </w:rPr>
                        <w:t>0）</w:t>
                      </w:r>
                    </w:p>
                  </w:txbxContent>
                </v:textbox>
              </v:shape>
            </w:pict>
          </mc:Fallback>
        </mc:AlternateContent>
      </w:r>
    </w:p>
    <w:p>
      <w:pPr>
        <w:spacing w:line="288" w:lineRule="auto"/>
        <w:jc w:val="center"/>
        <w:rPr>
          <w:b/>
          <w:sz w:val="28"/>
          <w:szCs w:val="30"/>
        </w:rPr>
      </w:pPr>
      <w:r>
        <w:rPr>
          <w:rFonts w:hint="eastAsia"/>
          <w:b/>
          <w:sz w:val="28"/>
          <w:szCs w:val="30"/>
        </w:rPr>
        <w:t>【</w:t>
      </w:r>
      <w:r>
        <w:rPr>
          <w:rFonts w:hint="eastAsia"/>
          <w:b/>
          <w:sz w:val="28"/>
          <w:szCs w:val="30"/>
          <w:lang w:val="en-US" w:eastAsia="zh-CN"/>
        </w:rPr>
        <w:t>专业实践1</w:t>
      </w:r>
      <w:r>
        <w:rPr>
          <w:rFonts w:hint="eastAsia"/>
          <w:b/>
          <w:sz w:val="28"/>
          <w:szCs w:val="30"/>
        </w:rPr>
        <w:t>】</w:t>
      </w:r>
    </w:p>
    <w:p>
      <w:pPr>
        <w:shd w:val="clear" w:color="auto" w:fill="F5F5F5"/>
        <w:jc w:val="center"/>
        <w:textAlignment w:val="top"/>
        <w:rPr>
          <w:rFonts w:ascii="Arial" w:hAnsi="Arial" w:cs="Arial"/>
          <w:color w:val="888888"/>
          <w:kern w:val="0"/>
          <w:sz w:val="20"/>
          <w:szCs w:val="20"/>
        </w:rPr>
      </w:pPr>
      <w:bookmarkStart w:id="0" w:name="a2"/>
      <w:bookmarkEnd w:id="0"/>
      <w:r>
        <w:rPr>
          <w:rFonts w:hint="eastAsia"/>
          <w:b/>
          <w:sz w:val="28"/>
          <w:szCs w:val="30"/>
        </w:rPr>
        <w:t>【Professional practice</w:t>
      </w:r>
      <w:r>
        <w:rPr>
          <w:rFonts w:hint="eastAsia"/>
          <w:b/>
          <w:sz w:val="28"/>
          <w:szCs w:val="30"/>
          <w:lang w:val="en-US" w:eastAsia="zh-CN"/>
        </w:rPr>
        <w:t>1</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w:t>
      </w:r>
      <w:r>
        <w:rPr>
          <w:rFonts w:hint="eastAsia" w:ascii="宋体" w:hAnsi="宋体"/>
          <w:szCs w:val="21"/>
        </w:rPr>
        <w:t>213900</w:t>
      </w:r>
      <w:r>
        <w:rPr>
          <w:rFonts w:hint="eastAsia" w:ascii="宋体" w:hAnsi="宋体"/>
          <w:szCs w:val="21"/>
          <w:lang w:val="en-US" w:eastAsia="zh-CN"/>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lang w:val="en-US" w:eastAsia="zh-CN"/>
        </w:rPr>
        <w:t>集中实践教学</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
          <w:bCs/>
          <w:color w:val="000000"/>
          <w:sz w:val="20"/>
          <w:szCs w:val="20"/>
        </w:rPr>
        <w:t>学前教育系</w:t>
      </w:r>
    </w:p>
    <w:p>
      <w:pPr>
        <w:snapToGrid w:val="0"/>
        <w:spacing w:line="288" w:lineRule="auto"/>
        <w:ind w:left="801" w:leftChars="190" w:hanging="402" w:hangingChars="200"/>
        <w:rPr>
          <w:rFonts w:hint="eastAsia"/>
          <w:color w:val="000000"/>
          <w:sz w:val="20"/>
          <w:szCs w:val="20"/>
          <w:highlight w:val="none"/>
          <w:lang w:val="en-US" w:eastAsia="zh-CN"/>
        </w:rPr>
      </w:pPr>
      <w:r>
        <w:rPr>
          <w:b/>
          <w:bCs/>
          <w:color w:val="000000"/>
          <w:sz w:val="20"/>
          <w:szCs w:val="20"/>
        </w:rPr>
        <w:t>使用教材</w:t>
      </w:r>
      <w:r>
        <w:rPr>
          <w:rFonts w:hint="eastAsia"/>
          <w:b/>
          <w:bCs/>
          <w:color w:val="000000"/>
          <w:sz w:val="20"/>
          <w:szCs w:val="20"/>
        </w:rPr>
        <w:t>：</w:t>
      </w:r>
      <w:r>
        <w:rPr>
          <w:color w:val="000000"/>
          <w:sz w:val="20"/>
          <w:szCs w:val="20"/>
          <w:highlight w:val="none"/>
        </w:rPr>
        <w:t>参考</w:t>
      </w:r>
      <w:r>
        <w:rPr>
          <w:rFonts w:hint="eastAsia"/>
          <w:color w:val="000000"/>
          <w:sz w:val="20"/>
          <w:szCs w:val="20"/>
          <w:highlight w:val="none"/>
        </w:rPr>
        <w:t>书目</w:t>
      </w:r>
      <w:r>
        <w:rPr>
          <w:color w:val="000000"/>
          <w:sz w:val="20"/>
          <w:szCs w:val="20"/>
          <w:highlight w:val="none"/>
        </w:rPr>
        <w:t>【</w:t>
      </w:r>
      <w:r>
        <w:rPr>
          <w:rFonts w:hint="eastAsia"/>
          <w:color w:val="000000"/>
          <w:sz w:val="20"/>
          <w:szCs w:val="20"/>
          <w:highlight w:val="none"/>
          <w:lang w:val="en-US" w:eastAsia="zh-CN"/>
        </w:rPr>
        <w:t>1.书名：学前教育学，作者：钱雨，出版社：上海交通大学出版社，版本信息：2018-06-01（出版时间），版次：第1版，书号（ISBN）：9787313194756；</w:t>
      </w:r>
    </w:p>
    <w:p>
      <w:pPr>
        <w:numPr>
          <w:ilvl w:val="0"/>
          <w:numId w:val="1"/>
        </w:numPr>
        <w:snapToGrid w:val="0"/>
        <w:spacing w:line="288" w:lineRule="auto"/>
        <w:ind w:left="718" w:leftChars="342" w:firstLine="100" w:firstLineChars="50"/>
        <w:rPr>
          <w:color w:val="000000"/>
          <w:szCs w:val="21"/>
          <w:highlight w:val="none"/>
        </w:rPr>
      </w:pPr>
      <w:r>
        <w:rPr>
          <w:rFonts w:hint="eastAsia"/>
          <w:color w:val="000000"/>
          <w:sz w:val="20"/>
          <w:szCs w:val="20"/>
          <w:lang w:val="en-US" w:eastAsia="zh-CN"/>
        </w:rPr>
        <w:t>书名：幼儿园教育活动综合设计与实施，作者：林炎琴，出版社：上海交通大学出版社，版本信息：</w:t>
      </w:r>
      <w:r>
        <w:rPr>
          <w:rFonts w:hint="eastAsia"/>
          <w:color w:val="000000"/>
          <w:sz w:val="20"/>
          <w:szCs w:val="20"/>
        </w:rPr>
        <w:t>20</w:t>
      </w:r>
      <w:r>
        <w:rPr>
          <w:rFonts w:hint="eastAsia"/>
          <w:color w:val="000000"/>
          <w:sz w:val="20"/>
          <w:szCs w:val="20"/>
          <w:lang w:val="en-US" w:eastAsia="zh-CN"/>
        </w:rPr>
        <w:t>18年6月</w:t>
      </w:r>
      <w:r>
        <w:rPr>
          <w:rFonts w:hint="eastAsia"/>
          <w:color w:val="000000"/>
          <w:sz w:val="20"/>
          <w:szCs w:val="20"/>
        </w:rPr>
        <w:t>（出版时间），版次：第</w:t>
      </w:r>
      <w:r>
        <w:rPr>
          <w:rFonts w:hint="eastAsia"/>
          <w:color w:val="000000"/>
          <w:sz w:val="20"/>
          <w:szCs w:val="20"/>
          <w:lang w:val="en-US" w:eastAsia="zh-CN"/>
        </w:rPr>
        <w:t>1</w:t>
      </w:r>
      <w:r>
        <w:rPr>
          <w:rFonts w:hint="eastAsia"/>
          <w:color w:val="000000"/>
          <w:sz w:val="20"/>
          <w:szCs w:val="20"/>
        </w:rPr>
        <w:t>版，书号（ISBN）：</w:t>
      </w:r>
      <w:r>
        <w:rPr>
          <w:rFonts w:hint="eastAsia"/>
          <w:color w:val="000000"/>
          <w:sz w:val="20"/>
          <w:szCs w:val="20"/>
          <w:lang w:val="en-US" w:eastAsia="zh-CN"/>
        </w:rPr>
        <w:t>9787313190901；</w:t>
      </w:r>
    </w:p>
    <w:p>
      <w:pPr>
        <w:numPr>
          <w:ilvl w:val="0"/>
          <w:numId w:val="1"/>
        </w:numPr>
        <w:snapToGrid w:val="0"/>
        <w:spacing w:line="288" w:lineRule="auto"/>
        <w:ind w:left="718" w:leftChars="342" w:firstLine="100" w:firstLineChars="50"/>
        <w:rPr>
          <w:color w:val="000000"/>
          <w:szCs w:val="21"/>
        </w:rPr>
      </w:pPr>
      <w:r>
        <w:rPr>
          <w:rFonts w:hint="eastAsia"/>
          <w:color w:val="000000"/>
          <w:sz w:val="20"/>
          <w:szCs w:val="20"/>
          <w:highlight w:val="none"/>
          <w:lang w:val="en-US" w:eastAsia="zh-CN"/>
        </w:rPr>
        <w:t>书名：幼儿园课程，作者：朱家雄，出版社：华东师范大学出版社，版本信息：2011年2月（出版时间），版次：第2版，</w:t>
      </w:r>
      <w:r>
        <w:rPr>
          <w:rFonts w:hint="eastAsia"/>
          <w:color w:val="000000"/>
          <w:sz w:val="20"/>
          <w:szCs w:val="20"/>
        </w:rPr>
        <w:t>书号（ISBN）</w:t>
      </w:r>
      <w:r>
        <w:rPr>
          <w:rFonts w:hint="eastAsia"/>
          <w:color w:val="000000"/>
          <w:sz w:val="20"/>
          <w:szCs w:val="20"/>
          <w:lang w:eastAsia="zh-CN"/>
        </w:rPr>
        <w:t>：</w:t>
      </w:r>
      <w:r>
        <w:rPr>
          <w:rFonts w:hint="eastAsia"/>
          <w:color w:val="000000"/>
          <w:sz w:val="20"/>
          <w:szCs w:val="20"/>
          <w:highlight w:val="none"/>
          <w:lang w:val="en-US" w:eastAsia="zh-CN"/>
        </w:rPr>
        <w:t>9787561733721；</w:t>
      </w:r>
      <w:r>
        <w:rPr>
          <w:color w:val="000000"/>
          <w:sz w:val="20"/>
          <w:szCs w:val="20"/>
          <w:highlight w:val="none"/>
        </w:rPr>
        <w:t>】</w:t>
      </w:r>
    </w:p>
    <w:p>
      <w:pPr>
        <w:snapToGrid w:val="0"/>
        <w:spacing w:line="288" w:lineRule="auto"/>
        <w:ind w:firstLine="394" w:firstLineChars="196"/>
        <w:jc w:val="left"/>
        <w:rPr>
          <w:rFonts w:ascii="黑体" w:hAnsi="宋体" w:eastAsia="黑体"/>
          <w:sz w:val="24"/>
        </w:rPr>
      </w:pPr>
      <w:r>
        <w:rPr>
          <w:rFonts w:hint="eastAsia"/>
          <w:b/>
          <w:bCs/>
          <w:color w:val="000000"/>
          <w:sz w:val="20"/>
          <w:szCs w:val="20"/>
        </w:rPr>
        <w:t>课程网站网址：https://www.icourse163.org/course/YAPT-1206301815?from=searchPage</w:t>
      </w:r>
    </w:p>
    <w:p>
      <w:pPr>
        <w:adjustRightInd w:val="0"/>
        <w:snapToGrid w:val="0"/>
        <w:spacing w:before="156" w:beforeLines="50" w:after="156" w:afterLines="50" w:line="288" w:lineRule="auto"/>
        <w:ind w:firstLine="240" w:firstLineChars="100"/>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rFonts w:hint="eastAsia"/>
          <w:color w:val="000000"/>
          <w:sz w:val="20"/>
          <w:szCs w:val="20"/>
        </w:rPr>
      </w:pPr>
      <w:r>
        <w:rPr>
          <w:rFonts w:hint="eastAsia"/>
          <w:color w:val="000000"/>
          <w:sz w:val="20"/>
          <w:szCs w:val="20"/>
        </w:rPr>
        <w:t>学前教育专业培养“反思性幼儿教育实践者”，实践教学是教育教学能力培养的重要途径和有力手段，是学前教育专业课程的重要组成部分。通过践行以“实践浸润、问题导向、案例反思”为基本理念的专业人才培养路径，贯穿全程的浸润式实践，使理论学习、实践反思紧密结合。实践者立足真实的保教情境，在问题的发现和解决中强化学前教育专业综合能力学习，培养学前教育专业综合素质，激发热爱学前教育专业情感。</w:t>
      </w:r>
    </w:p>
    <w:p>
      <w:pPr>
        <w:snapToGrid w:val="0"/>
        <w:spacing w:line="288" w:lineRule="auto"/>
        <w:ind w:firstLine="400" w:firstLineChars="200"/>
        <w:rPr>
          <w:color w:val="000000"/>
          <w:sz w:val="20"/>
          <w:szCs w:val="20"/>
        </w:rPr>
      </w:pPr>
      <w:r>
        <w:rPr>
          <w:rFonts w:hint="eastAsia"/>
          <w:color w:val="000000"/>
          <w:sz w:val="20"/>
          <w:szCs w:val="20"/>
        </w:rPr>
        <w:t>《</w:t>
      </w:r>
      <w:r>
        <w:rPr>
          <w:rFonts w:hint="eastAsia"/>
          <w:color w:val="000000"/>
          <w:sz w:val="20"/>
          <w:szCs w:val="20"/>
          <w:lang w:val="en-US" w:eastAsia="zh-CN"/>
        </w:rPr>
        <w:t>专业实践1</w:t>
      </w:r>
      <w:r>
        <w:rPr>
          <w:rFonts w:hint="eastAsia"/>
          <w:color w:val="000000"/>
          <w:sz w:val="20"/>
          <w:szCs w:val="20"/>
        </w:rPr>
        <w:t>》是旨在培养学生专业实践能力与专业反思能力的实践课程。通过深入保教现场观察与思考，对涉及幼儿园教育过程的现象与问题进行梳理、探讨、辩论。</w:t>
      </w:r>
    </w:p>
    <w:p>
      <w:pPr>
        <w:snapToGrid w:val="0"/>
        <w:spacing w:line="288" w:lineRule="auto"/>
        <w:ind w:firstLine="400" w:firstLineChars="200"/>
        <w:rPr>
          <w:color w:val="000000"/>
          <w:sz w:val="20"/>
          <w:szCs w:val="20"/>
        </w:rPr>
      </w:pPr>
      <w:r>
        <w:rPr>
          <w:rFonts w:hint="eastAsia"/>
          <w:color w:val="000000"/>
          <w:sz w:val="20"/>
          <w:szCs w:val="20"/>
        </w:rPr>
        <w:t>本课程采用在保教实践体验的基础上进行思考与讨论的方式展开。学生或进入保教现场体验，或通过现场视频观看，各自记录过程要点、感悟及问题，然后进行分析整理并提出问题，进而借助阅读、思考等提出自己的见解，以小组形式展开讨论，发表自己的观点。</w:t>
      </w:r>
    </w:p>
    <w:p>
      <w:pPr>
        <w:snapToGrid w:val="0"/>
        <w:spacing w:line="288" w:lineRule="auto"/>
        <w:ind w:firstLine="400" w:firstLineChars="200"/>
        <w:rPr>
          <w:color w:val="000000"/>
          <w:sz w:val="20"/>
          <w:szCs w:val="20"/>
        </w:rPr>
      </w:pPr>
      <w:r>
        <w:rPr>
          <w:rFonts w:hint="eastAsia"/>
          <w:color w:val="000000"/>
          <w:sz w:val="20"/>
          <w:szCs w:val="20"/>
        </w:rPr>
        <w:t>课程整个流程的关键三个环节：体验、思考、表达。本课程采用双导师制。幼儿园实践导师和系专业导师在第一学年通过参与引导介入学生的讨论，评价学生在对碰过程中的投入程度与效果。然后通过建立机制、培养能力促进学生在这门课程学习中的自治，专业导师逐步退后为联系人和评判人。</w:t>
      </w:r>
    </w:p>
    <w:p>
      <w:pPr>
        <w:snapToGrid w:val="0"/>
        <w:spacing w:line="288" w:lineRule="auto"/>
        <w:ind w:firstLine="400" w:firstLineChars="200"/>
        <w:rPr>
          <w:rFonts w:ascii="黑体" w:hAnsi="宋体" w:eastAsia="黑体"/>
          <w:sz w:val="24"/>
        </w:rPr>
      </w:pPr>
      <w:r>
        <w:rPr>
          <w:rFonts w:hint="eastAsia"/>
          <w:color w:val="000000"/>
          <w:sz w:val="20"/>
          <w:szCs w:val="20"/>
        </w:rPr>
        <w:t>本课程以大一两个学期作为基础阶段，而后持续深化，与专业实践课组合贯穿整个学程。</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rFonts w:hint="eastAsia"/>
          <w:color w:val="000000"/>
          <w:sz w:val="20"/>
          <w:szCs w:val="20"/>
        </w:rPr>
      </w:pPr>
      <w:r>
        <w:rPr>
          <w:rFonts w:hint="eastAsia"/>
          <w:color w:val="000000"/>
          <w:sz w:val="20"/>
          <w:szCs w:val="20"/>
        </w:rPr>
        <w:t>本课程适合学前教育系专业学生。</w:t>
      </w: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snapToGrid w:val="0"/>
        <w:spacing w:line="288" w:lineRule="auto"/>
        <w:ind w:firstLine="400" w:firstLineChars="200"/>
        <w:rPr>
          <w:rFonts w:hint="eastAsia"/>
          <w:color w:val="000000"/>
          <w:sz w:val="20"/>
          <w:szCs w:val="20"/>
        </w:rPr>
      </w:pPr>
    </w:p>
    <w:p>
      <w:pPr>
        <w:widowControl/>
        <w:numPr>
          <w:ilvl w:val="0"/>
          <w:numId w:val="2"/>
        </w:numPr>
        <w:spacing w:beforeLines="50" w:afterLines="50" w:line="288" w:lineRule="auto"/>
        <w:ind w:left="60" w:leftChars="0" w:firstLine="360" w:firstLineChars="0"/>
        <w:jc w:val="left"/>
        <w:rPr>
          <w:rFonts w:ascii="黑体" w:hAnsi="宋体" w:eastAsia="黑体"/>
          <w:sz w:val="24"/>
        </w:rPr>
      </w:pPr>
      <w:r>
        <w:rPr>
          <w:rFonts w:ascii="黑体" w:hAnsi="宋体" w:eastAsia="黑体"/>
          <w:sz w:val="24"/>
        </w:rPr>
        <w:t>课程与</w:t>
      </w:r>
      <w:r>
        <w:rPr>
          <w:rFonts w:hint="eastAsia" w:ascii="黑体" w:hAnsi="宋体" w:eastAsia="黑体"/>
          <w:sz w:val="24"/>
          <w:highlight w:val="none"/>
        </w:rPr>
        <w:t>专业毕业要求</w:t>
      </w:r>
      <w:r>
        <w:rPr>
          <w:rFonts w:ascii="黑体" w:hAnsi="宋体" w:eastAsia="黑体"/>
          <w:sz w:val="24"/>
        </w:rPr>
        <w:t>的关联性</w:t>
      </w:r>
    </w:p>
    <w:tbl>
      <w:tblPr>
        <w:tblStyle w:val="5"/>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11专业伦理：</w:t>
            </w:r>
            <w:r>
              <w:rPr>
                <w:rFonts w:hint="eastAsia" w:ascii="楷体_GB2312" w:hAnsi="楷体" w:eastAsia="楷体_GB2312"/>
                <w:bCs/>
                <w:sz w:val="24"/>
              </w:rPr>
              <w:t>认同社会主义核心价值观；理解与践行学前教育核心价值；明确与践行幼儿园教师保教行为规范。</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kern w:val="0"/>
                <w:sz w:val="20"/>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12</w:t>
            </w:r>
            <w:r>
              <w:rPr>
                <w:rFonts w:ascii="仿宋" w:hAnsi="仿宋" w:eastAsia="仿宋" w:cs="宋体"/>
                <w:color w:val="000000"/>
                <w:kern w:val="0"/>
                <w:sz w:val="24"/>
                <w:szCs w:val="24"/>
              </w:rPr>
              <w:t xml:space="preserve"> </w:t>
            </w:r>
            <w:r>
              <w:rPr>
                <w:rFonts w:hint="eastAsia" w:ascii="仿宋" w:hAnsi="仿宋" w:eastAsia="仿宋" w:cs="宋体"/>
                <w:color w:val="000000"/>
                <w:kern w:val="0"/>
                <w:sz w:val="24"/>
                <w:szCs w:val="24"/>
              </w:rPr>
              <w:t>教育情怀:</w:t>
            </w:r>
            <w:r>
              <w:rPr>
                <w:rFonts w:hint="eastAsia" w:ascii="楷体_GB2312" w:hAnsi="楷体" w:eastAsia="楷体_GB2312"/>
                <w:bCs/>
                <w:sz w:val="24"/>
              </w:rPr>
              <w:t>增强专业认同感和使命感；具有人文底蕴、生命关怀和科学精神；践行幼儿为本和爱与自由理念。</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21</w:t>
            </w:r>
            <w:r>
              <w:rPr>
                <w:rFonts w:hint="eastAsia" w:ascii="仿宋" w:hAnsi="仿宋" w:eastAsia="仿宋" w:cs="宋体"/>
                <w:color w:val="000000"/>
                <w:kern w:val="0"/>
                <w:sz w:val="24"/>
                <w:szCs w:val="24"/>
              </w:rPr>
              <w:t>儿童研究：</w:t>
            </w:r>
            <w:r>
              <w:rPr>
                <w:rFonts w:hint="eastAsia" w:ascii="楷体_GB2312" w:hAnsi="楷体" w:eastAsia="楷体_GB2312"/>
                <w:bCs/>
                <w:sz w:val="24"/>
              </w:rPr>
              <w:t>掌握儿童发展、儿童研究的基本理论；具备现场观察、记录、分析幼儿的意识和能力；具备评价幼儿园教育活动的能力。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2</w:t>
            </w:r>
            <w:r>
              <w:rPr>
                <w:rFonts w:hint="eastAsia" w:ascii="仿宋" w:hAnsi="仿宋" w:eastAsia="仿宋" w:cs="宋体"/>
                <w:color w:val="000000"/>
                <w:kern w:val="0"/>
                <w:sz w:val="24"/>
                <w:szCs w:val="24"/>
              </w:rPr>
              <w:t>2保教能力：</w:t>
            </w:r>
            <w:r>
              <w:rPr>
                <w:rFonts w:hint="eastAsia" w:ascii="楷体_GB2312" w:hAnsi="楷体" w:eastAsia="楷体_GB2312"/>
                <w:bCs/>
                <w:sz w:val="24"/>
              </w:rPr>
              <w:t>把握幼儿生理、心理特点；掌握幼儿园保育和教育的基本知识和方法；熟悉五大领域知识并能合理运用于综合活动中。</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widowControl/>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23环境创设：</w:t>
            </w:r>
            <w:r>
              <w:rPr>
                <w:rFonts w:hint="eastAsia" w:ascii="楷体_GB2312" w:hAnsi="楷体" w:eastAsia="楷体_GB2312"/>
                <w:bCs/>
                <w:sz w:val="24"/>
              </w:rPr>
              <w:t>充分认识大自然、大社会对幼儿发展的价值；具备创设有准备的环境的知识和能力；具备幼儿与环境互动质量的评价能力。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0"/>
              </w:rPr>
            </w:pPr>
            <w:r>
              <w:rPr>
                <w:rFonts w:hint="eastAsia" w:ascii="仿宋" w:hAnsi="仿宋" w:eastAsia="仿宋" w:cs="宋体"/>
                <w:color w:val="000000"/>
                <w:kern w:val="0"/>
                <w:sz w:val="24"/>
                <w:szCs w:val="24"/>
                <w:lang w:val="en-US" w:eastAsia="zh-CN"/>
              </w:rPr>
              <w:t>XQ</w:t>
            </w:r>
            <w:r>
              <w:rPr>
                <w:rFonts w:hint="eastAsia" w:ascii="仿宋" w:hAnsi="仿宋" w:eastAsia="仿宋" w:cs="宋体"/>
                <w:color w:val="000000"/>
                <w:kern w:val="0"/>
                <w:sz w:val="24"/>
                <w:szCs w:val="24"/>
              </w:rPr>
              <w:t>3</w:t>
            </w:r>
            <w:r>
              <w:rPr>
                <w:rFonts w:ascii="仿宋" w:hAnsi="仿宋" w:eastAsia="仿宋" w:cs="宋体"/>
                <w:color w:val="000000"/>
                <w:kern w:val="0"/>
                <w:sz w:val="24"/>
                <w:szCs w:val="24"/>
              </w:rPr>
              <w:t>1</w:t>
            </w:r>
            <w:r>
              <w:rPr>
                <w:rFonts w:hint="eastAsia" w:ascii="楷体_GB2312" w:hAnsi="楷体" w:eastAsia="楷体_GB2312"/>
                <w:bCs/>
                <w:sz w:val="24"/>
              </w:rPr>
              <w:t>班级管理:能引导幼儿建立班级的秩序与规则；能营造愉悦、尊重、平等、积极的班级氛围；有以班级为纽带调动家庭和社区资源的意识和能力。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32</w:t>
            </w:r>
            <w:r>
              <w:rPr>
                <w:rFonts w:hint="eastAsia" w:ascii="楷体_GB2312" w:hAnsi="楷体" w:eastAsia="楷体_GB2312"/>
                <w:bCs/>
                <w:sz w:val="24"/>
              </w:rPr>
              <w:t>综合活动:充分认识一日生活的课程价值；具备以游戏为幼儿园基本活动的意识和能力；具有整合幼儿园、家庭与社区资源的能力。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rFonts w:ascii="楷体_GB2312" w:hAnsi="楷体" w:eastAsia="楷体_GB2312"/>
                <w:bCs/>
                <w:sz w:val="24"/>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41</w:t>
            </w:r>
            <w:r>
              <w:rPr>
                <w:rFonts w:hint="eastAsia" w:ascii="楷体_GB2312" w:hAnsi="楷体" w:eastAsia="楷体_GB2312"/>
                <w:bCs/>
                <w:sz w:val="24"/>
              </w:rPr>
              <w:t>反思精神:养成主动学习、批判性思考的习惯和品格；具有自我反思和引导幼儿反思的意识和能力；具有创造性解决问题的意识与能力。</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42</w:t>
            </w:r>
            <w:r>
              <w:rPr>
                <w:rFonts w:hint="eastAsia" w:ascii="楷体_GB2312" w:hAnsi="楷体" w:eastAsia="楷体_GB2312"/>
                <w:bCs/>
                <w:sz w:val="24"/>
              </w:rPr>
              <w:t>国际视野:有参与国际教育交流的意识和能力；把握学前教育改革发展趋势和前沿动态；有分析和借鉴国际教育理念与实践的能力。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3" w:type="dxa"/>
            <w:vAlign w:val="center"/>
          </w:tcPr>
          <w:p>
            <w:pPr>
              <w:tabs>
                <w:tab w:val="left" w:pos="4200"/>
              </w:tabs>
              <w:adjustRightInd w:val="0"/>
              <w:snapToGrid w:val="0"/>
              <w:spacing w:line="264" w:lineRule="auto"/>
              <w:outlineLvl w:val="1"/>
              <w:rPr>
                <w:kern w:val="0"/>
                <w:sz w:val="20"/>
                <w:szCs w:val="20"/>
              </w:rPr>
            </w:pPr>
            <w:r>
              <w:rPr>
                <w:rFonts w:hint="eastAsia" w:ascii="仿宋" w:hAnsi="仿宋" w:eastAsia="仿宋" w:cs="宋体"/>
                <w:color w:val="000000"/>
                <w:kern w:val="0"/>
                <w:sz w:val="24"/>
                <w:szCs w:val="24"/>
                <w:lang w:val="en-US" w:eastAsia="zh-CN"/>
              </w:rPr>
              <w:t>XQ</w:t>
            </w:r>
            <w:r>
              <w:rPr>
                <w:rFonts w:ascii="仿宋" w:hAnsi="仿宋" w:eastAsia="仿宋" w:cs="宋体"/>
                <w:color w:val="000000"/>
                <w:kern w:val="0"/>
                <w:sz w:val="24"/>
                <w:szCs w:val="24"/>
              </w:rPr>
              <w:t>43</w:t>
            </w:r>
            <w:r>
              <w:rPr>
                <w:rFonts w:hint="eastAsia" w:ascii="仿宋" w:hAnsi="仿宋" w:eastAsia="仿宋" w:cs="宋体"/>
                <w:color w:val="000000"/>
                <w:kern w:val="0"/>
                <w:sz w:val="24"/>
                <w:szCs w:val="24"/>
              </w:rPr>
              <w:t>交流合作：</w:t>
            </w:r>
            <w:r>
              <w:rPr>
                <w:rFonts w:hint="eastAsia" w:ascii="楷体_GB2312" w:hAnsi="楷体" w:eastAsia="楷体_GB2312"/>
                <w:bCs/>
                <w:sz w:val="24"/>
              </w:rPr>
              <w:t>具有团队协作精神，认同学习共同体的价值；掌握沟通合作的技能；有参与、组织专业团队开展合作学习的意识和能力。</w:t>
            </w:r>
          </w:p>
        </w:tc>
        <w:tc>
          <w:tcPr>
            <w:tcW w:w="727" w:type="dxa"/>
            <w:vAlign w:val="center"/>
          </w:tcPr>
          <w:p>
            <w:pPr>
              <w:widowControl/>
              <w:jc w:val="center"/>
              <w:rPr>
                <w:rFonts w:ascii="仿宋" w:hAnsi="仿宋" w:eastAsia="仿宋" w:cs="宋体"/>
                <w:color w:val="000000"/>
                <w:kern w:val="0"/>
                <w:sz w:val="24"/>
                <w:szCs w:val="20"/>
              </w:rPr>
            </w:pPr>
          </w:p>
        </w:tc>
      </w:tr>
    </w:tbl>
    <w:p>
      <w:pPr>
        <w:rPr>
          <w:rFonts w:hint="eastAsia"/>
        </w:rPr>
      </w:pPr>
    </w:p>
    <w:p>
      <w:pPr>
        <w:ind w:firstLine="420" w:firstLineChars="200"/>
        <w:rPr>
          <w:rFonts w:hint="eastAsia" w:ascii="黑体" w:hAnsi="宋体" w:eastAsia="宋体"/>
          <w:sz w:val="24"/>
          <w:highlight w:val="none"/>
          <w:u w:val="none"/>
          <w:lang w:val="en-US" w:eastAsia="zh-CN"/>
        </w:rPr>
      </w:pPr>
      <w:r>
        <w:rPr>
          <w:rFonts w:hint="eastAsia"/>
        </w:rPr>
        <w:t>备注：</w:t>
      </w:r>
      <w:r>
        <w:rPr>
          <w:rFonts w:hint="eastAsia" w:ascii="仿宋" w:hAnsi="仿宋" w:eastAsia="仿宋" w:cs="宋体"/>
          <w:color w:val="000000"/>
          <w:kern w:val="0"/>
          <w:sz w:val="24"/>
          <w:szCs w:val="24"/>
          <w:lang w:val="en-US" w:eastAsia="zh-CN"/>
        </w:rPr>
        <w:t>XQ</w:t>
      </w:r>
      <w:r>
        <w:rPr>
          <w:rFonts w:hint="eastAsia"/>
        </w:rPr>
        <w:t>=</w:t>
      </w:r>
      <w:r>
        <w:rPr>
          <w:rFonts w:hint="eastAsia"/>
          <w:lang w:val="en-US" w:eastAsia="zh-CN"/>
        </w:rPr>
        <w:t>学前教育</w:t>
      </w:r>
    </w:p>
    <w:p>
      <w:pPr>
        <w:widowControl/>
        <w:spacing w:beforeLines="50" w:afterLines="50" w:line="288" w:lineRule="auto"/>
        <w:ind w:firstLine="360" w:firstLineChars="150"/>
        <w:jc w:val="left"/>
        <w:rPr>
          <w:rFonts w:ascii="黑体" w:hAnsi="宋体" w:eastAsia="黑体"/>
          <w:sz w:val="24"/>
          <w:highlight w:val="none"/>
          <w:u w:val="none"/>
        </w:rPr>
      </w:pPr>
      <w:r>
        <w:rPr>
          <w:rFonts w:hint="eastAsia" w:ascii="黑体" w:hAnsi="宋体" w:eastAsia="黑体"/>
          <w:sz w:val="24"/>
          <w:highlight w:val="none"/>
          <w:u w:val="none"/>
        </w:rPr>
        <w:t>五、</w:t>
      </w:r>
      <w:r>
        <w:rPr>
          <w:rFonts w:ascii="黑体" w:hAnsi="宋体" w:eastAsia="黑体"/>
          <w:sz w:val="24"/>
          <w:highlight w:val="none"/>
          <w:u w:val="none"/>
        </w:rPr>
        <w:t>课程</w:t>
      </w:r>
      <w:r>
        <w:rPr>
          <w:rFonts w:hint="eastAsia" w:ascii="黑体" w:hAnsi="宋体" w:eastAsia="黑体"/>
          <w:sz w:val="24"/>
          <w:highlight w:val="none"/>
          <w:u w:val="none"/>
        </w:rPr>
        <w:t>目标/课程预期学习成果</w:t>
      </w:r>
    </w:p>
    <w:tbl>
      <w:tblPr>
        <w:tblStyle w:val="4"/>
        <w:tblpPr w:leftFromText="180" w:rightFromText="180" w:vertAnchor="text" w:horzAnchor="page" w:tblpX="2163" w:tblpY="152"/>
        <w:tblOverlap w:val="never"/>
        <w:tblW w:w="7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序号</w:t>
            </w:r>
          </w:p>
        </w:tc>
        <w:tc>
          <w:tcPr>
            <w:tcW w:w="1175" w:type="dxa"/>
            <w:shd w:val="clear" w:color="auto" w:fill="auto"/>
          </w:tcPr>
          <w:p>
            <w:pPr>
              <w:snapToGrid w:val="0"/>
              <w:spacing w:line="288" w:lineRule="auto"/>
              <w:jc w:val="center"/>
              <w:rPr>
                <w:b/>
                <w:color w:val="000000"/>
                <w:sz w:val="20"/>
                <w:szCs w:val="20"/>
                <w:highlight w:val="none"/>
              </w:rPr>
            </w:pPr>
            <w:r>
              <w:rPr>
                <w:rFonts w:hint="eastAsia"/>
                <w:b/>
                <w:color w:val="000000"/>
                <w:sz w:val="20"/>
                <w:szCs w:val="20"/>
                <w:highlight w:val="none"/>
              </w:rPr>
              <w:t>课程预期</w:t>
            </w:r>
          </w:p>
          <w:p>
            <w:pPr>
              <w:snapToGrid w:val="0"/>
              <w:spacing w:line="288" w:lineRule="auto"/>
              <w:jc w:val="center"/>
              <w:rPr>
                <w:b/>
                <w:color w:val="000000"/>
                <w:sz w:val="20"/>
                <w:szCs w:val="20"/>
                <w:highlight w:val="none"/>
              </w:rPr>
            </w:pPr>
            <w:r>
              <w:rPr>
                <w:rFonts w:hint="eastAsia"/>
                <w:b/>
                <w:color w:val="000000"/>
                <w:sz w:val="20"/>
                <w:szCs w:val="20"/>
                <w:highlight w:val="none"/>
              </w:rPr>
              <w:t>学习成果</w:t>
            </w:r>
          </w:p>
        </w:tc>
        <w:tc>
          <w:tcPr>
            <w:tcW w:w="247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课程目标</w:t>
            </w:r>
          </w:p>
          <w:p>
            <w:pPr>
              <w:snapToGrid w:val="0"/>
              <w:spacing w:line="288" w:lineRule="auto"/>
              <w:jc w:val="center"/>
              <w:rPr>
                <w:b/>
                <w:color w:val="000000"/>
                <w:sz w:val="20"/>
                <w:szCs w:val="20"/>
                <w:highlight w:val="none"/>
              </w:rPr>
            </w:pPr>
            <w:r>
              <w:rPr>
                <w:rFonts w:hint="eastAsia"/>
                <w:b/>
                <w:color w:val="000000"/>
                <w:sz w:val="20"/>
                <w:szCs w:val="20"/>
                <w:highlight w:val="none"/>
              </w:rPr>
              <w:t>（细化的预期学习成果）</w:t>
            </w:r>
          </w:p>
        </w:tc>
        <w:tc>
          <w:tcPr>
            <w:tcW w:w="2199"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教与学方式</w:t>
            </w:r>
          </w:p>
        </w:tc>
        <w:tc>
          <w:tcPr>
            <w:tcW w:w="1380" w:type="dxa"/>
            <w:shd w:val="clear" w:color="auto" w:fill="auto"/>
            <w:vAlign w:val="center"/>
          </w:tcPr>
          <w:p>
            <w:pPr>
              <w:snapToGrid w:val="0"/>
              <w:spacing w:line="288" w:lineRule="auto"/>
              <w:jc w:val="center"/>
              <w:rPr>
                <w:b/>
                <w:color w:val="000000"/>
                <w:sz w:val="20"/>
                <w:szCs w:val="20"/>
                <w:highlight w:val="none"/>
              </w:rPr>
            </w:pPr>
            <w:r>
              <w:rPr>
                <w:rFonts w:hint="eastAsia"/>
                <w:b/>
                <w:color w:val="000000"/>
                <w:sz w:val="20"/>
                <w:szCs w:val="20"/>
                <w:highlight w:val="none"/>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175" w:type="dxa"/>
            <w:shd w:val="clear" w:color="auto" w:fill="auto"/>
          </w:tcPr>
          <w:p>
            <w:pP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XQ222</w:t>
            </w:r>
          </w:p>
        </w:tc>
        <w:tc>
          <w:tcPr>
            <w:tcW w:w="2470" w:type="dxa"/>
            <w:shd w:val="clear" w:color="auto" w:fill="auto"/>
          </w:tcPr>
          <w:p>
            <w:pPr>
              <w:rPr>
                <w:rFonts w:ascii="仿宋" w:hAnsi="仿宋" w:eastAsia="仿宋" w:cs="宋体"/>
                <w:color w:val="000000"/>
                <w:kern w:val="0"/>
                <w:sz w:val="24"/>
              </w:rPr>
            </w:pPr>
            <w:r>
              <w:rPr>
                <w:rFonts w:hint="eastAsia" w:ascii="仿宋" w:hAnsi="仿宋" w:eastAsia="仿宋" w:cs="宋体"/>
                <w:color w:val="000000"/>
                <w:kern w:val="0"/>
                <w:sz w:val="24"/>
              </w:rPr>
              <w:t>了解</w:t>
            </w:r>
            <w:r>
              <w:rPr>
                <w:rFonts w:hint="eastAsia" w:ascii="仿宋" w:hAnsi="仿宋" w:eastAsia="仿宋" w:cs="宋体"/>
                <w:color w:val="000000"/>
                <w:kern w:val="0"/>
                <w:sz w:val="24"/>
                <w:lang w:val="en-US" w:eastAsia="zh-CN"/>
              </w:rPr>
              <w:t>幼儿园教师</w:t>
            </w:r>
            <w:r>
              <w:rPr>
                <w:rFonts w:hint="eastAsia" w:ascii="仿宋" w:hAnsi="仿宋" w:eastAsia="仿宋" w:cs="宋体"/>
                <w:color w:val="000000"/>
                <w:kern w:val="0"/>
                <w:sz w:val="24"/>
              </w:rPr>
              <w:t>工作特点，感受幼教实践的丰富性、复杂性和专业性，树立正确的保教观。</w:t>
            </w:r>
          </w:p>
        </w:tc>
        <w:tc>
          <w:tcPr>
            <w:tcW w:w="2199" w:type="dxa"/>
            <w:shd w:val="clear" w:color="auto" w:fill="auto"/>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rPr>
                <w:rFonts w:hint="default"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380"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常规执行状况；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专业实践中的实际表现；</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月汇报表现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szCs w:val="24"/>
                <w:lang w:val="en-US" w:eastAsia="zh-CN"/>
              </w:rPr>
            </w:pPr>
            <w:r>
              <w:rPr>
                <w:rFonts w:hint="eastAsia" w:ascii="仿宋" w:hAnsi="仿宋" w:eastAsia="仿宋" w:cs="宋体"/>
                <w:color w:val="000000"/>
                <w:kern w:val="0"/>
                <w:sz w:val="24"/>
                <w:szCs w:val="24"/>
                <w:lang w:val="en-US" w:eastAsia="zh-CN"/>
              </w:rPr>
              <w:t>2</w:t>
            </w:r>
          </w:p>
        </w:tc>
        <w:tc>
          <w:tcPr>
            <w:tcW w:w="1175" w:type="dxa"/>
            <w:shd w:val="clear" w:color="auto" w:fill="auto"/>
            <w:vAlign w:val="top"/>
          </w:tcPr>
          <w:p>
            <w:pPr>
              <w:rPr>
                <w:rFonts w:hint="default" w:ascii="仿宋" w:hAnsi="仿宋" w:eastAsia="仿宋" w:cs="宋体"/>
                <w:color w:val="000000"/>
                <w:kern w:val="0"/>
                <w:sz w:val="24"/>
                <w:szCs w:val="22"/>
                <w:lang w:val="en-US" w:eastAsia="zh-CN" w:bidi="ar-SA"/>
              </w:rPr>
            </w:pPr>
            <w:r>
              <w:rPr>
                <w:rFonts w:hint="eastAsia" w:ascii="仿宋" w:hAnsi="仿宋" w:eastAsia="仿宋" w:cs="宋体"/>
                <w:color w:val="000000"/>
                <w:kern w:val="0"/>
                <w:sz w:val="24"/>
                <w:szCs w:val="24"/>
                <w:lang w:val="en-US" w:eastAsia="zh-CN"/>
              </w:rPr>
              <w:t>XQ232</w:t>
            </w:r>
          </w:p>
        </w:tc>
        <w:tc>
          <w:tcPr>
            <w:tcW w:w="2470" w:type="dxa"/>
            <w:shd w:val="clear" w:color="auto" w:fill="auto"/>
          </w:tcPr>
          <w:p>
            <w:pPr>
              <w:rPr>
                <w:rFonts w:hint="eastAsia" w:ascii="仿宋" w:hAnsi="仿宋" w:eastAsia="仿宋" w:cs="宋体"/>
                <w:color w:val="000000"/>
                <w:kern w:val="0"/>
                <w:sz w:val="24"/>
              </w:rPr>
            </w:pPr>
            <w:r>
              <w:rPr>
                <w:rFonts w:hint="eastAsia" w:ascii="仿宋" w:hAnsi="仿宋" w:eastAsia="仿宋" w:cs="宋体"/>
                <w:color w:val="000000"/>
                <w:kern w:val="0"/>
                <w:sz w:val="24"/>
              </w:rPr>
              <w:t>观察和体会</w:t>
            </w:r>
            <w:r>
              <w:rPr>
                <w:rFonts w:hint="eastAsia" w:ascii="仿宋" w:hAnsi="仿宋" w:eastAsia="仿宋" w:cs="宋体"/>
                <w:color w:val="000000"/>
                <w:kern w:val="0"/>
                <w:sz w:val="24"/>
                <w:lang w:val="en-US" w:eastAsia="zh-CN"/>
              </w:rPr>
              <w:t>幼儿园保教工作、幼儿园环境、课程等的</w:t>
            </w:r>
            <w:r>
              <w:rPr>
                <w:rFonts w:hint="eastAsia" w:ascii="仿宋" w:hAnsi="仿宋" w:eastAsia="仿宋" w:cs="宋体"/>
                <w:color w:val="000000"/>
                <w:kern w:val="0"/>
                <w:sz w:val="24"/>
              </w:rPr>
              <w:t>课程价值，分析其合理性。</w:t>
            </w:r>
          </w:p>
        </w:tc>
        <w:tc>
          <w:tcPr>
            <w:tcW w:w="2199" w:type="dxa"/>
            <w:shd w:val="clear" w:color="auto" w:fill="auto"/>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380"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常规执行状况；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专业实践中的实际表现；</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月汇报表现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szCs w:val="24"/>
                <w:lang w:val="en-US" w:eastAsia="zh-CN"/>
              </w:rPr>
              <w:t>3</w:t>
            </w:r>
          </w:p>
        </w:tc>
        <w:tc>
          <w:tcPr>
            <w:tcW w:w="1175" w:type="dxa"/>
            <w:shd w:val="clear" w:color="auto" w:fill="auto"/>
            <w:vAlign w:val="top"/>
          </w:tcPr>
          <w:p>
            <w:pPr>
              <w:jc w:val="left"/>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szCs w:val="24"/>
                <w:lang w:val="en-US" w:eastAsia="zh-CN"/>
              </w:rPr>
              <w:t>XQ411</w:t>
            </w:r>
          </w:p>
        </w:tc>
        <w:tc>
          <w:tcPr>
            <w:tcW w:w="2470" w:type="dxa"/>
            <w:shd w:val="clear" w:color="auto" w:fill="auto"/>
          </w:tcPr>
          <w:p>
            <w:pPr>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学生进入保教现场体验或通过现场视频观看，在保教实践体验的基础上各自记录过程要点、感悟及疑问，然后进行分析整理并提出问题，进而</w:t>
            </w:r>
            <w:r>
              <w:rPr>
                <w:rFonts w:hint="eastAsia" w:ascii="仿宋" w:hAnsi="仿宋" w:eastAsia="仿宋" w:cs="宋体"/>
                <w:color w:val="000000"/>
                <w:kern w:val="0"/>
                <w:sz w:val="24"/>
                <w:lang w:val="en-US" w:eastAsia="zh-CN"/>
              </w:rPr>
              <w:t>通过</w:t>
            </w:r>
            <w:r>
              <w:rPr>
                <w:rFonts w:hint="eastAsia" w:ascii="仿宋" w:hAnsi="仿宋" w:eastAsia="仿宋" w:cs="宋体"/>
                <w:color w:val="000000"/>
                <w:kern w:val="0"/>
                <w:sz w:val="24"/>
              </w:rPr>
              <w:t>阅读、思考，借助专业课程的视角等提出自己的见解</w:t>
            </w:r>
            <w:r>
              <w:rPr>
                <w:rFonts w:hint="eastAsia" w:ascii="仿宋" w:hAnsi="仿宋" w:eastAsia="仿宋" w:cs="宋体"/>
                <w:color w:val="000000"/>
                <w:kern w:val="0"/>
                <w:sz w:val="24"/>
                <w:lang w:eastAsia="zh-CN"/>
              </w:rPr>
              <w:t>。</w:t>
            </w:r>
          </w:p>
        </w:tc>
        <w:tc>
          <w:tcPr>
            <w:tcW w:w="2199" w:type="dxa"/>
            <w:shd w:val="clear" w:color="auto" w:fill="auto"/>
          </w:tcPr>
          <w:p>
            <w:pPr>
              <w:rPr>
                <w:rFonts w:hint="eastAsia" w:asciiTheme="minorEastAsia" w:hAnsiTheme="minorEastAsia" w:eastAsiaTheme="minorEastAsia"/>
                <w:bCs/>
                <w:szCs w:val="21"/>
                <w:lang w:val="en-US" w:eastAsia="zh-CN"/>
              </w:rPr>
            </w:pPr>
            <w:r>
              <w:rPr>
                <w:rFonts w:hint="eastAsia" w:asciiTheme="minorEastAsia" w:hAnsiTheme="minorEastAsia" w:eastAsiaTheme="minorEastAsia"/>
                <w:bCs/>
                <w:szCs w:val="21"/>
                <w:lang w:val="en-US" w:eastAsia="zh-CN"/>
              </w:rPr>
              <w:t>1.幼儿园现场观摩，进入临港地区实验园或采用线上与线下结合的方式观摩各地优质幼儿园一日生活实况；</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以小分队形式</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派代表汇报或集中实践</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赴优质幼儿</w:t>
            </w:r>
            <w:r>
              <w:rPr>
                <w:rFonts w:hint="eastAsia" w:asciiTheme="minorEastAsia" w:hAnsiTheme="minorEastAsia" w:eastAsiaTheme="minorEastAsia"/>
                <w:bCs/>
                <w:szCs w:val="21"/>
                <w:lang w:val="en-US" w:eastAsia="zh-CN"/>
              </w:rPr>
              <w:t>园开展专业实践活动</w:t>
            </w:r>
            <w:r>
              <w:rPr>
                <w:rFonts w:hint="eastAsia" w:asciiTheme="minorEastAsia" w:hAnsiTheme="minorEastAsia" w:eastAsiaTheme="minorEastAsia"/>
                <w:bCs/>
                <w:szCs w:val="21"/>
              </w:rPr>
              <w:t>。</w:t>
            </w:r>
          </w:p>
          <w:p>
            <w:pPr>
              <w:snapToGrid w:val="0"/>
              <w:spacing w:line="288" w:lineRule="auto"/>
              <w:jc w:val="both"/>
              <w:rPr>
                <w:rFonts w:hint="default" w:ascii="黑体" w:hAnsi="宋体" w:eastAsia="黑体"/>
                <w:sz w:val="24"/>
                <w:lang w:val="en-US" w:eastAsia="zh-CN"/>
              </w:rPr>
            </w:pPr>
            <w:r>
              <w:rPr>
                <w:rFonts w:hint="eastAsia" w:asciiTheme="minorEastAsia" w:hAnsiTheme="minorEastAsia" w:eastAsiaTheme="minorEastAsia"/>
                <w:bCs/>
                <w:szCs w:val="21"/>
                <w:lang w:val="en-US" w:eastAsia="zh-CN"/>
              </w:rPr>
              <w:t>3.邀请</w:t>
            </w:r>
            <w:r>
              <w:rPr>
                <w:rFonts w:hint="eastAsia" w:asciiTheme="minorEastAsia" w:hAnsiTheme="minorEastAsia" w:eastAsiaTheme="minorEastAsia"/>
                <w:bCs/>
                <w:szCs w:val="21"/>
              </w:rPr>
              <w:t>园长、相关专家作专题讲座</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lang w:val="en-US" w:eastAsia="zh-CN"/>
              </w:rPr>
              <w:t>采用线上与线下结合的方式</w:t>
            </w:r>
            <w:r>
              <w:rPr>
                <w:rFonts w:hint="eastAsia" w:asciiTheme="minorEastAsia" w:hAnsiTheme="minorEastAsia" w:eastAsiaTheme="minorEastAsia"/>
                <w:bCs/>
                <w:szCs w:val="21"/>
                <w:lang w:eastAsia="zh-CN"/>
              </w:rPr>
              <w:t>）。</w:t>
            </w:r>
          </w:p>
        </w:tc>
        <w:tc>
          <w:tcPr>
            <w:tcW w:w="1380" w:type="dxa"/>
            <w:shd w:val="clear" w:color="auto" w:fill="auto"/>
          </w:tcPr>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常规执行状况；</w:t>
            </w:r>
          </w:p>
          <w:p>
            <w:pPr>
              <w:snapToGrid w:val="0"/>
              <w:spacing w:line="288" w:lineRule="auto"/>
              <w:jc w:val="both"/>
              <w:rPr>
                <w:rFonts w:hint="eastAsia" w:ascii="黑体" w:hAnsi="宋体" w:eastAsia="黑体"/>
                <w:sz w:val="24"/>
                <w:lang w:val="en-US" w:eastAsia="zh-CN"/>
              </w:rPr>
            </w:pPr>
            <w:r>
              <w:rPr>
                <w:rFonts w:hint="eastAsia" w:ascii="黑体" w:hAnsi="宋体" w:eastAsia="黑体"/>
                <w:sz w:val="24"/>
                <w:lang w:val="en-US" w:eastAsia="zh-CN"/>
              </w:rPr>
              <w:t>专业实践中的实际表现；</w:t>
            </w:r>
          </w:p>
          <w:p>
            <w:pPr>
              <w:snapToGrid w:val="0"/>
              <w:spacing w:line="288" w:lineRule="auto"/>
              <w:jc w:val="both"/>
              <w:rPr>
                <w:rFonts w:hint="default" w:ascii="黑体" w:hAnsi="宋体" w:eastAsia="黑体"/>
                <w:sz w:val="24"/>
                <w:lang w:val="en-US" w:eastAsia="zh-CN"/>
              </w:rPr>
            </w:pPr>
            <w:r>
              <w:rPr>
                <w:rFonts w:hint="eastAsia" w:ascii="黑体" w:hAnsi="宋体" w:eastAsia="黑体"/>
                <w:sz w:val="24"/>
                <w:lang w:val="en-US" w:eastAsia="zh-CN"/>
              </w:rPr>
              <w:t>月汇报表现</w:t>
            </w:r>
          </w:p>
        </w:tc>
      </w:tr>
    </w:tbl>
    <w:p>
      <w:pPr>
        <w:snapToGrid w:val="0"/>
        <w:spacing w:line="288" w:lineRule="auto"/>
        <w:rPr>
          <w:rFonts w:hint="eastAsia" w:ascii="黑体" w:hAnsi="宋体" w:eastAsia="黑体"/>
          <w:sz w:val="24"/>
          <w:lang w:val="en-US" w:eastAsia="zh-CN"/>
        </w:rPr>
      </w:pPr>
    </w:p>
    <w:p>
      <w:pPr>
        <w:numPr>
          <w:ilvl w:val="0"/>
          <w:numId w:val="0"/>
        </w:numPr>
        <w:snapToGrid w:val="0"/>
        <w:spacing w:line="288" w:lineRule="auto"/>
        <w:ind w:leftChars="150"/>
        <w:rPr>
          <w:rFonts w:hint="eastAsia" w:ascii="黑体" w:hAnsi="宋体" w:eastAsia="黑体"/>
          <w:sz w:val="24"/>
          <w:lang w:val="en-US" w:eastAsia="zh-CN"/>
        </w:rPr>
      </w:pPr>
    </w:p>
    <w:p>
      <w:pPr>
        <w:numPr>
          <w:ilvl w:val="0"/>
          <w:numId w:val="0"/>
        </w:numPr>
        <w:snapToGrid w:val="0"/>
        <w:spacing w:line="288" w:lineRule="auto"/>
        <w:ind w:leftChars="150"/>
        <w:rPr>
          <w:rFonts w:hint="eastAsia" w:ascii="黑体" w:hAnsi="宋体" w:eastAsia="黑体"/>
          <w:sz w:val="24"/>
          <w:lang w:val="en-US" w:eastAsia="zh-CN"/>
        </w:rPr>
      </w:pPr>
    </w:p>
    <w:p>
      <w:pPr>
        <w:numPr>
          <w:ilvl w:val="0"/>
          <w:numId w:val="0"/>
        </w:numPr>
        <w:snapToGrid w:val="0"/>
        <w:spacing w:line="288" w:lineRule="auto"/>
        <w:ind w:leftChars="150"/>
        <w:rPr>
          <w:rFonts w:hint="eastAsia" w:ascii="黑体" w:hAnsi="宋体" w:eastAsia="黑体"/>
          <w:sz w:val="24"/>
          <w:lang w:val="en-US" w:eastAsia="zh-CN"/>
        </w:rPr>
      </w:pPr>
    </w:p>
    <w:p>
      <w:pPr>
        <w:numPr>
          <w:ilvl w:val="0"/>
          <w:numId w:val="0"/>
        </w:numPr>
        <w:snapToGrid w:val="0"/>
        <w:spacing w:line="288" w:lineRule="auto"/>
        <w:rPr>
          <w:rFonts w:hint="eastAsia" w:ascii="黑体" w:hAnsi="宋体" w:eastAsia="黑体"/>
          <w:sz w:val="24"/>
          <w:lang w:val="en-US" w:eastAsia="zh-CN"/>
        </w:rPr>
      </w:pPr>
    </w:p>
    <w:p>
      <w:pPr>
        <w:numPr>
          <w:ilvl w:val="0"/>
          <w:numId w:val="0"/>
        </w:numPr>
        <w:snapToGrid w:val="0"/>
        <w:spacing w:line="288" w:lineRule="auto"/>
        <w:ind w:leftChars="150"/>
        <w:rPr>
          <w:rFonts w:ascii="黑体" w:hAnsi="宋体" w:eastAsia="黑体"/>
          <w:sz w:val="24"/>
        </w:rPr>
      </w:pPr>
      <w:r>
        <w:rPr>
          <w:rFonts w:hint="eastAsia" w:ascii="黑体" w:hAnsi="宋体" w:eastAsia="黑体"/>
          <w:sz w:val="24"/>
          <w:lang w:val="en-US" w:eastAsia="zh-CN"/>
        </w:rPr>
        <w:t>六、</w:t>
      </w:r>
      <w:r>
        <w:rPr>
          <w:rFonts w:ascii="黑体" w:hAnsi="宋体" w:eastAsia="黑体"/>
          <w:sz w:val="24"/>
        </w:rPr>
        <w:t>课程内容</w:t>
      </w:r>
    </w:p>
    <w:tbl>
      <w:tblPr>
        <w:tblStyle w:val="5"/>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924"/>
        <w:gridCol w:w="1924"/>
        <w:gridCol w:w="1924"/>
        <w:gridCol w:w="1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单元</w:t>
            </w:r>
          </w:p>
        </w:tc>
        <w:tc>
          <w:tcPr>
            <w:tcW w:w="1924"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知识目标</w:t>
            </w:r>
          </w:p>
        </w:tc>
        <w:tc>
          <w:tcPr>
            <w:tcW w:w="1924"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rPr>
              <w:t>能力</w:t>
            </w:r>
            <w:r>
              <w:rPr>
                <w:rFonts w:hint="eastAsia" w:asciiTheme="minorEastAsia" w:hAnsiTheme="minorEastAsia" w:eastAsiaTheme="minorEastAsia"/>
                <w:b/>
                <w:szCs w:val="21"/>
                <w:lang w:val="en-US" w:eastAsia="zh-CN"/>
              </w:rPr>
              <w:t>目标</w:t>
            </w:r>
          </w:p>
        </w:tc>
        <w:tc>
          <w:tcPr>
            <w:tcW w:w="1924"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情感目标</w:t>
            </w:r>
          </w:p>
        </w:tc>
        <w:tc>
          <w:tcPr>
            <w:tcW w:w="1924" w:type="dxa"/>
            <w:vAlign w:val="center"/>
          </w:tcPr>
          <w:p>
            <w:pPr>
              <w:jc w:val="center"/>
              <w:rPr>
                <w:rFonts w:hint="default" w:asciiTheme="minorEastAsia" w:hAnsiTheme="minorEastAsia" w:eastAsiaTheme="minorEastAsia"/>
                <w:b/>
                <w:szCs w:val="21"/>
                <w:lang w:val="en-US" w:eastAsia="zh-CN"/>
              </w:rPr>
            </w:pPr>
            <w:r>
              <w:rPr>
                <w:rFonts w:hint="eastAsia" w:asciiTheme="minorEastAsia" w:hAnsiTheme="minorEastAsia" w:eastAsiaTheme="minorEastAsia"/>
                <w:b/>
                <w:szCs w:val="21"/>
                <w:lang w:val="en-US" w:eastAsia="zh-CN"/>
              </w:rPr>
              <w:t>重难点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第一学期，实践的“雾里看花”阶段。门外汉初入门。</w:t>
            </w:r>
          </w:p>
        </w:tc>
        <w:tc>
          <w:tcPr>
            <w:tcW w:w="1924" w:type="dxa"/>
            <w:vAlign w:val="center"/>
          </w:tcPr>
          <w:p>
            <w:pPr>
              <w:numPr>
                <w:ilvl w:val="0"/>
                <w:numId w:val="3"/>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理解、分析</w:t>
            </w:r>
            <w:r>
              <w:rPr>
                <w:rFonts w:hint="eastAsia" w:asciiTheme="minorEastAsia" w:hAnsiTheme="minorEastAsia" w:eastAsiaTheme="minorEastAsia"/>
                <w:bCs/>
                <w:szCs w:val="21"/>
              </w:rPr>
              <w:t>师幼互动情况和幼儿园一日生活各环节。</w:t>
            </w:r>
          </w:p>
          <w:p>
            <w:pPr>
              <w:numPr>
                <w:ilvl w:val="0"/>
                <w:numId w:val="3"/>
              </w:numPr>
              <w:rPr>
                <w:rFonts w:hint="eastAsia" w:asciiTheme="minorEastAsia" w:hAnsiTheme="minorEastAsia" w:eastAsiaTheme="minorEastAsia"/>
                <w:bCs/>
                <w:szCs w:val="21"/>
              </w:rPr>
            </w:pPr>
            <w:r>
              <w:rPr>
                <w:rFonts w:hint="eastAsia" w:asciiTheme="minorEastAsia" w:hAnsiTheme="minorEastAsia" w:eastAsiaTheme="minorEastAsia"/>
                <w:bCs/>
                <w:szCs w:val="21"/>
              </w:rPr>
              <w:t>不规定明确的主题，在幼儿园保教现场发现问题，选择有价值的问题分小组</w:t>
            </w:r>
            <w:r>
              <w:rPr>
                <w:rFonts w:hint="eastAsia" w:asciiTheme="minorEastAsia" w:hAnsiTheme="minorEastAsia" w:eastAsiaTheme="minorEastAsia"/>
                <w:bCs/>
                <w:szCs w:val="21"/>
                <w:lang w:val="en-US" w:eastAsia="zh-CN"/>
              </w:rPr>
              <w:t>进行分析与评价</w:t>
            </w:r>
            <w:r>
              <w:rPr>
                <w:rFonts w:hint="eastAsia" w:asciiTheme="minorEastAsia" w:hAnsiTheme="minorEastAsia" w:eastAsiaTheme="minorEastAsia"/>
                <w:bCs/>
                <w:szCs w:val="21"/>
              </w:rPr>
              <w:t>。</w:t>
            </w:r>
          </w:p>
        </w:tc>
        <w:tc>
          <w:tcPr>
            <w:tcW w:w="1924" w:type="dxa"/>
            <w:vAlign w:val="center"/>
          </w:tcPr>
          <w:p>
            <w:pPr>
              <w:numPr>
                <w:ilvl w:val="0"/>
                <w:numId w:val="4"/>
              </w:numPr>
              <w:rPr>
                <w:rFonts w:hint="eastAsia" w:asciiTheme="minorEastAsia" w:hAnsiTheme="minorEastAsia" w:eastAsiaTheme="minorEastAsia"/>
                <w:bCs/>
                <w:szCs w:val="21"/>
              </w:rPr>
            </w:pPr>
            <w:r>
              <w:rPr>
                <w:rFonts w:hint="eastAsia" w:asciiTheme="minorEastAsia" w:hAnsiTheme="minorEastAsia" w:eastAsiaTheme="minorEastAsia"/>
                <w:bCs/>
                <w:szCs w:val="21"/>
              </w:rPr>
              <w:t>进一步提升观察记录的能力</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发现问题的能力</w:t>
            </w:r>
          </w:p>
          <w:p>
            <w:pPr>
              <w:numPr>
                <w:ilvl w:val="0"/>
                <w:numId w:val="4"/>
              </w:numPr>
              <w:rPr>
                <w:rFonts w:hint="eastAsia" w:asciiTheme="minorEastAsia" w:hAnsiTheme="minorEastAsia" w:eastAsiaTheme="minorEastAsia"/>
                <w:bCs/>
                <w:szCs w:val="21"/>
              </w:rPr>
            </w:pPr>
            <w:r>
              <w:rPr>
                <w:rFonts w:hint="eastAsia" w:asciiTheme="minorEastAsia" w:hAnsiTheme="minorEastAsia" w:eastAsiaTheme="minorEastAsia"/>
                <w:bCs/>
                <w:szCs w:val="21"/>
              </w:rPr>
              <w:t>表达对幼教现象看法的能力。</w:t>
            </w:r>
          </w:p>
        </w:tc>
        <w:tc>
          <w:tcPr>
            <w:tcW w:w="1924" w:type="dxa"/>
            <w:vAlign w:val="center"/>
          </w:tcPr>
          <w:p>
            <w:pPr>
              <w:numPr>
                <w:ilvl w:val="0"/>
                <w:numId w:val="5"/>
              </w:numPr>
              <w:rPr>
                <w:rFonts w:hint="eastAsia" w:asciiTheme="minorEastAsia" w:hAnsiTheme="minorEastAsia" w:eastAsiaTheme="minorEastAsia"/>
                <w:bCs/>
                <w:szCs w:val="21"/>
              </w:rPr>
            </w:pPr>
            <w:r>
              <w:rPr>
                <w:rFonts w:hint="eastAsia" w:asciiTheme="minorEastAsia" w:hAnsiTheme="minorEastAsia" w:eastAsiaTheme="minorEastAsia"/>
                <w:bCs/>
                <w:szCs w:val="21"/>
              </w:rPr>
              <w:t>强化学前教育专业综合能力学习</w:t>
            </w:r>
          </w:p>
          <w:p>
            <w:pPr>
              <w:numPr>
                <w:ilvl w:val="0"/>
                <w:numId w:val="5"/>
              </w:numPr>
              <w:rPr>
                <w:rFonts w:hint="eastAsia" w:asciiTheme="minorEastAsia" w:hAnsiTheme="minorEastAsia" w:eastAsiaTheme="minorEastAsia"/>
                <w:bCs/>
                <w:szCs w:val="21"/>
              </w:rPr>
            </w:pPr>
            <w:r>
              <w:rPr>
                <w:rFonts w:hint="eastAsia" w:asciiTheme="minorEastAsia" w:hAnsiTheme="minorEastAsia" w:eastAsiaTheme="minorEastAsia"/>
                <w:bCs/>
                <w:szCs w:val="21"/>
              </w:rPr>
              <w:t>培养学前教育专业综合素质</w:t>
            </w:r>
          </w:p>
          <w:p>
            <w:pPr>
              <w:numPr>
                <w:ilvl w:val="0"/>
                <w:numId w:val="5"/>
              </w:numPr>
              <w:rPr>
                <w:rFonts w:hint="eastAsia" w:asciiTheme="minorEastAsia" w:hAnsiTheme="minorEastAsia" w:eastAsiaTheme="minorEastAsia"/>
                <w:bCs/>
                <w:szCs w:val="21"/>
              </w:rPr>
            </w:pPr>
            <w:r>
              <w:rPr>
                <w:rFonts w:hint="eastAsia" w:asciiTheme="minorEastAsia" w:hAnsiTheme="minorEastAsia" w:eastAsiaTheme="minorEastAsia"/>
                <w:bCs/>
                <w:szCs w:val="21"/>
              </w:rPr>
              <w:t>激发热爱学前教育专业情感。</w:t>
            </w:r>
          </w:p>
        </w:tc>
        <w:tc>
          <w:tcPr>
            <w:tcW w:w="1924" w:type="dxa"/>
            <w:vAlign w:val="center"/>
          </w:tcPr>
          <w:p>
            <w:pPr>
              <w:numPr>
                <w:ilvl w:val="0"/>
                <w:numId w:val="6"/>
              </w:numPr>
              <w:rPr>
                <w:rFonts w:hint="eastAsia" w:asciiTheme="minorEastAsia" w:hAnsiTheme="minorEastAsia" w:eastAsiaTheme="minorEastAsia"/>
                <w:bCs/>
                <w:szCs w:val="21"/>
              </w:rPr>
            </w:pPr>
            <w:r>
              <w:rPr>
                <w:rFonts w:hint="eastAsia" w:asciiTheme="minorEastAsia" w:hAnsiTheme="minorEastAsia" w:eastAsiaTheme="minorEastAsia"/>
                <w:bCs/>
                <w:szCs w:val="21"/>
              </w:rPr>
              <w:t>重点观察讨论师幼互动情况和幼儿园一日生活各环节。</w:t>
            </w:r>
          </w:p>
          <w:p>
            <w:pPr>
              <w:numPr>
                <w:ilvl w:val="0"/>
                <w:numId w:val="6"/>
              </w:numPr>
              <w:rPr>
                <w:rFonts w:hint="eastAsia" w:asciiTheme="minorEastAsia" w:hAnsiTheme="minorEastAsia" w:eastAsiaTheme="minorEastAsia"/>
                <w:bCs/>
                <w:szCs w:val="21"/>
              </w:rPr>
            </w:pPr>
            <w:r>
              <w:rPr>
                <w:rFonts w:hint="eastAsia" w:asciiTheme="minorEastAsia" w:hAnsiTheme="minorEastAsia" w:eastAsiaTheme="minorEastAsia"/>
                <w:bCs/>
                <w:szCs w:val="21"/>
              </w:rPr>
              <w:t>不规定明确的主题，各自在幼儿园保教现场发现问题，并选择有价值的问题分小组进行讨论。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第二学期，实践的“水中捞月”阶段。开始聚焦一些重点问题。</w:t>
            </w:r>
          </w:p>
        </w:tc>
        <w:tc>
          <w:tcPr>
            <w:tcW w:w="1924" w:type="dxa"/>
            <w:vAlign w:val="center"/>
          </w:tcPr>
          <w:p>
            <w:pPr>
              <w:numPr>
                <w:ilvl w:val="0"/>
                <w:numId w:val="7"/>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幼儿园如何应对突发事件（如疫情等）。</w:t>
            </w:r>
          </w:p>
          <w:p>
            <w:pPr>
              <w:numPr>
                <w:ilvl w:val="0"/>
                <w:numId w:val="7"/>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知道</w:t>
            </w:r>
            <w:r>
              <w:rPr>
                <w:rFonts w:hint="eastAsia" w:asciiTheme="minorEastAsia" w:hAnsiTheme="minorEastAsia" w:eastAsiaTheme="minorEastAsia"/>
                <w:bCs/>
                <w:szCs w:val="21"/>
              </w:rPr>
              <w:t>幼儿园一日生活中保育如何进行。</w:t>
            </w:r>
          </w:p>
          <w:p>
            <w:pPr>
              <w:numPr>
                <w:ilvl w:val="0"/>
                <w:numId w:val="7"/>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知道</w:t>
            </w:r>
            <w:r>
              <w:rPr>
                <w:rFonts w:hint="eastAsia" w:asciiTheme="minorEastAsia" w:hAnsiTheme="minorEastAsia" w:eastAsiaTheme="minorEastAsia"/>
                <w:bCs/>
                <w:szCs w:val="21"/>
              </w:rPr>
              <w:t>幼儿园班级室内环境如何创设。</w:t>
            </w:r>
          </w:p>
          <w:p>
            <w:pPr>
              <w:numPr>
                <w:ilvl w:val="0"/>
                <w:numId w:val="7"/>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保教现场的教师语言。</w:t>
            </w:r>
          </w:p>
        </w:tc>
        <w:tc>
          <w:tcPr>
            <w:tcW w:w="1924" w:type="dxa"/>
            <w:vAlign w:val="center"/>
          </w:tcPr>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进一步提升观察记录能力，发现问题并分析问题的能力。</w:t>
            </w:r>
          </w:p>
          <w:p>
            <w:pPr>
              <w:numPr>
                <w:ilvl w:val="0"/>
                <w:numId w:val="8"/>
              </w:numPr>
              <w:rPr>
                <w:rFonts w:hint="eastAsia" w:asciiTheme="minorEastAsia" w:hAnsiTheme="minorEastAsia" w:eastAsiaTheme="minorEastAsia"/>
                <w:bCs/>
                <w:szCs w:val="21"/>
              </w:rPr>
            </w:pPr>
            <w:r>
              <w:rPr>
                <w:rFonts w:hint="eastAsia" w:asciiTheme="minorEastAsia" w:hAnsiTheme="minorEastAsia" w:eastAsiaTheme="minorEastAsia"/>
                <w:bCs/>
                <w:szCs w:val="21"/>
              </w:rPr>
              <w:t>能把教育心理学、教育哲学、儿童生理基础、教师口语的课程知识运用于分析保教现场的问题，表达对相关问题的看法。</w:t>
            </w:r>
          </w:p>
        </w:tc>
        <w:tc>
          <w:tcPr>
            <w:tcW w:w="1924"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4"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幼儿园如何应对突发事件（如疫情等）。</w:t>
            </w: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幼儿园一日生活中保育如何进行。</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幼儿园班级室内环境如何创设。</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4</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关注保教现场的教师语言。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第三学期，实践的“浸润现场”。深入现场体验，观摩为主，尝试动手操作。</w:t>
            </w:r>
          </w:p>
        </w:tc>
        <w:tc>
          <w:tcPr>
            <w:tcW w:w="1924" w:type="dxa"/>
            <w:vAlign w:val="center"/>
          </w:tcPr>
          <w:p>
            <w:pPr>
              <w:numPr>
                <w:ilvl w:val="0"/>
                <w:numId w:val="9"/>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运用</w:t>
            </w:r>
            <w:r>
              <w:rPr>
                <w:rFonts w:hint="eastAsia" w:asciiTheme="minorEastAsia" w:hAnsiTheme="minorEastAsia" w:eastAsiaTheme="minorEastAsia"/>
                <w:bCs/>
                <w:szCs w:val="21"/>
              </w:rPr>
              <w:t>卫生保健视角、学前教育学原理视角、学前儿童发展科学视角、幼儿文学视角</w:t>
            </w:r>
            <w:r>
              <w:rPr>
                <w:rFonts w:hint="eastAsia" w:asciiTheme="minorEastAsia" w:hAnsiTheme="minorEastAsia" w:eastAsiaTheme="minorEastAsia"/>
                <w:bCs/>
                <w:szCs w:val="21"/>
                <w:lang w:val="en-US" w:eastAsia="zh-CN"/>
              </w:rPr>
              <w:t>理解并分析</w:t>
            </w:r>
            <w:r>
              <w:rPr>
                <w:rFonts w:hint="eastAsia" w:asciiTheme="minorEastAsia" w:hAnsiTheme="minorEastAsia" w:eastAsiaTheme="minorEastAsia"/>
                <w:bCs/>
                <w:szCs w:val="21"/>
              </w:rPr>
              <w:t>一日生活安排。</w:t>
            </w:r>
          </w:p>
          <w:p>
            <w:pPr>
              <w:numPr>
                <w:ilvl w:val="0"/>
                <w:numId w:val="9"/>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家庭教育理论与家园共育合作。</w:t>
            </w:r>
          </w:p>
          <w:p>
            <w:pPr>
              <w:numPr>
                <w:ilvl w:val="0"/>
                <w:numId w:val="9"/>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幼儿园室外环境的创设。</w:t>
            </w:r>
          </w:p>
        </w:tc>
        <w:tc>
          <w:tcPr>
            <w:tcW w:w="1924" w:type="dxa"/>
            <w:vAlign w:val="center"/>
          </w:tcPr>
          <w:p>
            <w:pPr>
              <w:numPr>
                <w:ilvl w:val="0"/>
                <w:numId w:val="10"/>
              </w:numPr>
              <w:rPr>
                <w:rFonts w:hint="eastAsia" w:asciiTheme="minorEastAsia" w:hAnsiTheme="minorEastAsia" w:eastAsiaTheme="minorEastAsia"/>
                <w:bCs/>
                <w:szCs w:val="21"/>
              </w:rPr>
            </w:pPr>
            <w:r>
              <w:rPr>
                <w:rFonts w:hint="eastAsia" w:asciiTheme="minorEastAsia" w:hAnsiTheme="minorEastAsia" w:eastAsiaTheme="minorEastAsia"/>
                <w:bCs/>
                <w:szCs w:val="21"/>
              </w:rPr>
              <w:t>进一步提升观察记录和发现问题能力。</w:t>
            </w:r>
          </w:p>
          <w:p>
            <w:pPr>
              <w:numPr>
                <w:ilvl w:val="0"/>
                <w:numId w:val="10"/>
              </w:numPr>
              <w:rPr>
                <w:rFonts w:hint="eastAsia" w:asciiTheme="minorEastAsia" w:hAnsiTheme="minorEastAsia" w:eastAsiaTheme="minorEastAsia"/>
                <w:bCs/>
                <w:szCs w:val="21"/>
              </w:rPr>
            </w:pPr>
            <w:r>
              <w:rPr>
                <w:rFonts w:hint="eastAsia" w:asciiTheme="minorEastAsia" w:hAnsiTheme="minorEastAsia" w:eastAsiaTheme="minorEastAsia"/>
                <w:bCs/>
                <w:szCs w:val="21"/>
              </w:rPr>
              <w:t>能把学前儿童卫生与保健、学前教育学、学前儿童发展科学、幼儿文学与幼儿园一日生活各环节结合起来思考问题。</w:t>
            </w:r>
          </w:p>
          <w:p>
            <w:pPr>
              <w:numPr>
                <w:ilvl w:val="0"/>
                <w:numId w:val="10"/>
              </w:numPr>
              <w:rPr>
                <w:rFonts w:hint="eastAsia" w:asciiTheme="minorEastAsia" w:hAnsiTheme="minorEastAsia" w:eastAsiaTheme="minorEastAsia"/>
                <w:bCs/>
                <w:szCs w:val="21"/>
              </w:rPr>
            </w:pPr>
            <w:r>
              <w:rPr>
                <w:rFonts w:hint="eastAsia" w:asciiTheme="minorEastAsia" w:hAnsiTheme="minorEastAsia" w:eastAsiaTheme="minorEastAsia"/>
                <w:bCs/>
                <w:szCs w:val="21"/>
              </w:rPr>
              <w:t>能收集和撰写家园共育案例并进行思考与表达。</w:t>
            </w:r>
          </w:p>
        </w:tc>
        <w:tc>
          <w:tcPr>
            <w:tcW w:w="1924"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4"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1.一日生活安排的卫生保健视角、学前教育学原理视角、学前儿童发展科学视角、幼儿文学视角。</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2</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家庭教育理论与家园共育合作。</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3</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幼儿园室外环境的创设。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第四学期，实践的“绝知躬行”阶段。深入现场体验，在动手操作中发现和思考。</w:t>
            </w:r>
          </w:p>
        </w:tc>
        <w:tc>
          <w:tcPr>
            <w:tcW w:w="1924" w:type="dxa"/>
            <w:vAlign w:val="center"/>
          </w:tcPr>
          <w:p>
            <w:pPr>
              <w:numPr>
                <w:ilvl w:val="0"/>
                <w:numId w:val="11"/>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幼儿园课程的特性</w:t>
            </w:r>
          </w:p>
          <w:p>
            <w:pPr>
              <w:numPr>
                <w:ilvl w:val="0"/>
                <w:numId w:val="11"/>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现实中的幼儿园课程现象。</w:t>
            </w:r>
          </w:p>
          <w:p>
            <w:pPr>
              <w:numPr>
                <w:ilvl w:val="0"/>
                <w:numId w:val="11"/>
              </w:numPr>
              <w:ind w:left="0" w:leftChars="0" w:firstLine="0" w:firstLineChars="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游戏与课程的关系及其现实中的状况。</w:t>
            </w:r>
          </w:p>
          <w:p>
            <w:pPr>
              <w:numPr>
                <w:ilvl w:val="0"/>
                <w:numId w:val="11"/>
              </w:numPr>
              <w:ind w:left="0" w:leftChars="0" w:firstLine="0" w:firstLineChars="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理解并梳理</w:t>
            </w:r>
            <w:r>
              <w:rPr>
                <w:rFonts w:hint="eastAsia" w:asciiTheme="minorEastAsia" w:hAnsiTheme="minorEastAsia" w:eastAsiaTheme="minorEastAsia"/>
                <w:bCs/>
                <w:szCs w:val="21"/>
              </w:rPr>
              <w:t>儿童观。</w:t>
            </w:r>
          </w:p>
          <w:p>
            <w:pPr>
              <w:numPr>
                <w:ilvl w:val="0"/>
                <w:numId w:val="11"/>
              </w:numPr>
              <w:ind w:left="0" w:leftChars="0" w:firstLine="0" w:firstLineChars="0"/>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区域和材料。</w:t>
            </w:r>
          </w:p>
        </w:tc>
        <w:tc>
          <w:tcPr>
            <w:tcW w:w="1924" w:type="dxa"/>
            <w:vAlign w:val="center"/>
          </w:tcPr>
          <w:p>
            <w:pPr>
              <w:numPr>
                <w:ilvl w:val="0"/>
                <w:numId w:val="12"/>
              </w:numPr>
              <w:rPr>
                <w:rFonts w:hint="eastAsia" w:asciiTheme="minorEastAsia" w:hAnsiTheme="minorEastAsia" w:eastAsiaTheme="minorEastAsia"/>
                <w:bCs/>
                <w:szCs w:val="21"/>
              </w:rPr>
            </w:pPr>
            <w:r>
              <w:rPr>
                <w:rFonts w:hint="eastAsia" w:asciiTheme="minorEastAsia" w:hAnsiTheme="minorEastAsia" w:eastAsiaTheme="minorEastAsia"/>
                <w:bCs/>
                <w:szCs w:val="21"/>
              </w:rPr>
              <w:t>观察记录和发现问题能力体现到课程故事（案例）的撰写上。</w:t>
            </w:r>
          </w:p>
          <w:p>
            <w:pPr>
              <w:numPr>
                <w:ilvl w:val="0"/>
                <w:numId w:val="12"/>
              </w:numPr>
              <w:rPr>
                <w:rFonts w:hint="eastAsia" w:asciiTheme="minorEastAsia" w:hAnsiTheme="minorEastAsia" w:eastAsiaTheme="minorEastAsia"/>
                <w:bCs/>
                <w:szCs w:val="21"/>
              </w:rPr>
            </w:pPr>
            <w:r>
              <w:rPr>
                <w:rFonts w:hint="eastAsia" w:asciiTheme="minorEastAsia" w:hAnsiTheme="minorEastAsia" w:eastAsiaTheme="minorEastAsia"/>
                <w:bCs/>
                <w:szCs w:val="21"/>
              </w:rPr>
              <w:t>能把幼儿园课程、学前教育思想史、幼儿哲学等专业课程的学习与实践体验中不同的幼教现象进行对比思考。</w:t>
            </w:r>
          </w:p>
        </w:tc>
        <w:tc>
          <w:tcPr>
            <w:tcW w:w="1924"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4"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幼儿园课程的特性及其现实中的幼儿园课程现象。</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2.游戏与课程的关系及其现实中的状况。</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3</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儿童观梳理。</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4</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关注区域和材料。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第五学期，实践的“参悟真经”，深入保教现场动手操作，比较思考。</w:t>
            </w:r>
          </w:p>
        </w:tc>
        <w:tc>
          <w:tcPr>
            <w:tcW w:w="1924" w:type="dxa"/>
            <w:vAlign w:val="center"/>
          </w:tcPr>
          <w:p>
            <w:pPr>
              <w:numPr>
                <w:ilvl w:val="0"/>
                <w:numId w:val="13"/>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游戏与幼儿发展的关系问题。</w:t>
            </w:r>
          </w:p>
          <w:p>
            <w:pPr>
              <w:numPr>
                <w:ilvl w:val="0"/>
                <w:numId w:val="13"/>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幼儿观察与课程生长的关系问题。</w:t>
            </w:r>
          </w:p>
          <w:p>
            <w:pPr>
              <w:numPr>
                <w:ilvl w:val="0"/>
                <w:numId w:val="13"/>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评价</w:t>
            </w:r>
            <w:r>
              <w:rPr>
                <w:rFonts w:hint="eastAsia" w:asciiTheme="minorEastAsia" w:hAnsiTheme="minorEastAsia" w:eastAsiaTheme="minorEastAsia"/>
                <w:bCs/>
                <w:szCs w:val="21"/>
              </w:rPr>
              <w:t>家庭及社区合作及现实中的问题。</w:t>
            </w:r>
          </w:p>
          <w:p>
            <w:pPr>
              <w:numPr>
                <w:ilvl w:val="0"/>
                <w:numId w:val="13"/>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幼儿园领域教育及其实施的合理性思考。</w:t>
            </w:r>
          </w:p>
        </w:tc>
        <w:tc>
          <w:tcPr>
            <w:tcW w:w="1924" w:type="dxa"/>
            <w:vAlign w:val="center"/>
          </w:tcPr>
          <w:p>
            <w:pPr>
              <w:numPr>
                <w:ilvl w:val="0"/>
                <w:numId w:val="14"/>
              </w:numPr>
              <w:rPr>
                <w:rFonts w:hint="eastAsia" w:asciiTheme="minorEastAsia" w:hAnsiTheme="minorEastAsia" w:eastAsiaTheme="minorEastAsia"/>
                <w:bCs/>
                <w:szCs w:val="21"/>
              </w:rPr>
            </w:pPr>
            <w:r>
              <w:rPr>
                <w:rFonts w:hint="eastAsia" w:asciiTheme="minorEastAsia" w:hAnsiTheme="minorEastAsia" w:eastAsiaTheme="minorEastAsia"/>
                <w:bCs/>
                <w:szCs w:val="21"/>
              </w:rPr>
              <w:t>观察发现能力体现到幼儿园课程生长的能力上。</w:t>
            </w:r>
          </w:p>
          <w:p>
            <w:pPr>
              <w:numPr>
                <w:ilvl w:val="0"/>
                <w:numId w:val="14"/>
              </w:numPr>
              <w:rPr>
                <w:rFonts w:hint="eastAsia" w:asciiTheme="minorEastAsia" w:hAnsiTheme="minorEastAsia" w:eastAsiaTheme="minorEastAsia"/>
                <w:bCs/>
                <w:szCs w:val="21"/>
              </w:rPr>
            </w:pPr>
            <w:r>
              <w:rPr>
                <w:rFonts w:hint="eastAsia" w:asciiTheme="minorEastAsia" w:hAnsiTheme="minorEastAsia" w:eastAsiaTheme="minorEastAsia"/>
                <w:bCs/>
                <w:szCs w:val="21"/>
              </w:rPr>
              <w:t>结合幼儿园游戏、学前儿童行为观察与分析、班级管理、家庭社区教育等相关专业课程的学习进行幼儿游戏、教师观察和课程生长的综合尝试</w:t>
            </w:r>
          </w:p>
          <w:p>
            <w:pPr>
              <w:numPr>
                <w:ilvl w:val="0"/>
                <w:numId w:val="14"/>
              </w:numPr>
              <w:rPr>
                <w:rFonts w:hint="eastAsia" w:asciiTheme="minorEastAsia" w:hAnsiTheme="minorEastAsia" w:eastAsiaTheme="minorEastAsia"/>
                <w:bCs/>
                <w:szCs w:val="21"/>
              </w:rPr>
            </w:pPr>
            <w:r>
              <w:rPr>
                <w:rFonts w:hint="eastAsia" w:asciiTheme="minorEastAsia" w:hAnsiTheme="minorEastAsia" w:eastAsiaTheme="minorEastAsia"/>
                <w:bCs/>
                <w:szCs w:val="21"/>
              </w:rPr>
              <w:t>在家园、社区合作的实践中思考并解决其中遇到的问题。</w:t>
            </w:r>
          </w:p>
        </w:tc>
        <w:tc>
          <w:tcPr>
            <w:tcW w:w="1924"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4"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1</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关注游戏与幼儿发展的关系问题。</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2</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关注幼儿观察与课程生长的关系问题。</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3</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家庭及社区合作及现实中的问题。</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4</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幼儿园领域教育及其实施的合理性思考。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07"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第六学期，实践的“仰望星空”阶段，在深入保教实践中逐渐体悟幼教的“好”。</w:t>
            </w:r>
          </w:p>
        </w:tc>
        <w:tc>
          <w:tcPr>
            <w:tcW w:w="1924" w:type="dxa"/>
            <w:vAlign w:val="center"/>
          </w:tcPr>
          <w:p>
            <w:pPr>
              <w:numPr>
                <w:ilvl w:val="0"/>
                <w:numId w:val="15"/>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一日生活充满伦理的意味。</w:t>
            </w:r>
          </w:p>
          <w:p>
            <w:pPr>
              <w:numPr>
                <w:ilvl w:val="0"/>
                <w:numId w:val="15"/>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分析</w:t>
            </w:r>
            <w:r>
              <w:rPr>
                <w:rFonts w:hint="eastAsia" w:asciiTheme="minorEastAsia" w:hAnsiTheme="minorEastAsia" w:eastAsiaTheme="minorEastAsia"/>
                <w:bCs/>
                <w:szCs w:val="21"/>
              </w:rPr>
              <w:t>幼儿园环境创设的综合理解。</w:t>
            </w:r>
          </w:p>
          <w:p>
            <w:pPr>
              <w:numPr>
                <w:ilvl w:val="0"/>
                <w:numId w:val="15"/>
              </w:numPr>
              <w:rPr>
                <w:rFonts w:hint="eastAsia" w:asciiTheme="minorEastAsia" w:hAnsiTheme="minorEastAsia" w:eastAsiaTheme="minorEastAsia"/>
                <w:bCs/>
                <w:szCs w:val="21"/>
              </w:rPr>
            </w:pPr>
            <w:r>
              <w:rPr>
                <w:rFonts w:hint="eastAsia" w:asciiTheme="minorEastAsia" w:hAnsiTheme="minorEastAsia" w:eastAsiaTheme="minorEastAsia"/>
                <w:bCs/>
                <w:szCs w:val="21"/>
              </w:rPr>
              <w:t>进一步</w:t>
            </w:r>
            <w:r>
              <w:rPr>
                <w:rFonts w:hint="eastAsia" w:asciiTheme="minorEastAsia" w:hAnsiTheme="minorEastAsia" w:eastAsiaTheme="minorEastAsia"/>
                <w:bCs/>
                <w:szCs w:val="21"/>
                <w:lang w:val="en-US" w:eastAsia="zh-CN"/>
              </w:rPr>
              <w:t>分析与评价</w:t>
            </w:r>
            <w:r>
              <w:rPr>
                <w:rFonts w:hint="eastAsia" w:asciiTheme="minorEastAsia" w:hAnsiTheme="minorEastAsia" w:eastAsiaTheme="minorEastAsia"/>
                <w:bCs/>
                <w:szCs w:val="21"/>
              </w:rPr>
              <w:t>幼儿园环境中的材料。</w:t>
            </w:r>
          </w:p>
          <w:p>
            <w:pPr>
              <w:numPr>
                <w:ilvl w:val="0"/>
                <w:numId w:val="15"/>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理解</w:t>
            </w:r>
            <w:r>
              <w:rPr>
                <w:rFonts w:hint="eastAsia" w:asciiTheme="minorEastAsia" w:hAnsiTheme="minorEastAsia" w:eastAsiaTheme="minorEastAsia"/>
                <w:bCs/>
                <w:szCs w:val="21"/>
              </w:rPr>
              <w:t>五大领域与幼儿园课程的关系。</w:t>
            </w:r>
          </w:p>
        </w:tc>
        <w:tc>
          <w:tcPr>
            <w:tcW w:w="1924" w:type="dxa"/>
            <w:vAlign w:val="center"/>
          </w:tcPr>
          <w:p>
            <w:pPr>
              <w:numPr>
                <w:ilvl w:val="0"/>
                <w:numId w:val="16"/>
              </w:numPr>
              <w:rPr>
                <w:rFonts w:hint="eastAsia" w:asciiTheme="minorEastAsia" w:hAnsiTheme="minorEastAsia" w:eastAsiaTheme="minorEastAsia"/>
                <w:bCs/>
                <w:szCs w:val="21"/>
              </w:rPr>
            </w:pPr>
            <w:r>
              <w:rPr>
                <w:rFonts w:hint="eastAsia" w:asciiTheme="minorEastAsia" w:hAnsiTheme="minorEastAsia" w:eastAsiaTheme="minorEastAsia"/>
                <w:bCs/>
                <w:szCs w:val="21"/>
              </w:rPr>
              <w:t>结合幼儿园教师专业伦理、幼儿园环境创设等专业课程学习提升保教现场的伦理敏感性和行为规范。</w:t>
            </w:r>
          </w:p>
          <w:p>
            <w:pPr>
              <w:numPr>
                <w:ilvl w:val="0"/>
                <w:numId w:val="16"/>
              </w:numPr>
              <w:rPr>
                <w:rFonts w:hint="eastAsia" w:asciiTheme="minorEastAsia" w:hAnsiTheme="minorEastAsia" w:eastAsiaTheme="minorEastAsia"/>
                <w:bCs/>
                <w:szCs w:val="21"/>
              </w:rPr>
            </w:pPr>
            <w:r>
              <w:rPr>
                <w:rFonts w:hint="eastAsia" w:asciiTheme="minorEastAsia" w:hAnsiTheme="minorEastAsia" w:eastAsiaTheme="minorEastAsia"/>
                <w:bCs/>
                <w:szCs w:val="21"/>
              </w:rPr>
              <w:t>提升环境创设的综合理解力、分析力和创设力。</w:t>
            </w:r>
          </w:p>
          <w:p>
            <w:pPr>
              <w:numPr>
                <w:ilvl w:val="0"/>
                <w:numId w:val="16"/>
              </w:numPr>
              <w:rPr>
                <w:rFonts w:hint="eastAsia" w:asciiTheme="minorEastAsia" w:hAnsiTheme="minorEastAsia" w:eastAsiaTheme="minorEastAsia"/>
                <w:bCs/>
                <w:szCs w:val="21"/>
              </w:rPr>
            </w:pPr>
            <w:r>
              <w:rPr>
                <w:rFonts w:hint="eastAsia" w:asciiTheme="minorEastAsia" w:hAnsiTheme="minorEastAsia" w:eastAsiaTheme="minorEastAsia"/>
                <w:bCs/>
                <w:szCs w:val="21"/>
              </w:rPr>
              <w:t>课程整合理解和实施能力。</w:t>
            </w:r>
          </w:p>
        </w:tc>
        <w:tc>
          <w:tcPr>
            <w:tcW w:w="1924" w:type="dxa"/>
            <w:vAlign w:val="center"/>
          </w:tcPr>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1.</w:t>
            </w:r>
            <w:r>
              <w:rPr>
                <w:rFonts w:hint="eastAsia" w:asciiTheme="minorEastAsia" w:hAnsiTheme="minorEastAsia" w:eastAsiaTheme="minorEastAsia"/>
                <w:bCs/>
                <w:szCs w:val="21"/>
              </w:rPr>
              <w:t>强化学前教育专业综合能力学习</w:t>
            </w:r>
          </w:p>
          <w:p>
            <w:pPr>
              <w:numPr>
                <w:ilvl w:val="0"/>
                <w:numId w:val="0"/>
              </w:num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2.</w:t>
            </w:r>
            <w:r>
              <w:rPr>
                <w:rFonts w:hint="eastAsia" w:asciiTheme="minorEastAsia" w:hAnsiTheme="minorEastAsia" w:eastAsiaTheme="minorEastAsia"/>
                <w:bCs/>
                <w:szCs w:val="21"/>
              </w:rPr>
              <w:t>培养学前教育专业综合素质</w:t>
            </w:r>
          </w:p>
          <w:p>
            <w:pPr>
              <w:rPr>
                <w:rFonts w:hint="eastAsia" w:asciiTheme="minorEastAsia" w:hAnsiTheme="minorEastAsia" w:eastAsiaTheme="minorEastAsia"/>
                <w:bCs/>
                <w:szCs w:val="21"/>
              </w:rPr>
            </w:pPr>
            <w:r>
              <w:rPr>
                <w:rFonts w:hint="eastAsia" w:asciiTheme="minorEastAsia" w:hAnsiTheme="minorEastAsia" w:eastAsiaTheme="minorEastAsia"/>
                <w:bCs/>
                <w:szCs w:val="21"/>
                <w:lang w:val="en-US" w:eastAsia="zh-CN"/>
              </w:rPr>
              <w:t>3.</w:t>
            </w:r>
            <w:r>
              <w:rPr>
                <w:rFonts w:hint="eastAsia" w:asciiTheme="minorEastAsia" w:hAnsiTheme="minorEastAsia" w:eastAsiaTheme="minorEastAsia"/>
                <w:bCs/>
                <w:szCs w:val="21"/>
              </w:rPr>
              <w:t>激发热爱学前教育专业情感。</w:t>
            </w:r>
          </w:p>
        </w:tc>
        <w:tc>
          <w:tcPr>
            <w:tcW w:w="1924" w:type="dxa"/>
            <w:vAlign w:val="center"/>
          </w:tcPr>
          <w:p>
            <w:pPr>
              <w:rPr>
                <w:rFonts w:hint="eastAsia" w:asciiTheme="minorEastAsia" w:hAnsiTheme="minorEastAsia" w:eastAsiaTheme="minorEastAsia"/>
                <w:bCs/>
                <w:szCs w:val="21"/>
              </w:rPr>
            </w:pPr>
            <w:r>
              <w:rPr>
                <w:rFonts w:hint="eastAsia" w:asciiTheme="minorEastAsia" w:hAnsiTheme="minorEastAsia" w:eastAsiaTheme="minorEastAsia"/>
                <w:bCs/>
                <w:szCs w:val="21"/>
              </w:rPr>
              <w:t>1</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一日生活充满伦理的意味。</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2</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幼儿园环境创设的综合理解。</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3</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进一步关注幼儿园环境中的材料。</w:t>
            </w:r>
          </w:p>
          <w:p>
            <w:pPr>
              <w:rPr>
                <w:rFonts w:hint="eastAsia" w:asciiTheme="minorEastAsia" w:hAnsiTheme="minorEastAsia" w:eastAsiaTheme="minorEastAsia"/>
                <w:bCs/>
                <w:szCs w:val="21"/>
              </w:rPr>
            </w:pPr>
            <w:r>
              <w:rPr>
                <w:rFonts w:hint="eastAsia" w:asciiTheme="minorEastAsia" w:hAnsiTheme="minorEastAsia" w:eastAsiaTheme="minorEastAsia"/>
                <w:bCs/>
                <w:szCs w:val="21"/>
              </w:rPr>
              <w:t>4</w:t>
            </w:r>
            <w:r>
              <w:rPr>
                <w:rFonts w:hint="eastAsia" w:asciiTheme="minorEastAsia" w:hAnsiTheme="minorEastAsia" w:eastAsiaTheme="minorEastAsia"/>
                <w:bCs/>
                <w:szCs w:val="21"/>
                <w:lang w:eastAsia="zh-CN"/>
              </w:rPr>
              <w:t>.</w:t>
            </w:r>
            <w:r>
              <w:rPr>
                <w:rFonts w:hint="eastAsia" w:asciiTheme="minorEastAsia" w:hAnsiTheme="minorEastAsia" w:eastAsiaTheme="minorEastAsia"/>
                <w:bCs/>
                <w:szCs w:val="21"/>
              </w:rPr>
              <w:t>关注五大领域与幼儿园课程的关系。</w:t>
            </w:r>
          </w:p>
        </w:tc>
      </w:tr>
    </w:tbl>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lang w:val="en-US" w:eastAsia="zh-CN"/>
        </w:rPr>
      </w:pPr>
    </w:p>
    <w:p>
      <w:pPr>
        <w:widowControl/>
        <w:numPr>
          <w:ilvl w:val="0"/>
          <w:numId w:val="0"/>
        </w:numPr>
        <w:spacing w:before="156" w:beforeLines="50" w:after="156" w:afterLines="50" w:line="288" w:lineRule="auto"/>
        <w:ind w:firstLine="240" w:firstLineChars="100"/>
        <w:jc w:val="left"/>
        <w:rPr>
          <w:rFonts w:hint="eastAsia" w:ascii="黑体" w:hAnsi="宋体" w:eastAsia="黑体"/>
          <w:sz w:val="24"/>
        </w:rPr>
      </w:pPr>
      <w:r>
        <w:rPr>
          <w:rFonts w:hint="eastAsia" w:ascii="黑体" w:hAnsi="宋体" w:eastAsia="黑体"/>
          <w:sz w:val="24"/>
          <w:lang w:val="en-US" w:eastAsia="zh-CN"/>
        </w:rPr>
        <w:t>七、</w:t>
      </w:r>
      <w:r>
        <w:rPr>
          <w:rFonts w:hint="eastAsia" w:ascii="黑体" w:hAnsi="宋体" w:eastAsia="黑体"/>
          <w:sz w:val="24"/>
        </w:rPr>
        <w:t>评价方式与成绩</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746"/>
        <w:gridCol w:w="3224"/>
        <w:gridCol w:w="2"/>
        <w:gridCol w:w="2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65" w:type="dxa"/>
          </w:tcPr>
          <w:p>
            <w:pPr>
              <w:widowControl/>
              <w:numPr>
                <w:ilvl w:val="0"/>
                <w:numId w:val="0"/>
              </w:numPr>
              <w:spacing w:before="156" w:beforeLines="50" w:after="156" w:afterLines="50" w:line="288" w:lineRule="auto"/>
              <w:jc w:val="left"/>
              <w:rPr>
                <w:rFonts w:hint="eastAsia" w:ascii="黑体" w:hAnsi="宋体" w:eastAsia="黑体"/>
                <w:sz w:val="24"/>
                <w:szCs w:val="24"/>
                <w:vertAlign w:val="baseline"/>
                <w:lang w:val="en-US" w:eastAsia="zh-CN"/>
              </w:rPr>
            </w:pPr>
            <w:r>
              <w:rPr>
                <w:rFonts w:hint="eastAsia" w:ascii="黑体" w:hAnsi="宋体" w:eastAsia="黑体"/>
                <w:sz w:val="24"/>
                <w:szCs w:val="24"/>
                <w:vertAlign w:val="baseline"/>
                <w:lang w:val="en-US" w:eastAsia="zh-CN"/>
              </w:rPr>
              <w:t>学期</w:t>
            </w:r>
          </w:p>
        </w:tc>
        <w:tc>
          <w:tcPr>
            <w:tcW w:w="7457" w:type="dxa"/>
            <w:gridSpan w:val="4"/>
          </w:tcPr>
          <w:p>
            <w:pPr>
              <w:widowControl/>
              <w:numPr>
                <w:ilvl w:val="0"/>
                <w:numId w:val="0"/>
              </w:numPr>
              <w:tabs>
                <w:tab w:val="left" w:pos="2898"/>
              </w:tabs>
              <w:spacing w:before="156" w:beforeLines="50" w:after="156" w:afterLines="50" w:line="288" w:lineRule="auto"/>
              <w:jc w:val="left"/>
              <w:rPr>
                <w:rFonts w:hint="default" w:ascii="黑体" w:hAnsi="宋体" w:eastAsia="黑体"/>
                <w:sz w:val="24"/>
                <w:szCs w:val="24"/>
                <w:vertAlign w:val="baseline"/>
                <w:lang w:val="en-US" w:eastAsia="zh-CN"/>
              </w:rPr>
            </w:pPr>
            <w:r>
              <w:rPr>
                <w:rFonts w:hint="eastAsia" w:ascii="黑体" w:hAnsi="宋体" w:eastAsia="黑体"/>
                <w:sz w:val="24"/>
                <w:szCs w:val="24"/>
                <w:vertAlign w:val="baseline"/>
                <w:lang w:eastAsia="zh-CN"/>
              </w:rPr>
              <w:tab/>
            </w:r>
            <w:r>
              <w:rPr>
                <w:rFonts w:hint="eastAsia" w:ascii="黑体" w:hAnsi="宋体" w:eastAsia="黑体"/>
                <w:sz w:val="24"/>
                <w:szCs w:val="24"/>
                <w:vertAlign w:val="baseline"/>
                <w:lang w:val="en-US" w:eastAsia="zh-CN"/>
              </w:rPr>
              <w:t>评价方式与成绩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restart"/>
          </w:tcPr>
          <w:p>
            <w:pPr>
              <w:widowControl/>
              <w:numPr>
                <w:ilvl w:val="0"/>
                <w:numId w:val="0"/>
              </w:numPr>
              <w:spacing w:before="156" w:beforeLines="50" w:after="156" w:afterLines="50" w:line="288" w:lineRule="auto"/>
              <w:jc w:val="left"/>
              <w:rPr>
                <w:rFonts w:hint="eastAsia" w:ascii="黑体" w:hAnsi="宋体" w:eastAsia="黑体"/>
                <w:sz w:val="24"/>
                <w:vertAlign w:val="baseline"/>
                <w:lang w:val="en-US" w:eastAsia="zh-CN"/>
              </w:rPr>
            </w:pPr>
            <w:r>
              <w:rPr>
                <w:rFonts w:hint="eastAsia" w:ascii="宋体" w:hAnsi="宋体"/>
                <w:bCs/>
                <w:color w:val="000000"/>
                <w:szCs w:val="20"/>
                <w:highlight w:val="none"/>
                <w:lang w:val="en-US" w:eastAsia="zh-CN"/>
              </w:rPr>
              <w:t>第一学期</w:t>
            </w:r>
          </w:p>
        </w:tc>
        <w:tc>
          <w:tcPr>
            <w:tcW w:w="1746" w:type="dxa"/>
            <w:vAlign w:val="top"/>
          </w:tcPr>
          <w:p>
            <w:pPr>
              <w:snapToGrid w:val="0"/>
              <w:spacing w:beforeLines="50" w:afterLines="50"/>
              <w:rPr>
                <w:rFonts w:hint="eastAsia" w:ascii="宋体" w:hAnsi="宋体" w:eastAsia="宋体" w:cs="Times New Roman"/>
                <w:bCs/>
                <w:color w:val="000000"/>
                <w:kern w:val="2"/>
                <w:sz w:val="21"/>
                <w:szCs w:val="20"/>
                <w:lang w:val="en-US" w:eastAsia="zh-CN" w:bidi="ar-SA"/>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4" w:type="dxa"/>
            <w:vAlign w:val="top"/>
          </w:tcPr>
          <w:p>
            <w:pPr>
              <w:snapToGrid w:val="0"/>
              <w:spacing w:beforeLines="50" w:afterLines="50"/>
              <w:jc w:val="center"/>
              <w:rPr>
                <w:rFonts w:hint="eastAsia" w:ascii="宋体" w:hAnsi="宋体" w:eastAsia="宋体" w:cs="Times New Roman"/>
                <w:bCs/>
                <w:color w:val="000000"/>
                <w:kern w:val="2"/>
                <w:sz w:val="21"/>
                <w:szCs w:val="20"/>
                <w:lang w:val="en-US" w:eastAsia="zh-CN" w:bidi="ar-SA"/>
              </w:rPr>
            </w:pPr>
            <w:r>
              <w:rPr>
                <w:rFonts w:hint="eastAsia" w:ascii="宋体" w:hAnsi="宋体"/>
                <w:bCs/>
                <w:color w:val="000000"/>
                <w:szCs w:val="20"/>
              </w:rPr>
              <w:t>评价方式</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lang w:val="en-US" w:eastAsia="zh-CN" w:bidi="ar-SA"/>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tabs>
                <w:tab w:val="left" w:pos="2688"/>
              </w:tabs>
              <w:spacing w:before="156" w:beforeLines="50" w:after="156" w:afterLines="50" w:line="288" w:lineRule="auto"/>
              <w:jc w:val="left"/>
            </w:pPr>
          </w:p>
        </w:tc>
        <w:tc>
          <w:tcPr>
            <w:tcW w:w="1746" w:type="dxa"/>
            <w:vAlign w:val="top"/>
          </w:tcPr>
          <w:p>
            <w:pPr>
              <w:snapToGrid w:val="0"/>
              <w:spacing w:beforeLines="50" w:afterLines="50"/>
              <w:jc w:val="center"/>
              <w:rPr>
                <w:rFonts w:hint="default" w:ascii="黑体" w:hAnsi="宋体" w:eastAsia="黑体"/>
                <w:sz w:val="24"/>
                <w:vertAlign w:val="baseline"/>
                <w:lang w:val="en-US" w:eastAsia="zh-CN"/>
              </w:rPr>
            </w:pPr>
            <w:r>
              <w:rPr>
                <w:rFonts w:hint="eastAsia" w:ascii="宋体" w:hAnsi="宋体"/>
                <w:bCs/>
                <w:color w:val="000000"/>
                <w:szCs w:val="20"/>
                <w:highlight w:val="none"/>
              </w:rPr>
              <w:t>X1</w:t>
            </w:r>
          </w:p>
        </w:tc>
        <w:tc>
          <w:tcPr>
            <w:tcW w:w="3224" w:type="dxa"/>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常规执行情况</w:t>
            </w:r>
          </w:p>
        </w:tc>
        <w:tc>
          <w:tcPr>
            <w:tcW w:w="2487" w:type="dxa"/>
            <w:gridSpan w:val="2"/>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tabs>
                <w:tab w:val="left" w:pos="2688"/>
              </w:tabs>
              <w:spacing w:before="156" w:beforeLines="50" w:after="156" w:afterLines="50" w:line="288" w:lineRule="auto"/>
              <w:jc w:val="left"/>
              <w:rPr>
                <w:rFonts w:hint="eastAsia" w:ascii="黑体" w:hAnsi="宋体" w:eastAsia="黑体"/>
                <w:sz w:val="24"/>
                <w:vertAlign w:val="baseline"/>
                <w:lang w:eastAsia="zh-CN"/>
              </w:rPr>
            </w:pPr>
          </w:p>
        </w:tc>
        <w:tc>
          <w:tcPr>
            <w:tcW w:w="1746" w:type="dxa"/>
            <w:vAlign w:val="top"/>
          </w:tcPr>
          <w:p>
            <w:pPr>
              <w:snapToGrid w:val="0"/>
              <w:spacing w:beforeLines="50" w:afterLines="50"/>
              <w:jc w:val="center"/>
              <w:rPr>
                <w:rFonts w:hint="default" w:ascii="黑体" w:hAnsi="宋体" w:eastAsia="黑体"/>
                <w:sz w:val="24"/>
                <w:vertAlign w:val="baseline"/>
                <w:lang w:val="en-US" w:eastAsia="zh-CN"/>
              </w:rPr>
            </w:pPr>
            <w:r>
              <w:rPr>
                <w:rFonts w:hint="eastAsia" w:ascii="宋体" w:hAnsi="宋体"/>
                <w:bCs/>
                <w:color w:val="000000"/>
                <w:szCs w:val="20"/>
                <w:highlight w:val="none"/>
                <w:lang w:val="en-US" w:eastAsia="zh-CN"/>
              </w:rPr>
              <w:t>X2</w:t>
            </w:r>
          </w:p>
        </w:tc>
        <w:tc>
          <w:tcPr>
            <w:tcW w:w="3224" w:type="dxa"/>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任务完成情况</w:t>
            </w:r>
          </w:p>
        </w:tc>
        <w:tc>
          <w:tcPr>
            <w:tcW w:w="2487" w:type="dxa"/>
            <w:gridSpan w:val="2"/>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tabs>
                <w:tab w:val="left" w:pos="2688"/>
              </w:tabs>
              <w:spacing w:before="156" w:beforeLines="50" w:after="156" w:afterLines="50" w:line="288" w:lineRule="auto"/>
              <w:jc w:val="left"/>
              <w:rPr>
                <w:rFonts w:hint="eastAsia" w:ascii="黑体" w:hAnsi="宋体" w:eastAsia="黑体"/>
                <w:sz w:val="24"/>
                <w:vertAlign w:val="baseline"/>
                <w:lang w:eastAsia="zh-CN"/>
              </w:rPr>
            </w:pPr>
          </w:p>
        </w:tc>
        <w:tc>
          <w:tcPr>
            <w:tcW w:w="1746" w:type="dxa"/>
            <w:vAlign w:val="top"/>
          </w:tcPr>
          <w:p>
            <w:pPr>
              <w:snapToGrid w:val="0"/>
              <w:spacing w:beforeLines="50" w:afterLines="50"/>
              <w:jc w:val="center"/>
              <w:rPr>
                <w:rFonts w:hint="eastAsia" w:ascii="黑体" w:hAnsi="宋体" w:eastAsia="黑体"/>
                <w:sz w:val="24"/>
                <w:vertAlign w:val="baseline"/>
                <w:lang w:eastAsia="zh-CN"/>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4" w:type="dxa"/>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期末实践汇报</w:t>
            </w:r>
          </w:p>
        </w:tc>
        <w:tc>
          <w:tcPr>
            <w:tcW w:w="2487" w:type="dxa"/>
            <w:gridSpan w:val="2"/>
          </w:tcPr>
          <w:p>
            <w:pPr>
              <w:widowControl/>
              <w:numPr>
                <w:ilvl w:val="0"/>
                <w:numId w:val="0"/>
              </w:numPr>
              <w:tabs>
                <w:tab w:val="left" w:pos="2688"/>
              </w:tabs>
              <w:spacing w:before="156" w:beforeLines="50" w:after="156" w:afterLines="50" w:line="288" w:lineRule="auto"/>
              <w:jc w:val="center"/>
              <w:rPr>
                <w:rFonts w:hint="default" w:ascii="宋体" w:hAnsi="宋体"/>
                <w:bCs/>
                <w:color w:val="000000"/>
                <w:szCs w:val="20"/>
                <w:lang w:val="en-US" w:eastAsia="zh-CN"/>
              </w:rPr>
            </w:pPr>
            <w:r>
              <w:rPr>
                <w:rFonts w:hint="eastAsia" w:ascii="宋体" w:hAnsi="宋体"/>
                <w:bCs/>
                <w:color w:val="000000"/>
                <w:szCs w:val="2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restart"/>
          </w:tcPr>
          <w:p>
            <w:pPr>
              <w:widowControl/>
              <w:numPr>
                <w:ilvl w:val="0"/>
                <w:numId w:val="0"/>
              </w:numPr>
              <w:spacing w:before="156" w:beforeLines="50" w:after="156" w:afterLines="50" w:line="288" w:lineRule="auto"/>
              <w:jc w:val="left"/>
              <w:rPr>
                <w:rFonts w:hint="eastAsia" w:ascii="宋体" w:hAnsi="宋体"/>
                <w:bCs/>
                <w:color w:val="000000"/>
                <w:szCs w:val="20"/>
                <w:highlight w:val="none"/>
                <w:lang w:val="en-US" w:eastAsia="zh-CN"/>
              </w:rPr>
            </w:pPr>
            <w:r>
              <w:rPr>
                <w:rFonts w:hint="eastAsia" w:ascii="宋体" w:hAnsi="宋体"/>
                <w:bCs/>
                <w:color w:val="000000"/>
                <w:szCs w:val="20"/>
                <w:highlight w:val="none"/>
                <w:lang w:val="en-US" w:eastAsia="zh-CN"/>
              </w:rPr>
              <w:t>第二学期</w:t>
            </w:r>
          </w:p>
        </w:tc>
        <w:tc>
          <w:tcPr>
            <w:tcW w:w="1746" w:type="dxa"/>
            <w:vAlign w:val="top"/>
          </w:tcPr>
          <w:p>
            <w:pPr>
              <w:snapToGrid w:val="0"/>
              <w:spacing w:beforeLines="50" w:afterLines="50"/>
              <w:rPr>
                <w:rFonts w:hint="eastAsia" w:ascii="宋体" w:hAnsi="宋体"/>
                <w:bCs/>
                <w:color w:val="000000"/>
                <w:szCs w:val="20"/>
                <w:highlight w:val="none"/>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4" w:type="dxa"/>
            <w:vAlign w:val="top"/>
          </w:tcPr>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rPr>
              <w:t>评价方式</w:t>
            </w:r>
          </w:p>
        </w:tc>
        <w:tc>
          <w:tcPr>
            <w:tcW w:w="2487" w:type="dxa"/>
            <w:gridSpan w:val="2"/>
            <w:vAlign w:val="top"/>
          </w:tcPr>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065" w:type="dxa"/>
            <w:vMerge w:val="continue"/>
          </w:tcPr>
          <w:p>
            <w:pPr>
              <w:snapToGrid w:val="0"/>
              <w:spacing w:beforeLines="50" w:afterLines="50"/>
              <w:jc w:val="center"/>
            </w:pPr>
          </w:p>
        </w:tc>
        <w:tc>
          <w:tcPr>
            <w:tcW w:w="1746" w:type="dxa"/>
            <w:vAlign w:val="top"/>
          </w:tcPr>
          <w:p>
            <w:pPr>
              <w:snapToGrid w:val="0"/>
              <w:spacing w:beforeLines="50" w:afterLines="50"/>
              <w:jc w:val="center"/>
            </w:pPr>
            <w:r>
              <w:rPr>
                <w:rFonts w:hint="eastAsia" w:ascii="宋体" w:hAnsi="宋体"/>
                <w:bCs/>
                <w:color w:val="000000"/>
                <w:szCs w:val="20"/>
                <w:highlight w:val="none"/>
              </w:rPr>
              <w:t>X1</w:t>
            </w:r>
          </w:p>
        </w:tc>
        <w:tc>
          <w:tcPr>
            <w:tcW w:w="3224" w:type="dxa"/>
          </w:tcPr>
          <w:p>
            <w:pPr>
              <w:snapToGrid w:val="0"/>
              <w:spacing w:beforeLines="50" w:afterLines="50"/>
              <w:jc w:val="center"/>
              <w:rPr>
                <w:rFonts w:hint="eastAsia"/>
                <w:lang w:val="en-US" w:eastAsia="zh-CN"/>
              </w:rPr>
            </w:pPr>
            <w:r>
              <w:rPr>
                <w:rFonts w:hint="eastAsia"/>
                <w:lang w:val="en-US" w:eastAsia="zh-CN"/>
              </w:rPr>
              <w:t>常规执行情况</w:t>
            </w:r>
          </w:p>
          <w:p>
            <w:pPr>
              <w:snapToGrid w:val="0"/>
              <w:spacing w:beforeLines="50" w:afterLines="50"/>
              <w:jc w:val="center"/>
              <w:rPr>
                <w:rFonts w:hint="default"/>
                <w:lang w:val="en-US" w:eastAsia="zh-CN"/>
              </w:rPr>
            </w:pPr>
            <w:r>
              <w:rPr>
                <w:rFonts w:hint="eastAsia" w:ascii="宋体" w:hAnsi="宋体"/>
                <w:bCs/>
                <w:color w:val="000000"/>
                <w:szCs w:val="20"/>
                <w:lang w:val="en-US" w:eastAsia="zh-CN"/>
              </w:rPr>
              <w:t>（个人/小组/教师评价相结合）</w:t>
            </w:r>
          </w:p>
        </w:tc>
        <w:tc>
          <w:tcPr>
            <w:tcW w:w="2487" w:type="dxa"/>
            <w:gridSpan w:val="2"/>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snapToGrid w:val="0"/>
              <w:spacing w:beforeLines="50" w:afterLines="50"/>
              <w:jc w:val="center"/>
              <w:rPr>
                <w:rFonts w:hint="eastAsia" w:ascii="宋体" w:hAnsi="宋体"/>
                <w:bCs/>
                <w:color w:val="000000"/>
                <w:szCs w:val="20"/>
                <w:highlight w:val="none"/>
              </w:rPr>
            </w:pPr>
          </w:p>
        </w:tc>
        <w:tc>
          <w:tcPr>
            <w:tcW w:w="1746" w:type="dxa"/>
            <w:vAlign w:val="top"/>
          </w:tcPr>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highlight w:val="none"/>
                <w:lang w:val="en-US" w:eastAsia="zh-CN"/>
              </w:rPr>
              <w:t>X2</w:t>
            </w:r>
          </w:p>
        </w:tc>
        <w:tc>
          <w:tcPr>
            <w:tcW w:w="3224" w:type="dxa"/>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思考表达情况</w:t>
            </w:r>
          </w:p>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lang w:val="en-US" w:eastAsia="zh-CN"/>
              </w:rPr>
              <w:t>（个人/小组/教师评价相结合）</w:t>
            </w:r>
          </w:p>
        </w:tc>
        <w:tc>
          <w:tcPr>
            <w:tcW w:w="2487" w:type="dxa"/>
            <w:gridSpan w:val="2"/>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snapToGrid w:val="0"/>
              <w:spacing w:beforeLines="50" w:afterLines="50"/>
              <w:jc w:val="center"/>
              <w:rPr>
                <w:rFonts w:hint="eastAsia" w:ascii="宋体" w:hAnsi="宋体"/>
                <w:bCs/>
                <w:color w:val="000000"/>
                <w:szCs w:val="20"/>
                <w:highlight w:val="none"/>
              </w:rPr>
            </w:pPr>
          </w:p>
        </w:tc>
        <w:tc>
          <w:tcPr>
            <w:tcW w:w="1746" w:type="dxa"/>
            <w:vAlign w:val="top"/>
          </w:tcPr>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4" w:type="dxa"/>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月汇报情况</w:t>
            </w:r>
          </w:p>
          <w:p>
            <w:pPr>
              <w:snapToGrid w:val="0"/>
              <w:spacing w:beforeLines="50" w:afterLines="50"/>
              <w:jc w:val="center"/>
              <w:rPr>
                <w:rFonts w:hint="eastAsia" w:ascii="宋体" w:hAnsi="宋体"/>
                <w:bCs/>
                <w:color w:val="000000"/>
                <w:szCs w:val="20"/>
                <w:highlight w:val="none"/>
              </w:rPr>
            </w:pPr>
            <w:r>
              <w:rPr>
                <w:rFonts w:hint="eastAsia" w:ascii="宋体" w:hAnsi="宋体"/>
                <w:bCs/>
                <w:color w:val="000000"/>
                <w:szCs w:val="20"/>
                <w:lang w:val="en-US" w:eastAsia="zh-CN"/>
              </w:rPr>
              <w:t>（个人/小组/教师评价相结合）</w:t>
            </w:r>
          </w:p>
        </w:tc>
        <w:tc>
          <w:tcPr>
            <w:tcW w:w="2487" w:type="dxa"/>
            <w:gridSpan w:val="2"/>
          </w:tcPr>
          <w:p>
            <w:pPr>
              <w:snapToGrid w:val="0"/>
              <w:spacing w:beforeLines="50" w:afterLines="50"/>
              <w:jc w:val="center"/>
              <w:rPr>
                <w:rFonts w:hint="default" w:ascii="宋体" w:hAnsi="宋体" w:eastAsia="宋体"/>
                <w:bCs/>
                <w:color w:val="000000"/>
                <w:szCs w:val="20"/>
                <w:highlight w:val="none"/>
                <w:lang w:val="en-US" w:eastAsia="zh-CN"/>
              </w:rPr>
            </w:pPr>
            <w:r>
              <w:rPr>
                <w:rFonts w:hint="eastAsia" w:ascii="宋体" w:hAnsi="宋体"/>
                <w:bCs/>
                <w:color w:val="000000"/>
                <w:szCs w:val="20"/>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restart"/>
          </w:tcPr>
          <w:p>
            <w:pPr>
              <w:widowControl/>
              <w:numPr>
                <w:ilvl w:val="0"/>
                <w:numId w:val="0"/>
              </w:numPr>
              <w:spacing w:before="156" w:beforeLines="50" w:after="156" w:afterLines="50" w:line="288" w:lineRule="auto"/>
              <w:jc w:val="left"/>
              <w:rPr>
                <w:rFonts w:hint="default" w:ascii="宋体" w:hAnsi="宋体"/>
                <w:bCs/>
                <w:color w:val="000000"/>
                <w:szCs w:val="20"/>
                <w:highlight w:val="none"/>
                <w:lang w:val="en-US" w:eastAsia="zh-CN"/>
              </w:rPr>
            </w:pPr>
            <w:r>
              <w:rPr>
                <w:rFonts w:hint="eastAsia" w:ascii="宋体" w:hAnsi="宋体"/>
                <w:bCs/>
                <w:color w:val="000000"/>
                <w:szCs w:val="20"/>
                <w:highlight w:val="none"/>
                <w:lang w:val="en-US" w:eastAsia="zh-CN"/>
              </w:rPr>
              <w:t>第三学期</w:t>
            </w:r>
          </w:p>
        </w:tc>
        <w:tc>
          <w:tcPr>
            <w:tcW w:w="1746" w:type="dxa"/>
            <w:vAlign w:val="top"/>
          </w:tcPr>
          <w:p>
            <w:pPr>
              <w:snapToGrid w:val="0"/>
              <w:spacing w:beforeLines="50" w:afterLines="50"/>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4"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评价方式</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pPr>
          </w:p>
        </w:tc>
        <w:tc>
          <w:tcPr>
            <w:tcW w:w="1746" w:type="dxa"/>
            <w:vAlign w:val="top"/>
          </w:tcPr>
          <w:p>
            <w:pPr>
              <w:snapToGrid w:val="0"/>
              <w:spacing w:beforeLines="50" w:afterLines="50"/>
              <w:jc w:val="center"/>
            </w:pPr>
            <w:r>
              <w:rPr>
                <w:rFonts w:hint="eastAsia" w:ascii="宋体" w:hAnsi="宋体"/>
                <w:bCs/>
                <w:color w:val="000000"/>
                <w:szCs w:val="20"/>
                <w:highlight w:val="none"/>
              </w:rPr>
              <w:t>X1</w:t>
            </w:r>
          </w:p>
        </w:tc>
        <w:tc>
          <w:tcPr>
            <w:tcW w:w="3224" w:type="dxa"/>
            <w:vAlign w:val="top"/>
          </w:tcPr>
          <w:p>
            <w:pPr>
              <w:snapToGrid w:val="0"/>
              <w:spacing w:beforeLines="50" w:afterLines="50"/>
              <w:jc w:val="center"/>
              <w:rPr>
                <w:rFonts w:hint="eastAsia"/>
                <w:lang w:val="en-US" w:eastAsia="zh-CN"/>
              </w:rPr>
            </w:pPr>
            <w:r>
              <w:rPr>
                <w:rFonts w:hint="eastAsia"/>
                <w:lang w:val="en-US" w:eastAsia="zh-CN"/>
              </w:rPr>
              <w:t>常规执行情况</w:t>
            </w:r>
          </w:p>
          <w:p>
            <w:pPr>
              <w:snapToGrid w:val="0"/>
              <w:spacing w:beforeLines="50" w:afterLines="50"/>
              <w:jc w:val="center"/>
              <w:rPr>
                <w:rFonts w:hint="default" w:ascii="Calibri" w:hAnsi="Calibri" w:eastAsia="宋体" w:cs="Times New Roman"/>
                <w:kern w:val="2"/>
                <w:sz w:val="21"/>
                <w:szCs w:val="22"/>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sz w:val="24"/>
                <w:vertAlign w:val="baseline"/>
              </w:rPr>
            </w:pPr>
            <w:r>
              <w:rPr>
                <w:rFonts w:hint="eastAsia" w:ascii="宋体" w:hAnsi="宋体"/>
                <w:bCs/>
                <w:color w:val="000000"/>
                <w:szCs w:val="20"/>
                <w:highlight w:val="none"/>
                <w:lang w:val="en-US" w:eastAsia="zh-CN"/>
              </w:rPr>
              <w:t>X2</w:t>
            </w:r>
          </w:p>
        </w:tc>
        <w:tc>
          <w:tcPr>
            <w:tcW w:w="3224" w:type="dxa"/>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思考表达情况</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sz w:val="24"/>
                <w:vertAlign w:val="baseline"/>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4" w:type="dxa"/>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月汇报情况</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Merge w:val="restart"/>
          </w:tcPr>
          <w:p>
            <w:pPr>
              <w:widowControl/>
              <w:numPr>
                <w:ilvl w:val="0"/>
                <w:numId w:val="0"/>
              </w:numPr>
              <w:spacing w:before="156" w:beforeLines="50" w:after="156" w:afterLines="50" w:line="288" w:lineRule="auto"/>
              <w:jc w:val="left"/>
              <w:rPr>
                <w:rFonts w:hint="default" w:ascii="宋体" w:hAnsi="宋体"/>
                <w:bCs/>
                <w:color w:val="000000"/>
                <w:szCs w:val="20"/>
                <w:highlight w:val="none"/>
                <w:lang w:val="en-US" w:eastAsia="zh-CN"/>
              </w:rPr>
            </w:pPr>
            <w:r>
              <w:rPr>
                <w:rFonts w:hint="eastAsia" w:ascii="宋体" w:hAnsi="宋体"/>
                <w:bCs/>
                <w:color w:val="000000"/>
                <w:szCs w:val="20"/>
                <w:highlight w:val="none"/>
                <w:lang w:val="en-US" w:eastAsia="zh-CN"/>
              </w:rPr>
              <w:t>第四学期</w:t>
            </w:r>
          </w:p>
        </w:tc>
        <w:tc>
          <w:tcPr>
            <w:tcW w:w="1746" w:type="dxa"/>
            <w:vAlign w:val="top"/>
          </w:tcPr>
          <w:p>
            <w:pPr>
              <w:snapToGrid w:val="0"/>
              <w:spacing w:beforeLines="50" w:afterLines="50"/>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4"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评价方式</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pPr>
          </w:p>
        </w:tc>
        <w:tc>
          <w:tcPr>
            <w:tcW w:w="1746" w:type="dxa"/>
            <w:vAlign w:val="top"/>
          </w:tcPr>
          <w:p>
            <w:pPr>
              <w:snapToGrid w:val="0"/>
              <w:spacing w:beforeLines="50" w:afterLines="50"/>
              <w:jc w:val="center"/>
              <w:rPr>
                <w:rFonts w:ascii="Calibri" w:hAnsi="Calibri" w:eastAsia="宋体" w:cs="Times New Roman"/>
                <w:kern w:val="2"/>
                <w:sz w:val="21"/>
                <w:szCs w:val="22"/>
                <w:lang w:val="en-US" w:eastAsia="zh-CN" w:bidi="ar-SA"/>
              </w:rPr>
            </w:pPr>
            <w:r>
              <w:rPr>
                <w:rFonts w:hint="eastAsia" w:ascii="宋体" w:hAnsi="宋体"/>
                <w:bCs/>
                <w:color w:val="000000"/>
                <w:szCs w:val="20"/>
                <w:highlight w:val="none"/>
              </w:rPr>
              <w:t>X1</w:t>
            </w:r>
          </w:p>
        </w:tc>
        <w:tc>
          <w:tcPr>
            <w:tcW w:w="3224" w:type="dxa"/>
            <w:vAlign w:val="top"/>
          </w:tcPr>
          <w:p>
            <w:pPr>
              <w:snapToGrid w:val="0"/>
              <w:spacing w:beforeLines="50" w:afterLines="50"/>
              <w:jc w:val="center"/>
              <w:rPr>
                <w:rFonts w:hint="default"/>
                <w:lang w:val="en-US" w:eastAsia="zh-CN"/>
              </w:rPr>
            </w:pPr>
            <w:r>
              <w:rPr>
                <w:rFonts w:hint="eastAsia"/>
                <w:lang w:val="en-US" w:eastAsia="zh-CN"/>
              </w:rPr>
              <w:t>常规执行状况</w:t>
            </w:r>
          </w:p>
          <w:p>
            <w:pPr>
              <w:snapToGrid w:val="0"/>
              <w:spacing w:beforeLines="50" w:afterLines="50"/>
              <w:jc w:val="center"/>
              <w:rPr>
                <w:rFonts w:hint="default" w:ascii="Calibri" w:hAnsi="Calibri" w:eastAsia="宋体" w:cs="Times New Roman"/>
                <w:kern w:val="2"/>
                <w:sz w:val="21"/>
                <w:szCs w:val="22"/>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lang w:val="en-US" w:eastAsia="zh-CN"/>
              </w:rPr>
              <w:t>X2</w:t>
            </w:r>
          </w:p>
        </w:tc>
        <w:tc>
          <w:tcPr>
            <w:tcW w:w="3224" w:type="dxa"/>
            <w:vAlign w:val="top"/>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lang w:val="en-US" w:eastAsia="zh-CN"/>
              </w:rPr>
              <w:t>专业实践中的实际表现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（任务承担、突出贡献等，个人/小组/教师评价相结合）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4" w:type="dxa"/>
            <w:vAlign w:val="top"/>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lang w:val="en-US" w:eastAsia="zh-CN"/>
              </w:rPr>
              <w:t>月汇报表现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restart"/>
          </w:tcPr>
          <w:p>
            <w:pPr>
              <w:widowControl/>
              <w:numPr>
                <w:ilvl w:val="0"/>
                <w:numId w:val="0"/>
              </w:numPr>
              <w:spacing w:before="156" w:beforeLines="50" w:after="156" w:afterLines="50" w:line="288" w:lineRule="auto"/>
              <w:jc w:val="left"/>
              <w:rPr>
                <w:rFonts w:hint="default" w:ascii="宋体" w:hAnsi="宋体"/>
                <w:bCs/>
                <w:color w:val="000000"/>
                <w:szCs w:val="20"/>
                <w:highlight w:val="none"/>
                <w:lang w:val="en-US" w:eastAsia="zh-CN"/>
              </w:rPr>
            </w:pPr>
            <w:r>
              <w:rPr>
                <w:rFonts w:hint="eastAsia" w:ascii="宋体" w:hAnsi="宋体"/>
                <w:bCs/>
                <w:color w:val="000000"/>
                <w:szCs w:val="20"/>
                <w:highlight w:val="none"/>
                <w:lang w:val="en-US" w:eastAsia="zh-CN"/>
              </w:rPr>
              <w:t>第五学期</w:t>
            </w:r>
          </w:p>
        </w:tc>
        <w:tc>
          <w:tcPr>
            <w:tcW w:w="1746" w:type="dxa"/>
            <w:vAlign w:val="top"/>
          </w:tcPr>
          <w:p>
            <w:pPr>
              <w:snapToGrid w:val="0"/>
              <w:spacing w:beforeLines="50" w:afterLines="50"/>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4"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评价方式</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pPr>
          </w:p>
        </w:tc>
        <w:tc>
          <w:tcPr>
            <w:tcW w:w="1746" w:type="dxa"/>
            <w:vAlign w:val="top"/>
          </w:tcPr>
          <w:p>
            <w:pPr>
              <w:snapToGrid w:val="0"/>
              <w:spacing w:beforeLines="50" w:afterLines="50"/>
              <w:jc w:val="center"/>
              <w:rPr>
                <w:rFonts w:ascii="Calibri" w:hAnsi="Calibri" w:eastAsia="宋体" w:cs="Times New Roman"/>
                <w:kern w:val="2"/>
                <w:sz w:val="21"/>
                <w:szCs w:val="22"/>
                <w:lang w:val="en-US" w:eastAsia="zh-CN" w:bidi="ar-SA"/>
              </w:rPr>
            </w:pPr>
            <w:r>
              <w:rPr>
                <w:rFonts w:hint="eastAsia" w:ascii="宋体" w:hAnsi="宋体"/>
                <w:bCs/>
                <w:color w:val="000000"/>
                <w:szCs w:val="20"/>
                <w:highlight w:val="none"/>
              </w:rPr>
              <w:t>X1</w:t>
            </w:r>
          </w:p>
        </w:tc>
        <w:tc>
          <w:tcPr>
            <w:tcW w:w="3224" w:type="dxa"/>
            <w:vAlign w:val="top"/>
          </w:tcPr>
          <w:p>
            <w:pPr>
              <w:snapToGrid w:val="0"/>
              <w:spacing w:beforeLines="50" w:afterLines="50"/>
              <w:jc w:val="center"/>
              <w:rPr>
                <w:rFonts w:hint="default"/>
                <w:lang w:val="en-US" w:eastAsia="zh-CN"/>
              </w:rPr>
            </w:pPr>
            <w:r>
              <w:rPr>
                <w:rFonts w:hint="eastAsia"/>
                <w:lang w:val="en-US" w:eastAsia="zh-CN"/>
              </w:rPr>
              <w:t>常规执行状况</w:t>
            </w:r>
          </w:p>
          <w:p>
            <w:pPr>
              <w:snapToGrid w:val="0"/>
              <w:spacing w:beforeLines="50" w:afterLines="50"/>
              <w:jc w:val="center"/>
              <w:rPr>
                <w:rFonts w:hint="default" w:ascii="Calibri" w:hAnsi="Calibri" w:eastAsia="宋体" w:cs="Times New Roman"/>
                <w:kern w:val="2"/>
                <w:sz w:val="21"/>
                <w:szCs w:val="22"/>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lang w:val="en-US" w:eastAsia="zh-CN"/>
              </w:rPr>
              <w:t>X2</w:t>
            </w:r>
          </w:p>
        </w:tc>
        <w:tc>
          <w:tcPr>
            <w:tcW w:w="3224" w:type="dxa"/>
            <w:vAlign w:val="top"/>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lang w:val="en-US" w:eastAsia="zh-CN"/>
              </w:rPr>
              <w:t>专业实践中的实际表现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（任务承担、突出贡献等，个人/小组/教师评价相结合）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1065" w:type="dxa"/>
            <w:vMerge w:val="continue"/>
          </w:tcPr>
          <w:p>
            <w:pPr>
              <w:widowControl/>
              <w:spacing w:before="156" w:beforeLines="50" w:after="156" w:afterLines="50" w:line="288" w:lineRule="auto"/>
              <w:jc w:val="left"/>
              <w:rPr>
                <w:rFonts w:hint="eastAsia" w:ascii="黑体" w:hAnsi="宋体" w:eastAsia="黑体"/>
                <w:sz w:val="24"/>
                <w:vertAlign w:val="baseline"/>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4" w:type="dxa"/>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月汇报表现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（个人/小组/教师评价相结合）</w:t>
            </w:r>
          </w:p>
        </w:tc>
        <w:tc>
          <w:tcPr>
            <w:tcW w:w="2487"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065" w:type="dxa"/>
            <w:vMerge w:val="restart"/>
          </w:tcPr>
          <w:p>
            <w:pPr>
              <w:widowControl/>
              <w:numPr>
                <w:ilvl w:val="0"/>
                <w:numId w:val="0"/>
              </w:numPr>
              <w:spacing w:before="156" w:beforeLines="50" w:after="156" w:afterLines="50" w:line="288" w:lineRule="auto"/>
              <w:jc w:val="left"/>
              <w:rPr>
                <w:rFonts w:hint="default" w:ascii="宋体" w:hAnsi="宋体"/>
                <w:bCs/>
                <w:color w:val="000000"/>
                <w:szCs w:val="20"/>
                <w:highlight w:val="none"/>
                <w:lang w:val="en-US" w:eastAsia="zh-CN"/>
              </w:rPr>
            </w:pPr>
            <w:r>
              <w:rPr>
                <w:rFonts w:hint="eastAsia" w:ascii="宋体" w:hAnsi="宋体"/>
                <w:bCs/>
                <w:color w:val="000000"/>
                <w:szCs w:val="20"/>
                <w:highlight w:val="none"/>
                <w:lang w:val="en-US" w:eastAsia="zh-CN"/>
              </w:rPr>
              <w:t>第六学期</w:t>
            </w:r>
          </w:p>
        </w:tc>
        <w:tc>
          <w:tcPr>
            <w:tcW w:w="1746" w:type="dxa"/>
            <w:vAlign w:val="top"/>
          </w:tcPr>
          <w:p>
            <w:pPr>
              <w:snapToGrid w:val="0"/>
              <w:spacing w:beforeLines="50" w:afterLines="50"/>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总评构成（</w:t>
            </w:r>
            <w:r>
              <w:rPr>
                <w:rFonts w:hint="eastAsia" w:ascii="宋体" w:hAnsi="宋体"/>
                <w:bCs/>
                <w:color w:val="000000"/>
                <w:szCs w:val="20"/>
                <w:lang w:val="en-US" w:eastAsia="zh-CN"/>
              </w:rPr>
              <w:t>3</w:t>
            </w:r>
            <w:r>
              <w:rPr>
                <w:rFonts w:ascii="宋体" w:hAnsi="宋体"/>
                <w:bCs/>
                <w:color w:val="000000"/>
                <w:szCs w:val="20"/>
              </w:rPr>
              <w:t>X</w:t>
            </w:r>
            <w:r>
              <w:rPr>
                <w:rFonts w:hint="eastAsia" w:ascii="宋体" w:hAnsi="宋体"/>
                <w:bCs/>
                <w:color w:val="000000"/>
                <w:szCs w:val="20"/>
              </w:rPr>
              <w:t>）</w:t>
            </w:r>
          </w:p>
        </w:tc>
        <w:tc>
          <w:tcPr>
            <w:tcW w:w="3226" w:type="dxa"/>
            <w:gridSpan w:val="2"/>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rPr>
              <w:t>评价方式</w:t>
            </w:r>
          </w:p>
        </w:tc>
        <w:tc>
          <w:tcPr>
            <w:tcW w:w="2485"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065" w:type="dxa"/>
            <w:vMerge w:val="continue"/>
          </w:tcPr>
          <w:p>
            <w:pPr>
              <w:widowControl/>
              <w:spacing w:before="156" w:beforeLines="50" w:after="156" w:afterLines="50" w:line="288" w:lineRule="auto"/>
              <w:jc w:val="left"/>
            </w:pPr>
          </w:p>
        </w:tc>
        <w:tc>
          <w:tcPr>
            <w:tcW w:w="1746" w:type="dxa"/>
            <w:vAlign w:val="top"/>
          </w:tcPr>
          <w:p>
            <w:pPr>
              <w:snapToGrid w:val="0"/>
              <w:spacing w:beforeLines="50" w:afterLines="50"/>
              <w:jc w:val="center"/>
              <w:rPr>
                <w:rFonts w:hint="eastAsia" w:ascii="Calibri" w:hAnsi="Calibri" w:eastAsia="宋体" w:cs="Times New Roman"/>
                <w:kern w:val="2"/>
                <w:sz w:val="21"/>
                <w:szCs w:val="22"/>
                <w:lang w:val="en-US" w:eastAsia="zh-CN" w:bidi="ar-SA"/>
              </w:rPr>
            </w:pPr>
            <w:r>
              <w:rPr>
                <w:rFonts w:hint="eastAsia" w:ascii="宋体" w:hAnsi="宋体"/>
                <w:bCs/>
                <w:color w:val="000000"/>
                <w:szCs w:val="20"/>
                <w:highlight w:val="none"/>
              </w:rPr>
              <w:t>X1</w:t>
            </w:r>
          </w:p>
        </w:tc>
        <w:tc>
          <w:tcPr>
            <w:tcW w:w="3226" w:type="dxa"/>
            <w:gridSpan w:val="2"/>
            <w:vAlign w:val="top"/>
          </w:tcPr>
          <w:p>
            <w:pPr>
              <w:snapToGrid w:val="0"/>
              <w:spacing w:beforeLines="50" w:afterLines="50"/>
              <w:jc w:val="center"/>
              <w:rPr>
                <w:rFonts w:hint="default"/>
                <w:lang w:val="en-US" w:eastAsia="zh-CN"/>
              </w:rPr>
            </w:pPr>
            <w:r>
              <w:rPr>
                <w:rFonts w:hint="eastAsia"/>
                <w:lang w:val="en-US" w:eastAsia="zh-CN"/>
              </w:rPr>
              <w:t>常规执行状况</w:t>
            </w:r>
          </w:p>
          <w:p>
            <w:pPr>
              <w:snapToGrid w:val="0"/>
              <w:spacing w:beforeLines="50" w:afterLines="50"/>
              <w:jc w:val="center"/>
              <w:rPr>
                <w:rFonts w:hint="eastAsia" w:ascii="Calibri" w:hAnsi="Calibri" w:eastAsia="宋体" w:cs="Times New Roman"/>
                <w:kern w:val="2"/>
                <w:sz w:val="21"/>
                <w:szCs w:val="22"/>
                <w:lang w:val="en-US" w:eastAsia="zh-CN" w:bidi="ar-SA"/>
              </w:rPr>
            </w:pPr>
            <w:r>
              <w:rPr>
                <w:rFonts w:hint="eastAsia" w:ascii="宋体" w:hAnsi="宋体"/>
                <w:bCs/>
                <w:color w:val="000000"/>
                <w:szCs w:val="20"/>
                <w:lang w:val="en-US" w:eastAsia="zh-CN"/>
              </w:rPr>
              <w:t>（个人/小组/教师评价相结合）</w:t>
            </w:r>
          </w:p>
        </w:tc>
        <w:tc>
          <w:tcPr>
            <w:tcW w:w="2485"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20</w:t>
            </w:r>
            <w:bookmarkStart w:id="1" w:name="_GoBack"/>
            <w:bookmarkEnd w:id="1"/>
            <w:r>
              <w:rPr>
                <w:rFonts w:hint="eastAsia" w:ascii="宋体" w:hAnsi="宋体"/>
                <w:bCs/>
                <w:color w:val="00000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1065" w:type="dxa"/>
            <w:vMerge w:val="continue"/>
          </w:tcPr>
          <w:p>
            <w:pPr>
              <w:widowControl/>
              <w:spacing w:before="156" w:beforeLines="50" w:after="156" w:afterLines="50" w:line="288" w:lineRule="auto"/>
              <w:jc w:val="left"/>
              <w:rPr>
                <w:rFonts w:hint="eastAsia" w:ascii="宋体" w:hAnsi="宋体"/>
                <w:bCs/>
                <w:color w:val="000000"/>
                <w:szCs w:val="20"/>
                <w:highlight w:val="none"/>
                <w:lang w:val="en-US" w:eastAsia="zh-CN"/>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lang w:val="en-US" w:eastAsia="zh-CN"/>
              </w:rPr>
              <w:t>X2</w:t>
            </w:r>
          </w:p>
        </w:tc>
        <w:tc>
          <w:tcPr>
            <w:tcW w:w="3226" w:type="dxa"/>
            <w:gridSpan w:val="2"/>
            <w:vAlign w:val="top"/>
          </w:tcPr>
          <w:p>
            <w:pPr>
              <w:snapToGrid w:val="0"/>
              <w:spacing w:beforeLines="50" w:afterLines="50"/>
              <w:jc w:val="center"/>
              <w:rPr>
                <w:rFonts w:hint="default" w:ascii="宋体" w:hAnsi="宋体"/>
                <w:bCs/>
                <w:color w:val="000000"/>
                <w:szCs w:val="20"/>
                <w:lang w:val="en-US" w:eastAsia="zh-CN"/>
              </w:rPr>
            </w:pPr>
            <w:r>
              <w:rPr>
                <w:rFonts w:hint="eastAsia" w:ascii="宋体" w:hAnsi="宋体"/>
                <w:bCs/>
                <w:color w:val="000000"/>
                <w:szCs w:val="20"/>
                <w:lang w:val="en-US" w:eastAsia="zh-CN"/>
              </w:rPr>
              <w:t>专业实践中的实际表现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（任务承担、突出贡献等，个人/小组/教师评价相结合）</w:t>
            </w:r>
          </w:p>
        </w:tc>
        <w:tc>
          <w:tcPr>
            <w:tcW w:w="2485"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065" w:type="dxa"/>
            <w:vMerge w:val="continue"/>
          </w:tcPr>
          <w:p>
            <w:pPr>
              <w:widowControl/>
              <w:spacing w:before="156" w:beforeLines="50" w:after="156" w:afterLines="50" w:line="288" w:lineRule="auto"/>
              <w:jc w:val="left"/>
              <w:rPr>
                <w:rFonts w:hint="eastAsia" w:ascii="宋体" w:hAnsi="宋体"/>
                <w:bCs/>
                <w:color w:val="000000"/>
                <w:szCs w:val="20"/>
                <w:highlight w:val="none"/>
                <w:lang w:val="en-US" w:eastAsia="zh-CN"/>
              </w:rPr>
            </w:pPr>
          </w:p>
        </w:tc>
        <w:tc>
          <w:tcPr>
            <w:tcW w:w="1746" w:type="dxa"/>
            <w:vAlign w:val="top"/>
          </w:tcPr>
          <w:p>
            <w:pPr>
              <w:snapToGrid w:val="0"/>
              <w:spacing w:beforeLines="50" w:afterLines="50"/>
              <w:jc w:val="center"/>
              <w:rPr>
                <w:rFonts w:hint="eastAsia" w:ascii="黑体" w:hAnsi="宋体" w:eastAsia="黑体" w:cs="Times New Roman"/>
                <w:kern w:val="2"/>
                <w:sz w:val="24"/>
                <w:szCs w:val="22"/>
                <w:vertAlign w:val="baseline"/>
                <w:lang w:val="en-US" w:eastAsia="zh-CN" w:bidi="ar-SA"/>
              </w:rPr>
            </w:pPr>
            <w:r>
              <w:rPr>
                <w:rFonts w:hint="eastAsia" w:ascii="宋体" w:hAnsi="宋体"/>
                <w:bCs/>
                <w:color w:val="000000"/>
                <w:szCs w:val="20"/>
                <w:highlight w:val="none"/>
              </w:rPr>
              <w:t>X</w:t>
            </w:r>
            <w:r>
              <w:rPr>
                <w:rFonts w:hint="eastAsia" w:ascii="宋体" w:hAnsi="宋体"/>
                <w:bCs/>
                <w:color w:val="000000"/>
                <w:szCs w:val="20"/>
                <w:highlight w:val="none"/>
                <w:lang w:val="en-US" w:eastAsia="zh-CN"/>
              </w:rPr>
              <w:t>3</w:t>
            </w:r>
          </w:p>
        </w:tc>
        <w:tc>
          <w:tcPr>
            <w:tcW w:w="3226" w:type="dxa"/>
            <w:gridSpan w:val="2"/>
            <w:vAlign w:val="top"/>
          </w:tcPr>
          <w:p>
            <w:pPr>
              <w:snapToGrid w:val="0"/>
              <w:spacing w:beforeLines="50" w:afterLines="50"/>
              <w:jc w:val="center"/>
              <w:rPr>
                <w:rFonts w:hint="eastAsia" w:ascii="宋体" w:hAnsi="宋体"/>
                <w:bCs/>
                <w:color w:val="000000"/>
                <w:szCs w:val="20"/>
                <w:lang w:val="en-US" w:eastAsia="zh-CN"/>
              </w:rPr>
            </w:pPr>
            <w:r>
              <w:rPr>
                <w:rFonts w:hint="eastAsia" w:ascii="宋体" w:hAnsi="宋体"/>
                <w:bCs/>
                <w:color w:val="000000"/>
                <w:szCs w:val="20"/>
                <w:lang w:val="en-US" w:eastAsia="zh-CN"/>
              </w:rPr>
              <w:t>月汇报表现</w:t>
            </w:r>
          </w:p>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lang w:val="en-US" w:eastAsia="zh-CN"/>
              </w:rPr>
              <w:t>（个人/小组/教师评价相结合）</w:t>
            </w:r>
          </w:p>
        </w:tc>
        <w:tc>
          <w:tcPr>
            <w:tcW w:w="2485" w:type="dxa"/>
            <w:vAlign w:val="top"/>
          </w:tcPr>
          <w:p>
            <w:pPr>
              <w:snapToGrid w:val="0"/>
              <w:spacing w:beforeLines="50" w:afterLines="50"/>
              <w:jc w:val="center"/>
              <w:rPr>
                <w:rFonts w:hint="eastAsia" w:ascii="宋体" w:hAnsi="宋体" w:eastAsia="宋体" w:cs="Times New Roman"/>
                <w:bCs/>
                <w:color w:val="000000"/>
                <w:kern w:val="2"/>
                <w:sz w:val="21"/>
                <w:szCs w:val="20"/>
                <w:highlight w:val="none"/>
                <w:lang w:val="en-US" w:eastAsia="zh-CN" w:bidi="ar-SA"/>
              </w:rPr>
            </w:pPr>
            <w:r>
              <w:rPr>
                <w:rFonts w:hint="eastAsia" w:ascii="宋体" w:hAnsi="宋体"/>
                <w:bCs/>
                <w:color w:val="000000"/>
                <w:szCs w:val="20"/>
                <w:highlight w:val="none"/>
                <w:lang w:val="en-US" w:eastAsia="zh-CN"/>
              </w:rPr>
              <w:t>35%</w:t>
            </w:r>
          </w:p>
        </w:tc>
      </w:tr>
    </w:tbl>
    <w:p>
      <w:pPr>
        <w:rPr>
          <w:bCs/>
        </w:rPr>
      </w:pPr>
    </w:p>
    <w:p>
      <w:pPr>
        <w:snapToGrid w:val="0"/>
        <w:spacing w:line="288" w:lineRule="auto"/>
        <w:jc w:val="center"/>
        <w:rPr>
          <w:sz w:val="28"/>
          <w:szCs w:val="28"/>
        </w:rPr>
      </w:pPr>
      <w:r>
        <w:rPr>
          <w:rFonts w:hint="eastAsia"/>
          <w:sz w:val="28"/>
          <w:szCs w:val="28"/>
        </w:rPr>
        <w:t xml:space="preserve">撰写人： </w:t>
      </w:r>
      <w:r>
        <w:rPr>
          <w:rFonts w:hint="eastAsia"/>
          <w:sz w:val="28"/>
          <w:szCs w:val="28"/>
          <w:lang w:val="en-US" w:eastAsia="zh-CN"/>
        </w:rPr>
        <w:t>马嘉玉</w:t>
      </w:r>
      <w:r>
        <w:rPr>
          <w:sz w:val="28"/>
          <w:szCs w:val="28"/>
        </w:rPr>
        <w:t xml:space="preserve">  </w:t>
      </w:r>
      <w:r>
        <w:rPr>
          <w:rFonts w:hint="eastAsia"/>
          <w:sz w:val="28"/>
          <w:szCs w:val="28"/>
        </w:rPr>
        <w:t xml:space="preserve">    系主任审核签名： </w:t>
      </w:r>
      <w:r>
        <w:rPr>
          <w:sz w:val="28"/>
          <w:szCs w:val="28"/>
        </w:rPr>
        <w:t xml:space="preserve">  </w:t>
      </w:r>
      <w:r>
        <w:rPr>
          <w:rFonts w:hint="eastAsia"/>
          <w:sz w:val="28"/>
          <w:szCs w:val="28"/>
        </w:rPr>
        <w:t xml:space="preserve">   审核时间：</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6652C"/>
    <w:multiLevelType w:val="singleLevel"/>
    <w:tmpl w:val="9CA6652C"/>
    <w:lvl w:ilvl="0" w:tentative="0">
      <w:start w:val="1"/>
      <w:numFmt w:val="decimal"/>
      <w:lvlText w:val="%1."/>
      <w:lvlJc w:val="left"/>
      <w:pPr>
        <w:tabs>
          <w:tab w:val="left" w:pos="312"/>
        </w:tabs>
      </w:pPr>
    </w:lvl>
  </w:abstractNum>
  <w:abstractNum w:abstractNumId="1">
    <w:nsid w:val="A6F1AB30"/>
    <w:multiLevelType w:val="singleLevel"/>
    <w:tmpl w:val="A6F1AB30"/>
    <w:lvl w:ilvl="0" w:tentative="0">
      <w:start w:val="1"/>
      <w:numFmt w:val="decimal"/>
      <w:lvlText w:val="%1."/>
      <w:lvlJc w:val="left"/>
      <w:pPr>
        <w:tabs>
          <w:tab w:val="left" w:pos="312"/>
        </w:tabs>
      </w:pPr>
    </w:lvl>
  </w:abstractNum>
  <w:abstractNum w:abstractNumId="2">
    <w:nsid w:val="D45D8900"/>
    <w:multiLevelType w:val="singleLevel"/>
    <w:tmpl w:val="D45D8900"/>
    <w:lvl w:ilvl="0" w:tentative="0">
      <w:start w:val="1"/>
      <w:numFmt w:val="decimal"/>
      <w:lvlText w:val="%1."/>
      <w:lvlJc w:val="left"/>
      <w:pPr>
        <w:tabs>
          <w:tab w:val="left" w:pos="312"/>
        </w:tabs>
      </w:pPr>
    </w:lvl>
  </w:abstractNum>
  <w:abstractNum w:abstractNumId="3">
    <w:nsid w:val="DC04D63C"/>
    <w:multiLevelType w:val="singleLevel"/>
    <w:tmpl w:val="DC04D63C"/>
    <w:lvl w:ilvl="0" w:tentative="0">
      <w:start w:val="1"/>
      <w:numFmt w:val="decimal"/>
      <w:lvlText w:val="%1."/>
      <w:lvlJc w:val="left"/>
      <w:pPr>
        <w:tabs>
          <w:tab w:val="left" w:pos="312"/>
        </w:tabs>
      </w:pPr>
    </w:lvl>
  </w:abstractNum>
  <w:abstractNum w:abstractNumId="4">
    <w:nsid w:val="E352F525"/>
    <w:multiLevelType w:val="singleLevel"/>
    <w:tmpl w:val="E352F525"/>
    <w:lvl w:ilvl="0" w:tentative="0">
      <w:start w:val="1"/>
      <w:numFmt w:val="decimal"/>
      <w:lvlText w:val="%1."/>
      <w:lvlJc w:val="left"/>
      <w:pPr>
        <w:tabs>
          <w:tab w:val="left" w:pos="312"/>
        </w:tabs>
      </w:pPr>
    </w:lvl>
  </w:abstractNum>
  <w:abstractNum w:abstractNumId="5">
    <w:nsid w:val="E5A3D9BA"/>
    <w:multiLevelType w:val="singleLevel"/>
    <w:tmpl w:val="E5A3D9BA"/>
    <w:lvl w:ilvl="0" w:tentative="0">
      <w:start w:val="1"/>
      <w:numFmt w:val="decimal"/>
      <w:lvlText w:val="%1."/>
      <w:lvlJc w:val="left"/>
      <w:pPr>
        <w:tabs>
          <w:tab w:val="left" w:pos="312"/>
        </w:tabs>
      </w:pPr>
    </w:lvl>
  </w:abstractNum>
  <w:abstractNum w:abstractNumId="6">
    <w:nsid w:val="F11935CA"/>
    <w:multiLevelType w:val="singleLevel"/>
    <w:tmpl w:val="F11935CA"/>
    <w:lvl w:ilvl="0" w:tentative="0">
      <w:start w:val="1"/>
      <w:numFmt w:val="decimal"/>
      <w:lvlText w:val="%1."/>
      <w:lvlJc w:val="left"/>
      <w:pPr>
        <w:tabs>
          <w:tab w:val="left" w:pos="312"/>
        </w:tabs>
      </w:pPr>
    </w:lvl>
  </w:abstractNum>
  <w:abstractNum w:abstractNumId="7">
    <w:nsid w:val="133CE04A"/>
    <w:multiLevelType w:val="singleLevel"/>
    <w:tmpl w:val="133CE04A"/>
    <w:lvl w:ilvl="0" w:tentative="0">
      <w:start w:val="1"/>
      <w:numFmt w:val="decimal"/>
      <w:lvlText w:val="%1."/>
      <w:lvlJc w:val="left"/>
      <w:pPr>
        <w:tabs>
          <w:tab w:val="left" w:pos="312"/>
        </w:tabs>
      </w:pPr>
    </w:lvl>
  </w:abstractNum>
  <w:abstractNum w:abstractNumId="8">
    <w:nsid w:val="1BADD652"/>
    <w:multiLevelType w:val="singleLevel"/>
    <w:tmpl w:val="1BADD652"/>
    <w:lvl w:ilvl="0" w:tentative="0">
      <w:start w:val="4"/>
      <w:numFmt w:val="chineseCounting"/>
      <w:suff w:val="nothing"/>
      <w:lvlText w:val="%1、"/>
      <w:lvlJc w:val="left"/>
      <w:pPr>
        <w:ind w:left="60"/>
      </w:pPr>
      <w:rPr>
        <w:rFonts w:hint="eastAsia"/>
      </w:rPr>
    </w:lvl>
  </w:abstractNum>
  <w:abstractNum w:abstractNumId="9">
    <w:nsid w:val="1CF1A26F"/>
    <w:multiLevelType w:val="singleLevel"/>
    <w:tmpl w:val="1CF1A26F"/>
    <w:lvl w:ilvl="0" w:tentative="0">
      <w:start w:val="1"/>
      <w:numFmt w:val="decimal"/>
      <w:lvlText w:val="%1."/>
      <w:lvlJc w:val="left"/>
      <w:pPr>
        <w:tabs>
          <w:tab w:val="left" w:pos="312"/>
        </w:tabs>
      </w:pPr>
    </w:lvl>
  </w:abstractNum>
  <w:abstractNum w:abstractNumId="10">
    <w:nsid w:val="3896E92C"/>
    <w:multiLevelType w:val="singleLevel"/>
    <w:tmpl w:val="3896E92C"/>
    <w:lvl w:ilvl="0" w:tentative="0">
      <w:start w:val="1"/>
      <w:numFmt w:val="decimal"/>
      <w:lvlText w:val="%1."/>
      <w:lvlJc w:val="left"/>
      <w:pPr>
        <w:tabs>
          <w:tab w:val="left" w:pos="312"/>
        </w:tabs>
      </w:pPr>
    </w:lvl>
  </w:abstractNum>
  <w:abstractNum w:abstractNumId="11">
    <w:nsid w:val="52E14DCC"/>
    <w:multiLevelType w:val="singleLevel"/>
    <w:tmpl w:val="52E14DCC"/>
    <w:lvl w:ilvl="0" w:tentative="0">
      <w:start w:val="2"/>
      <w:numFmt w:val="decimal"/>
      <w:lvlText w:val="%1."/>
      <w:lvlJc w:val="left"/>
      <w:pPr>
        <w:tabs>
          <w:tab w:val="left" w:pos="312"/>
        </w:tabs>
      </w:pPr>
    </w:lvl>
  </w:abstractNum>
  <w:abstractNum w:abstractNumId="12">
    <w:nsid w:val="594F4682"/>
    <w:multiLevelType w:val="singleLevel"/>
    <w:tmpl w:val="594F4682"/>
    <w:lvl w:ilvl="0" w:tentative="0">
      <w:start w:val="1"/>
      <w:numFmt w:val="decimal"/>
      <w:lvlText w:val="%1."/>
      <w:lvlJc w:val="left"/>
      <w:pPr>
        <w:tabs>
          <w:tab w:val="left" w:pos="312"/>
        </w:tabs>
      </w:pPr>
    </w:lvl>
  </w:abstractNum>
  <w:abstractNum w:abstractNumId="13">
    <w:nsid w:val="5B446153"/>
    <w:multiLevelType w:val="singleLevel"/>
    <w:tmpl w:val="5B446153"/>
    <w:lvl w:ilvl="0" w:tentative="0">
      <w:start w:val="1"/>
      <w:numFmt w:val="decimal"/>
      <w:lvlText w:val="%1."/>
      <w:lvlJc w:val="left"/>
      <w:pPr>
        <w:tabs>
          <w:tab w:val="left" w:pos="312"/>
        </w:tabs>
      </w:pPr>
    </w:lvl>
  </w:abstractNum>
  <w:abstractNum w:abstractNumId="14">
    <w:nsid w:val="6F476A83"/>
    <w:multiLevelType w:val="singleLevel"/>
    <w:tmpl w:val="6F476A83"/>
    <w:lvl w:ilvl="0" w:tentative="0">
      <w:start w:val="1"/>
      <w:numFmt w:val="decimal"/>
      <w:lvlText w:val="%1."/>
      <w:lvlJc w:val="left"/>
      <w:pPr>
        <w:tabs>
          <w:tab w:val="left" w:pos="312"/>
        </w:tabs>
      </w:pPr>
    </w:lvl>
  </w:abstractNum>
  <w:abstractNum w:abstractNumId="15">
    <w:nsid w:val="73AFC677"/>
    <w:multiLevelType w:val="singleLevel"/>
    <w:tmpl w:val="73AFC677"/>
    <w:lvl w:ilvl="0" w:tentative="0">
      <w:start w:val="1"/>
      <w:numFmt w:val="decimal"/>
      <w:lvlText w:val="%1."/>
      <w:lvlJc w:val="left"/>
      <w:pPr>
        <w:tabs>
          <w:tab w:val="left" w:pos="312"/>
        </w:tabs>
      </w:pPr>
    </w:lvl>
  </w:abstractNum>
  <w:num w:numId="1">
    <w:abstractNumId w:val="11"/>
  </w:num>
  <w:num w:numId="2">
    <w:abstractNumId w:val="8"/>
  </w:num>
  <w:num w:numId="3">
    <w:abstractNumId w:val="15"/>
  </w:num>
  <w:num w:numId="4">
    <w:abstractNumId w:val="9"/>
  </w:num>
  <w:num w:numId="5">
    <w:abstractNumId w:val="12"/>
  </w:num>
  <w:num w:numId="6">
    <w:abstractNumId w:val="0"/>
  </w:num>
  <w:num w:numId="7">
    <w:abstractNumId w:val="6"/>
  </w:num>
  <w:num w:numId="8">
    <w:abstractNumId w:val="2"/>
  </w:num>
  <w:num w:numId="9">
    <w:abstractNumId w:val="4"/>
  </w:num>
  <w:num w:numId="10">
    <w:abstractNumId w:val="13"/>
  </w:num>
  <w:num w:numId="11">
    <w:abstractNumId w:val="7"/>
  </w:num>
  <w:num w:numId="12">
    <w:abstractNumId w:val="14"/>
  </w:num>
  <w:num w:numId="13">
    <w:abstractNumId w:val="3"/>
  </w:num>
  <w:num w:numId="14">
    <w:abstractNumId w:val="1"/>
  </w:num>
  <w:num w:numId="15">
    <w:abstractNumId w:val="1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28F486D"/>
    <w:rsid w:val="000126E4"/>
    <w:rsid w:val="00012F6A"/>
    <w:rsid w:val="00016F1D"/>
    <w:rsid w:val="000C2615"/>
    <w:rsid w:val="00111508"/>
    <w:rsid w:val="00143984"/>
    <w:rsid w:val="0023009D"/>
    <w:rsid w:val="0029469A"/>
    <w:rsid w:val="00335B13"/>
    <w:rsid w:val="00364E2E"/>
    <w:rsid w:val="003D7D28"/>
    <w:rsid w:val="0048005E"/>
    <w:rsid w:val="004C57B7"/>
    <w:rsid w:val="005672B8"/>
    <w:rsid w:val="006602A4"/>
    <w:rsid w:val="006F3E75"/>
    <w:rsid w:val="006F53C1"/>
    <w:rsid w:val="0072338F"/>
    <w:rsid w:val="00736116"/>
    <w:rsid w:val="0075088D"/>
    <w:rsid w:val="007923B9"/>
    <w:rsid w:val="00834257"/>
    <w:rsid w:val="008E3712"/>
    <w:rsid w:val="008E6341"/>
    <w:rsid w:val="00981405"/>
    <w:rsid w:val="009F08AD"/>
    <w:rsid w:val="00B10AF5"/>
    <w:rsid w:val="00BA661E"/>
    <w:rsid w:val="00BC768F"/>
    <w:rsid w:val="00CA728F"/>
    <w:rsid w:val="00CC18CF"/>
    <w:rsid w:val="00CF0415"/>
    <w:rsid w:val="00D017D9"/>
    <w:rsid w:val="00D50393"/>
    <w:rsid w:val="00D67226"/>
    <w:rsid w:val="00D72954"/>
    <w:rsid w:val="00D7663E"/>
    <w:rsid w:val="00E67057"/>
    <w:rsid w:val="00EF2BDF"/>
    <w:rsid w:val="00F512B4"/>
    <w:rsid w:val="00F54DFB"/>
    <w:rsid w:val="00F6099B"/>
    <w:rsid w:val="00F60A67"/>
    <w:rsid w:val="00FA68D1"/>
    <w:rsid w:val="00FB1D66"/>
    <w:rsid w:val="030D70F5"/>
    <w:rsid w:val="04076322"/>
    <w:rsid w:val="0461337A"/>
    <w:rsid w:val="0913444D"/>
    <w:rsid w:val="09D11693"/>
    <w:rsid w:val="0AB2259C"/>
    <w:rsid w:val="0CD55922"/>
    <w:rsid w:val="1227273C"/>
    <w:rsid w:val="12ED2AF3"/>
    <w:rsid w:val="14CF244A"/>
    <w:rsid w:val="165A35B1"/>
    <w:rsid w:val="170B0A4A"/>
    <w:rsid w:val="19267DE3"/>
    <w:rsid w:val="1D151AFF"/>
    <w:rsid w:val="1D783CF4"/>
    <w:rsid w:val="1DC15B33"/>
    <w:rsid w:val="1E8F2253"/>
    <w:rsid w:val="21116E30"/>
    <w:rsid w:val="21EF51DA"/>
    <w:rsid w:val="22392525"/>
    <w:rsid w:val="229E45B5"/>
    <w:rsid w:val="22FE227A"/>
    <w:rsid w:val="239C0B57"/>
    <w:rsid w:val="2704401F"/>
    <w:rsid w:val="278C39AC"/>
    <w:rsid w:val="28DD7538"/>
    <w:rsid w:val="2A121A17"/>
    <w:rsid w:val="2AFF3206"/>
    <w:rsid w:val="2BDE3116"/>
    <w:rsid w:val="2C612CFF"/>
    <w:rsid w:val="35F21569"/>
    <w:rsid w:val="36AA21BC"/>
    <w:rsid w:val="371A4FEA"/>
    <w:rsid w:val="38966312"/>
    <w:rsid w:val="3B7C4840"/>
    <w:rsid w:val="3C711B9B"/>
    <w:rsid w:val="3CEF02E2"/>
    <w:rsid w:val="424D444A"/>
    <w:rsid w:val="425D3B63"/>
    <w:rsid w:val="43331033"/>
    <w:rsid w:val="434C4ED5"/>
    <w:rsid w:val="437A7EE7"/>
    <w:rsid w:val="45972C51"/>
    <w:rsid w:val="46412C1D"/>
    <w:rsid w:val="4B7C5E8D"/>
    <w:rsid w:val="4BA53A7E"/>
    <w:rsid w:val="4BEA1471"/>
    <w:rsid w:val="4DA2649F"/>
    <w:rsid w:val="4EBC340E"/>
    <w:rsid w:val="4EBE2553"/>
    <w:rsid w:val="4F847065"/>
    <w:rsid w:val="501C092E"/>
    <w:rsid w:val="503B4700"/>
    <w:rsid w:val="503E38F0"/>
    <w:rsid w:val="50461058"/>
    <w:rsid w:val="505C72D7"/>
    <w:rsid w:val="5060011C"/>
    <w:rsid w:val="51B8643D"/>
    <w:rsid w:val="530F0E55"/>
    <w:rsid w:val="547F0E13"/>
    <w:rsid w:val="560B6202"/>
    <w:rsid w:val="57A302E2"/>
    <w:rsid w:val="58861E00"/>
    <w:rsid w:val="59021BED"/>
    <w:rsid w:val="5A077F93"/>
    <w:rsid w:val="5AB72E10"/>
    <w:rsid w:val="5D8F7120"/>
    <w:rsid w:val="5EC076FC"/>
    <w:rsid w:val="5F6F750B"/>
    <w:rsid w:val="614F0457"/>
    <w:rsid w:val="62130C1E"/>
    <w:rsid w:val="63080B48"/>
    <w:rsid w:val="63E730B4"/>
    <w:rsid w:val="680252E3"/>
    <w:rsid w:val="6B912DF7"/>
    <w:rsid w:val="6E1D55FB"/>
    <w:rsid w:val="6F856260"/>
    <w:rsid w:val="71382502"/>
    <w:rsid w:val="728F486D"/>
    <w:rsid w:val="76843334"/>
    <w:rsid w:val="776A7AA5"/>
    <w:rsid w:val="789D62AA"/>
    <w:rsid w:val="7BD25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99"/>
    <w:pPr>
      <w:ind w:firstLine="420" w:firstLineChars="200"/>
    </w:pPr>
  </w:style>
  <w:style w:type="character" w:customStyle="1" w:styleId="8">
    <w:name w:val="页眉 字符"/>
    <w:basedOn w:val="6"/>
    <w:link w:val="3"/>
    <w:qFormat/>
    <w:uiPriority w:val="0"/>
    <w:rPr>
      <w:rFonts w:ascii="Calibri" w:hAnsi="Calibri" w:eastAsia="宋体" w:cs="Times New Roman"/>
      <w:kern w:val="2"/>
      <w:sz w:val="18"/>
      <w:szCs w:val="18"/>
    </w:rPr>
  </w:style>
  <w:style w:type="character" w:customStyle="1" w:styleId="9">
    <w:name w:val="页脚 字符"/>
    <w:basedOn w:val="6"/>
    <w:link w:val="2"/>
    <w:qFormat/>
    <w:uiPriority w:val="0"/>
    <w:rPr>
      <w:rFonts w:ascii="Calibri" w:hAnsi="Calibri" w:eastAsia="宋体" w:cs="Times New Roman"/>
      <w:kern w:val="2"/>
      <w:sz w:val="18"/>
      <w:szCs w:val="18"/>
    </w:rPr>
  </w:style>
  <w:style w:type="table" w:customStyle="1" w:styleId="10">
    <w:name w:val="网格型1"/>
    <w:basedOn w:val="4"/>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543</Words>
  <Characters>3101</Characters>
  <Lines>25</Lines>
  <Paragraphs>7</Paragraphs>
  <TotalTime>1</TotalTime>
  <ScaleCrop>false</ScaleCrop>
  <LinksUpToDate>false</LinksUpToDate>
  <CharactersWithSpaces>3637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2020-09-12T13:39:00Z</dcterms:created>
  <dc:creator>黄艳</dc:creator>
  <cp:lastModifiedBy>sco</cp:lastModifiedBy>
  <cp:lastPrinted>2021-04-10T01:39:00Z</cp:lastPrinted>
  <dcterms:modified xsi:type="dcterms:W3CDTF">2021-04-30T09:50:06Z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AEBADFE30A0645FC881BB60E2BD750E4</vt:lpwstr>
  </property>
</Properties>
</file>