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楷体" w:hAnsi="楷体" w:eastAsia="楷体" w:cs="宋体"/>
          <w:color w:val="000000"/>
          <w:kern w:val="0"/>
          <w:sz w:val="22"/>
        </w:rPr>
      </w:pPr>
      <w:r>
        <mc:AlternateContent>
          <mc:Choice Requires="wps">
            <w:drawing>
              <wp:anchor distT="0" distB="0" distL="114300" distR="114300" simplePos="0" relativeHeight="251660288" behindDoc="0" locked="0" layoutInCell="1" allowOverlap="1">
                <wp:simplePos x="0" y="0"/>
                <wp:positionH relativeFrom="page">
                  <wp:posOffset>530860</wp:posOffset>
                </wp:positionH>
                <wp:positionV relativeFrom="page">
                  <wp:posOffset>349885</wp:posOffset>
                </wp:positionV>
                <wp:extent cx="2635250" cy="280670"/>
                <wp:effectExtent l="0" t="0" r="6350" b="11430"/>
                <wp:wrapNone/>
                <wp:docPr id="2"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41.8pt;margin-top:27.55pt;height:22.1pt;width:207.5pt;mso-position-horizontal-relative:page;mso-position-vertical-relative:page;z-index:251660288;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y1ZHmtQAAAAIAQAADwAAAAAAAAABACAAAAAiAAAAZHJzL2Rvd25yZXYueG1sUEsBAhQAFAAAAAgA&#10;h07iQD3k+4tiAgAApwQAAA4AAAAAAAAAAQAgAAAAIwEAAGRycy9lMm9Eb2MueG1sUEsFBgAAAAAG&#10;AAYAWQEAAPcFA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txbxContent>
                </v:textbox>
              </v:shape>
            </w:pict>
          </mc:Fallback>
        </mc:AlternateContent>
      </w:r>
    </w:p>
    <w:p>
      <w:pPr>
        <w:widowControl/>
        <w:snapToGrid w:val="0"/>
        <w:spacing w:line="480" w:lineRule="exact"/>
        <w:jc w:val="center"/>
        <w:rPr>
          <w:rFonts w:ascii="方正小标宋简体" w:hAnsi="宋体" w:eastAsia="方正小标宋简体"/>
          <w:bCs/>
          <w:kern w:val="0"/>
          <w:sz w:val="24"/>
          <w:szCs w:val="24"/>
        </w:rPr>
      </w:pPr>
      <w:r>
        <w:rPr>
          <w:rFonts w:hint="eastAsia" w:ascii="方正小标宋简体" w:hAnsi="宋体" w:eastAsia="方正小标宋简体"/>
          <w:bCs/>
          <w:kern w:val="0"/>
          <w:sz w:val="40"/>
          <w:szCs w:val="40"/>
        </w:rPr>
        <w:t>教学大纲模板</w:t>
      </w:r>
    </w:p>
    <w:p>
      <w:pPr>
        <w:spacing w:line="288" w:lineRule="auto"/>
        <w:jc w:val="center"/>
        <w:rPr>
          <w:b/>
          <w:sz w:val="28"/>
          <w:szCs w:val="30"/>
        </w:rPr>
      </w:pPr>
      <w:r>
        <w:rPr>
          <w:rFonts w:hint="eastAsia"/>
          <w:b/>
          <w:sz w:val="28"/>
          <w:szCs w:val="30"/>
        </w:rPr>
        <w:t>【</w:t>
      </w:r>
      <w:r>
        <w:rPr>
          <w:b/>
          <w:sz w:val="28"/>
          <w:szCs w:val="30"/>
        </w:rPr>
        <w:t>3</w:t>
      </w:r>
      <w:r>
        <w:rPr>
          <w:rFonts w:hint="eastAsia"/>
          <w:b/>
          <w:sz w:val="28"/>
          <w:szCs w:val="30"/>
        </w:rPr>
        <w:t>-</w:t>
      </w:r>
      <w:r>
        <w:rPr>
          <w:b/>
          <w:sz w:val="28"/>
          <w:szCs w:val="30"/>
        </w:rPr>
        <w:t>6</w:t>
      </w:r>
      <w:r>
        <w:rPr>
          <w:rFonts w:hint="eastAsia"/>
          <w:b/>
          <w:sz w:val="28"/>
          <w:szCs w:val="30"/>
        </w:rPr>
        <w:t>岁儿童发展与评价】</w:t>
      </w:r>
    </w:p>
    <w:p>
      <w:pPr>
        <w:shd w:val="clear" w:color="auto" w:fill="F5F5F5"/>
        <w:jc w:val="center"/>
        <w:textAlignment w:val="top"/>
        <w:rPr>
          <w:rFonts w:ascii="Arial" w:hAnsi="Arial" w:cs="Arial"/>
          <w:color w:val="888888"/>
          <w:kern w:val="0"/>
          <w:sz w:val="20"/>
          <w:szCs w:val="20"/>
        </w:rPr>
      </w:pPr>
      <w:r>
        <w:rPr>
          <w:rFonts w:hint="eastAsia"/>
          <w:b/>
          <w:sz w:val="28"/>
          <w:szCs w:val="30"/>
        </w:rPr>
        <w:t xml:space="preserve">【Development and evaluation of children aged </w:t>
      </w:r>
      <w:r>
        <w:rPr>
          <w:b/>
          <w:sz w:val="28"/>
          <w:szCs w:val="30"/>
        </w:rPr>
        <w:t>3</w:t>
      </w:r>
      <w:r>
        <w:rPr>
          <w:rFonts w:hint="eastAsia"/>
          <w:b/>
          <w:sz w:val="28"/>
          <w:szCs w:val="30"/>
        </w:rPr>
        <w:t>-</w:t>
      </w:r>
      <w:r>
        <w:rPr>
          <w:b/>
          <w:sz w:val="28"/>
          <w:szCs w:val="30"/>
        </w:rPr>
        <w:t>6</w:t>
      </w:r>
      <w:r>
        <w:rPr>
          <w:rFonts w:hint="eastAsia"/>
          <w:b/>
          <w:sz w:val="28"/>
          <w:szCs w:val="30"/>
        </w:rPr>
        <w:t>years】</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基本信息（必填项）</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213003</w:t>
      </w:r>
      <w:r>
        <w:rPr>
          <w:color w:val="000000"/>
          <w:sz w:val="20"/>
          <w:szCs w:val="20"/>
        </w:rPr>
        <w:t>1】</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学前教育系学生</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学前教育系选修课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教育学院</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792" w:firstLineChars="396"/>
        <w:rPr>
          <w:color w:val="000000"/>
          <w:szCs w:val="21"/>
        </w:rPr>
      </w:pPr>
      <w:r>
        <w:rPr>
          <w:color w:val="000000"/>
          <w:sz w:val="20"/>
          <w:szCs w:val="20"/>
        </w:rPr>
        <w:t>教材【</w:t>
      </w:r>
      <w:r>
        <w:rPr>
          <w:rFonts w:hint="eastAsia"/>
          <w:color w:val="000000"/>
          <w:sz w:val="20"/>
          <w:szCs w:val="20"/>
        </w:rPr>
        <w:t>高敬等：《幼儿发展评价指南》，华东师范大学出版社，202</w:t>
      </w:r>
      <w:r>
        <w:rPr>
          <w:color w:val="000000"/>
          <w:sz w:val="20"/>
          <w:szCs w:val="20"/>
        </w:rPr>
        <w:t>1</w:t>
      </w:r>
      <w:r>
        <w:rPr>
          <w:rFonts w:hint="eastAsia"/>
          <w:color w:val="000000"/>
          <w:sz w:val="20"/>
          <w:szCs w:val="20"/>
        </w:rPr>
        <w:t>年版</w:t>
      </w:r>
      <w:r>
        <w:rPr>
          <w:color w:val="000000"/>
          <w:sz w:val="20"/>
          <w:szCs w:val="20"/>
        </w:rPr>
        <w:t>】</w:t>
      </w:r>
    </w:p>
    <w:p>
      <w:pPr>
        <w:snapToGrid w:val="0"/>
        <w:spacing w:line="288" w:lineRule="auto"/>
        <w:ind w:left="718" w:leftChars="342" w:firstLine="100" w:firstLineChars="50"/>
        <w:rPr>
          <w:color w:val="000000"/>
          <w:sz w:val="20"/>
          <w:szCs w:val="20"/>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管旅华，纪秀君主编，《儿童学习与发展评价》，华东师范大学出版社，2</w:t>
      </w:r>
      <w:r>
        <w:rPr>
          <w:color w:val="000000"/>
          <w:sz w:val="20"/>
          <w:szCs w:val="20"/>
        </w:rPr>
        <w:t>021</w:t>
      </w:r>
      <w:r>
        <w:rPr>
          <w:rFonts w:hint="eastAsia"/>
          <w:color w:val="000000"/>
          <w:sz w:val="20"/>
          <w:szCs w:val="20"/>
        </w:rPr>
        <w:t>年版。</w:t>
      </w:r>
    </w:p>
    <w:p>
      <w:pPr>
        <w:snapToGrid w:val="0"/>
        <w:spacing w:line="288" w:lineRule="auto"/>
        <w:ind w:left="718" w:leftChars="342" w:firstLine="100" w:firstLineChars="50"/>
        <w:rPr>
          <w:color w:val="000000"/>
          <w:sz w:val="20"/>
          <w:szCs w:val="20"/>
        </w:rPr>
      </w:pPr>
      <w:r>
        <w:rPr>
          <w:rFonts w:hint="eastAsia"/>
          <w:color w:val="000000"/>
          <w:sz w:val="20"/>
          <w:szCs w:val="20"/>
        </w:rPr>
        <w:t>白爱宝编著:《幼儿发展评价手册》，教育科学出版社，</w:t>
      </w:r>
      <w:r>
        <w:rPr>
          <w:color w:val="000000"/>
          <w:sz w:val="20"/>
          <w:szCs w:val="20"/>
        </w:rPr>
        <w:t>1999</w:t>
      </w:r>
      <w:r>
        <w:rPr>
          <w:rFonts w:hint="eastAsia"/>
          <w:color w:val="000000"/>
          <w:sz w:val="20"/>
          <w:szCs w:val="20"/>
        </w:rPr>
        <w:t>年版。 </w:t>
      </w:r>
    </w:p>
    <w:p>
      <w:pPr>
        <w:snapToGrid w:val="0"/>
        <w:spacing w:line="288" w:lineRule="auto"/>
        <w:ind w:left="718" w:leftChars="342" w:firstLine="100" w:firstLineChars="50"/>
        <w:rPr>
          <w:color w:val="000000"/>
          <w:sz w:val="20"/>
          <w:szCs w:val="20"/>
        </w:rPr>
      </w:pPr>
      <w:r>
        <w:rPr>
          <w:rFonts w:hint="eastAsia"/>
          <w:color w:val="000000"/>
          <w:sz w:val="20"/>
          <w:szCs w:val="20"/>
        </w:rPr>
        <w:t>黄珊主编：《幼儿发展性评价手册》，北京师范大学出版社,20</w:t>
      </w:r>
      <w:r>
        <w:rPr>
          <w:color w:val="000000"/>
          <w:sz w:val="20"/>
          <w:szCs w:val="20"/>
        </w:rPr>
        <w:t>2</w:t>
      </w:r>
      <w:r>
        <w:rPr>
          <w:rFonts w:hint="eastAsia"/>
          <w:color w:val="000000"/>
          <w:sz w:val="20"/>
          <w:szCs w:val="20"/>
        </w:rPr>
        <w:t>0年版。</w:t>
      </w:r>
    </w:p>
    <w:p>
      <w:pPr>
        <w:snapToGrid w:val="0"/>
        <w:spacing w:line="288" w:lineRule="auto"/>
        <w:ind w:left="718" w:leftChars="342" w:firstLine="100" w:firstLineChars="50"/>
        <w:rPr>
          <w:color w:val="000000"/>
          <w:szCs w:val="21"/>
        </w:rPr>
      </w:pPr>
      <w:r>
        <w:rPr>
          <w:rFonts w:hint="eastAsia"/>
          <w:color w:val="000000"/>
          <w:sz w:val="20"/>
          <w:szCs w:val="20"/>
        </w:rPr>
        <w:t>苏贵民著：《幼儿发展评价》，西南师范大学出版社，2</w:t>
      </w:r>
      <w:r>
        <w:rPr>
          <w:color w:val="000000"/>
          <w:sz w:val="20"/>
          <w:szCs w:val="20"/>
        </w:rPr>
        <w:t>016</w:t>
      </w:r>
      <w:r>
        <w:rPr>
          <w:rFonts w:hint="eastAsia"/>
          <w:color w:val="000000"/>
          <w:sz w:val="20"/>
          <w:szCs w:val="20"/>
        </w:rPr>
        <w:t>年版</w:t>
      </w:r>
      <w:r>
        <w:rPr>
          <w:color w:val="000000"/>
          <w:sz w:val="20"/>
          <w:szCs w:val="20"/>
        </w:rPr>
        <w:t>】</w:t>
      </w:r>
    </w:p>
    <w:p>
      <w:pPr>
        <w:snapToGrid w:val="0"/>
        <w:spacing w:line="288" w:lineRule="auto"/>
        <w:ind w:firstLine="394" w:firstLineChars="196"/>
        <w:jc w:val="left"/>
        <w:rPr>
          <w:b/>
          <w:bCs/>
          <w:color w:val="000000"/>
          <w:sz w:val="20"/>
          <w:szCs w:val="20"/>
        </w:rPr>
      </w:pPr>
      <w:r>
        <w:rPr>
          <w:rFonts w:hint="eastAsia"/>
          <w:b/>
          <w:bCs/>
          <w:color w:val="000000"/>
          <w:sz w:val="20"/>
          <w:szCs w:val="20"/>
        </w:rPr>
        <w:t>课程网站网址：</w:t>
      </w:r>
      <w:r>
        <w:fldChar w:fldCharType="begin"/>
      </w:r>
      <w:r>
        <w:instrText xml:space="preserve"> HYPERLINK "https://www.icourse163.org/course/SYNU-1002535025?from=searchPage" </w:instrText>
      </w:r>
      <w:r>
        <w:fldChar w:fldCharType="separate"/>
      </w:r>
      <w:r>
        <w:rPr>
          <w:rStyle w:val="10"/>
          <w:b/>
          <w:bCs/>
          <w:sz w:val="20"/>
          <w:szCs w:val="20"/>
        </w:rPr>
        <w:t>https://www.icourse163.org/course/SYNU-1002535025?from=searchPage</w:t>
      </w:r>
      <w:r>
        <w:rPr>
          <w:rStyle w:val="10"/>
          <w:b/>
          <w:bCs/>
          <w:sz w:val="20"/>
          <w:szCs w:val="20"/>
        </w:rPr>
        <w:fldChar w:fldCharType="end"/>
      </w:r>
    </w:p>
    <w:p>
      <w:pPr>
        <w:snapToGrid w:val="0"/>
        <w:spacing w:line="288" w:lineRule="auto"/>
        <w:ind w:firstLine="470" w:firstLineChars="196"/>
        <w:jc w:val="left"/>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color w:val="000000"/>
          <w:sz w:val="20"/>
          <w:szCs w:val="20"/>
        </w:rPr>
      </w:pPr>
      <w:r>
        <w:rPr>
          <w:rFonts w:hint="eastAsia"/>
          <w:color w:val="000000"/>
          <w:sz w:val="20"/>
          <w:szCs w:val="20"/>
        </w:rPr>
        <w:t>《</w:t>
      </w:r>
      <w:r>
        <w:rPr>
          <w:color w:val="000000"/>
          <w:sz w:val="20"/>
          <w:szCs w:val="20"/>
        </w:rPr>
        <w:t>3-6</w:t>
      </w:r>
      <w:r>
        <w:rPr>
          <w:rFonts w:hint="eastAsia"/>
          <w:color w:val="000000"/>
          <w:sz w:val="20"/>
          <w:szCs w:val="20"/>
        </w:rPr>
        <w:t>岁儿童发展与评价》通过介绍3</w:t>
      </w:r>
      <w:r>
        <w:rPr>
          <w:color w:val="000000"/>
          <w:sz w:val="20"/>
          <w:szCs w:val="20"/>
        </w:rPr>
        <w:t>-6</w:t>
      </w:r>
      <w:r>
        <w:rPr>
          <w:rFonts w:hint="eastAsia"/>
          <w:color w:val="000000"/>
          <w:sz w:val="20"/>
          <w:szCs w:val="20"/>
        </w:rPr>
        <w:t>岁儿童（幼儿）发展评价理论来厘清幼儿发展评价的基础概念；幼儿发展评价的指标体系与内容、主体、途径、类型、技术、原则与范式等。在幼儿发展实践中，围绕幼儿发展评价真实、常态、客观、有效的实施流程、要点和指南进行了具体描述。致力于让幼儿观察分析和发展评价更客观、常态、真实和有效，同时提高教师专业评价能力；解决教师作为幼儿园保教质量提升的最终执行者从理念到实践中遇到的落差问题，提高教师通过幼儿发展评价监控诊断和改进提升保教质量专业能力。</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360" w:lineRule="auto"/>
        <w:ind w:firstLine="440" w:firstLineChars="220"/>
        <w:rPr>
          <w:rFonts w:ascii="宋体" w:hAnsi="宋体"/>
          <w:color w:val="000000"/>
          <w:sz w:val="20"/>
          <w:szCs w:val="20"/>
        </w:rPr>
      </w:pPr>
      <w:r>
        <w:rPr>
          <w:rFonts w:hint="eastAsia"/>
          <w:color w:val="000000"/>
          <w:sz w:val="20"/>
          <w:szCs w:val="20"/>
        </w:rPr>
        <w:t>本课程适合学前教育系学生。</w:t>
      </w:r>
      <w:r>
        <w:rPr>
          <w:rFonts w:hint="eastAsia" w:ascii="宋体" w:hAnsi="宋体"/>
          <w:color w:val="000000"/>
          <w:sz w:val="20"/>
          <w:szCs w:val="20"/>
        </w:rPr>
        <w:t>本课程教学主要采用课堂讲授、案例讨论、小组学习等方式进行。修课学生须先阅读相关材料，结合幼儿园观察提出问题，自由组成讨论小组就相关重难点问题进行交流。教学中鼓励学生经常关注保教现场的行为观察与评价问题，参考相关资料，以帮助理解教学内容，提升幼儿发展评价的专业能力。</w:t>
      </w:r>
    </w:p>
    <w:p>
      <w:pPr>
        <w:snapToGrid w:val="0"/>
        <w:spacing w:line="288" w:lineRule="auto"/>
        <w:ind w:firstLine="420" w:firstLineChars="200"/>
      </w:pPr>
    </w:p>
    <w:p>
      <w:pPr>
        <w:spacing w:line="360" w:lineRule="auto"/>
        <w:ind w:firstLine="240" w:firstLineChars="100"/>
        <w:rPr>
          <w:rFonts w:ascii="黑体" w:hAnsi="宋体" w:eastAsia="黑体"/>
          <w:sz w:val="24"/>
        </w:rPr>
      </w:pPr>
      <w:r>
        <w:rPr>
          <w:rFonts w:hint="eastAsia" w:ascii="黑体" w:hAnsi="宋体" w:eastAsia="黑体"/>
          <w:sz w:val="24"/>
        </w:rPr>
        <w:t>五、</w:t>
      </w:r>
      <w:r>
        <w:rPr>
          <w:rFonts w:ascii="黑体" w:hAnsi="宋体" w:eastAsia="黑体"/>
          <w:sz w:val="24"/>
          <w:szCs w:val="32"/>
        </w:rPr>
        <w:t>课程与</w:t>
      </w:r>
      <w:r>
        <w:rPr>
          <w:rFonts w:hint="eastAsia" w:ascii="黑体" w:hAnsi="宋体" w:eastAsia="黑体"/>
          <w:sz w:val="24"/>
          <w:szCs w:val="32"/>
        </w:rPr>
        <w:t>专业毕业要求</w:t>
      </w:r>
      <w:r>
        <w:rPr>
          <w:rFonts w:ascii="黑体" w:hAnsi="宋体" w:eastAsia="黑体"/>
          <w:sz w:val="24"/>
          <w:szCs w:val="32"/>
        </w:rPr>
        <w:t>的关联性</w:t>
      </w:r>
    </w:p>
    <w:tbl>
      <w:tblPr>
        <w:tblStyle w:val="7"/>
        <w:tblpPr w:leftFromText="180" w:rightFromText="180" w:vertAnchor="text" w:horzAnchor="page" w:tblpX="1916" w:tblpY="242"/>
        <w:tblOverlap w:val="never"/>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7"/>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tcPr>
          <w:p>
            <w:pPr>
              <w:ind w:firstLine="400"/>
              <w:jc w:val="center"/>
              <w:rPr>
                <w:rFonts w:ascii="黑体" w:hAnsi="黑体" w:eastAsia="黑体" w:cs="黑体"/>
              </w:rPr>
            </w:pPr>
            <w:r>
              <w:rPr>
                <w:rFonts w:hint="eastAsia" w:ascii="黑体" w:hAnsi="黑体" w:eastAsia="黑体" w:cs="黑体"/>
              </w:rPr>
              <w:t>专业毕业要求</w:t>
            </w:r>
          </w:p>
        </w:tc>
        <w:tc>
          <w:tcPr>
            <w:tcW w:w="1242" w:type="dxa"/>
            <w:tcBorders>
              <w:top w:val="single" w:color="auto" w:sz="4" w:space="0"/>
              <w:left w:val="single" w:color="auto" w:sz="4" w:space="0"/>
              <w:bottom w:val="single" w:color="auto" w:sz="4" w:space="0"/>
              <w:right w:val="single" w:color="auto" w:sz="4" w:space="0"/>
            </w:tcBorders>
          </w:tcPr>
          <w:p>
            <w:pPr>
              <w:ind w:firstLine="400"/>
              <w:jc w:val="center"/>
              <w:rPr>
                <w:rFonts w:ascii="黑体" w:hAnsi="黑体" w:eastAsia="黑体" w:cs="黑体"/>
              </w:rPr>
            </w:pPr>
            <w:r>
              <w:rPr>
                <w:rFonts w:hint="eastAsia" w:ascii="黑体" w:hAnsi="黑体" w:eastAsia="黑体" w:cs="黑体"/>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XQ111:</w:t>
            </w:r>
            <w:r>
              <w:rPr>
                <w:rFonts w:hint="eastAsia" w:ascii="楷体_GB2312" w:hAnsi="楷体" w:eastAsia="楷体_GB2312"/>
                <w:bCs/>
                <w:sz w:val="24"/>
              </w:rPr>
              <w:t>认同社会主义核心价值观</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XQ112:</w:t>
            </w:r>
            <w:r>
              <w:rPr>
                <w:rFonts w:hint="eastAsia" w:ascii="楷体_GB2312" w:hAnsi="楷体" w:eastAsia="楷体_GB2312"/>
                <w:bCs/>
                <w:sz w:val="24"/>
              </w:rPr>
              <w:t>理解与践行学前教育核心价值</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XQ113:</w:t>
            </w:r>
            <w:r>
              <w:rPr>
                <w:rFonts w:hint="eastAsia" w:ascii="楷体_GB2312" w:hAnsi="楷体" w:eastAsia="楷体_GB2312"/>
                <w:bCs/>
                <w:sz w:val="24"/>
              </w:rPr>
              <w:t>明确与践行幼儿园教师保教行为规范</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XQ121:</w:t>
            </w:r>
            <w:r>
              <w:rPr>
                <w:rFonts w:hint="eastAsia" w:ascii="楷体_GB2312" w:hAnsi="楷体" w:eastAsia="楷体_GB2312"/>
                <w:bCs/>
                <w:sz w:val="24"/>
              </w:rPr>
              <w:t>增强专业认同感和使命感</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仿宋" w:hAnsi="仿宋" w:eastAsia="仿宋" w:cs="宋体"/>
                <w:color w:val="000000"/>
                <w:sz w:val="24"/>
              </w:rPr>
            </w:pPr>
            <w:r>
              <w:rPr>
                <w:rFonts w:ascii="仿宋" w:hAnsi="仿宋" w:eastAsia="仿宋" w:cs="宋体"/>
                <w:color w:val="000000"/>
                <w:sz w:val="24"/>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XQ122:</w:t>
            </w:r>
            <w:r>
              <w:rPr>
                <w:rFonts w:hint="eastAsia" w:ascii="楷体_GB2312" w:hAnsi="楷体" w:eastAsia="楷体_GB2312"/>
                <w:bCs/>
                <w:sz w:val="24"/>
              </w:rPr>
              <w:t>具有人文底蕴、生命关怀和科学精神</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仿宋" w:hAnsi="仿宋" w:eastAsia="仿宋" w:cs="宋体"/>
                <w:color w:val="000000"/>
                <w:sz w:val="24"/>
              </w:rPr>
            </w:pPr>
            <w:r>
              <w:rPr>
                <w:rFonts w:ascii="仿宋" w:hAnsi="仿宋" w:eastAsia="仿宋" w:cs="宋体"/>
                <w:color w:val="000000"/>
                <w:sz w:val="24"/>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XQ123:</w:t>
            </w:r>
            <w:r>
              <w:rPr>
                <w:rFonts w:hint="eastAsia" w:ascii="楷体_GB2312" w:hAnsi="楷体" w:eastAsia="楷体_GB2312"/>
                <w:bCs/>
                <w:sz w:val="24"/>
              </w:rPr>
              <w:t>践行幼儿为本和爱与自由理念</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仿宋" w:hAnsi="仿宋" w:eastAsia="仿宋" w:cs="宋体"/>
                <w:color w:val="000000"/>
                <w:sz w:val="24"/>
              </w:rPr>
            </w:pPr>
            <w:r>
              <w:rPr>
                <w:rFonts w:ascii="仿宋" w:hAnsi="仿宋" w:eastAsia="仿宋" w:cs="宋体"/>
                <w:color w:val="000000"/>
                <w:sz w:val="24"/>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XQ211:</w:t>
            </w:r>
            <w:r>
              <w:rPr>
                <w:rFonts w:hint="eastAsia" w:ascii="楷体_GB2312" w:hAnsi="楷体" w:eastAsia="楷体_GB2312"/>
                <w:bCs/>
                <w:sz w:val="24"/>
              </w:rPr>
              <w:t>掌握儿童发展、儿童研究的基本理论</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XQ212:</w:t>
            </w:r>
            <w:r>
              <w:rPr>
                <w:rFonts w:hint="eastAsia" w:ascii="楷体_GB2312" w:hAnsi="楷体" w:eastAsia="楷体_GB2312"/>
                <w:bCs/>
                <w:sz w:val="24"/>
              </w:rPr>
              <w:t>具备现场观察、记录、分析幼儿的意识和能力</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XQ213:</w:t>
            </w:r>
            <w:r>
              <w:rPr>
                <w:rFonts w:hint="eastAsia" w:ascii="楷体_GB2312" w:hAnsi="楷体" w:eastAsia="楷体_GB2312"/>
                <w:bCs/>
                <w:sz w:val="24"/>
              </w:rPr>
              <w:t>具备评价幼儿园教育活动的能力</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XQ221:</w:t>
            </w:r>
            <w:r>
              <w:rPr>
                <w:rFonts w:hint="eastAsia" w:ascii="楷体_GB2312" w:hAnsi="楷体" w:eastAsia="楷体_GB2312"/>
                <w:bCs/>
                <w:sz w:val="24"/>
              </w:rPr>
              <w:t>把握幼儿生理、心理特点</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XQ222:</w:t>
            </w:r>
            <w:r>
              <w:rPr>
                <w:rFonts w:hint="eastAsia" w:ascii="楷体_GB2312" w:hAnsi="楷体" w:eastAsia="楷体_GB2312"/>
                <w:bCs/>
                <w:sz w:val="24"/>
              </w:rPr>
              <w:t>掌握幼儿园保育和教育的基本知识和方法</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XQ223:</w:t>
            </w:r>
            <w:r>
              <w:rPr>
                <w:rFonts w:hint="eastAsia" w:ascii="楷体_GB2312" w:hAnsi="楷体" w:eastAsia="楷体_GB2312"/>
                <w:bCs/>
                <w:sz w:val="24"/>
              </w:rPr>
              <w:t>熟悉五大领域知识并能合理运用于综合活动中</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XQ231:</w:t>
            </w:r>
            <w:r>
              <w:rPr>
                <w:rFonts w:hint="eastAsia" w:ascii="楷体_GB2312" w:hAnsi="楷体" w:eastAsia="楷体_GB2312"/>
                <w:bCs/>
                <w:sz w:val="24"/>
              </w:rPr>
              <w:t>充分认识大自然、大社会对幼儿发展的价值</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XQ232:</w:t>
            </w:r>
            <w:r>
              <w:rPr>
                <w:rFonts w:hint="eastAsia" w:ascii="楷体_GB2312" w:hAnsi="楷体" w:eastAsia="楷体_GB2312"/>
                <w:bCs/>
                <w:sz w:val="24"/>
              </w:rPr>
              <w:t>具备创设有准备的环境的知识和能力</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XQ233:</w:t>
            </w:r>
            <w:r>
              <w:rPr>
                <w:rFonts w:hint="eastAsia" w:ascii="楷体_GB2312" w:hAnsi="楷体" w:eastAsia="楷体_GB2312"/>
                <w:bCs/>
                <w:sz w:val="24"/>
              </w:rPr>
              <w:t>具备幼儿与环境互动质量的评价能力</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XQ311:</w:t>
            </w:r>
            <w:r>
              <w:rPr>
                <w:rFonts w:hint="eastAsia" w:ascii="楷体_GB2312" w:hAnsi="楷体" w:eastAsia="楷体_GB2312"/>
                <w:bCs/>
                <w:sz w:val="24"/>
              </w:rPr>
              <w:t>能引导幼儿建立班级的秩序与规则</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XQ312:</w:t>
            </w:r>
            <w:r>
              <w:rPr>
                <w:rFonts w:hint="eastAsia" w:ascii="楷体_GB2312" w:hAnsi="楷体" w:eastAsia="楷体_GB2312"/>
                <w:bCs/>
                <w:sz w:val="24"/>
              </w:rPr>
              <w:t>能营造愉悦、尊重、平等、积极的班级氛围</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XQ313:</w:t>
            </w:r>
            <w:r>
              <w:rPr>
                <w:rFonts w:hint="eastAsia" w:ascii="楷体_GB2312" w:hAnsi="楷体" w:eastAsia="楷体_GB2312"/>
                <w:bCs/>
                <w:sz w:val="24"/>
              </w:rPr>
              <w:t>有以班级为纽带调动家庭和社区资源的意识和能力</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XQ321:</w:t>
            </w:r>
            <w:r>
              <w:rPr>
                <w:rFonts w:hint="eastAsia" w:ascii="楷体_GB2312" w:hAnsi="楷体" w:eastAsia="楷体_GB2312"/>
                <w:bCs/>
                <w:sz w:val="24"/>
              </w:rPr>
              <w:t>充分认识一日生活的课程价值</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XQ322:</w:t>
            </w:r>
            <w:r>
              <w:rPr>
                <w:rFonts w:hint="eastAsia" w:ascii="楷体_GB2312" w:hAnsi="楷体" w:eastAsia="楷体_GB2312"/>
                <w:bCs/>
                <w:sz w:val="24"/>
              </w:rPr>
              <w:t>具备以游戏为幼儿园基本活动的意识和能力</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XQ323:</w:t>
            </w:r>
            <w:r>
              <w:rPr>
                <w:rFonts w:hint="eastAsia" w:ascii="楷体_GB2312" w:hAnsi="楷体" w:eastAsia="楷体_GB2312"/>
                <w:bCs/>
                <w:sz w:val="24"/>
              </w:rPr>
              <w:t>具有整合幼儿园、家庭与社区资源的能力</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XQ411:</w:t>
            </w:r>
            <w:r>
              <w:rPr>
                <w:rFonts w:hint="eastAsia" w:ascii="楷体_GB2312" w:hAnsi="楷体" w:eastAsia="楷体_GB2312"/>
                <w:bCs/>
                <w:sz w:val="24"/>
              </w:rPr>
              <w:t>养成主动学习、批判性思考的习惯和品格</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XQ412:</w:t>
            </w:r>
            <w:r>
              <w:rPr>
                <w:rFonts w:hint="eastAsia" w:ascii="楷体_GB2312" w:hAnsi="楷体" w:eastAsia="楷体_GB2312"/>
                <w:bCs/>
                <w:sz w:val="24"/>
              </w:rPr>
              <w:t>具有自我反思和引导幼儿反思的意识和能力</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XQ413:</w:t>
            </w:r>
            <w:r>
              <w:rPr>
                <w:rFonts w:hint="eastAsia" w:ascii="楷体_GB2312" w:hAnsi="楷体" w:eastAsia="楷体_GB2312"/>
                <w:bCs/>
                <w:sz w:val="24"/>
              </w:rPr>
              <w:t>具有创造性解决问题的意识与能力</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XQ421:</w:t>
            </w:r>
            <w:r>
              <w:rPr>
                <w:rFonts w:hint="eastAsia" w:ascii="楷体_GB2312" w:hAnsi="楷体" w:eastAsia="楷体_GB2312"/>
                <w:bCs/>
                <w:sz w:val="24"/>
              </w:rPr>
              <w:t>有参与国际教育交流的意识和能力</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XQ422:</w:t>
            </w:r>
            <w:r>
              <w:rPr>
                <w:rFonts w:hint="eastAsia" w:ascii="楷体_GB2312" w:hAnsi="楷体" w:eastAsia="楷体_GB2312"/>
                <w:bCs/>
                <w:sz w:val="24"/>
              </w:rPr>
              <w:t>把握学前教育改革发展趋势和前沿动态</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XQ423:</w:t>
            </w:r>
            <w:r>
              <w:rPr>
                <w:rFonts w:hint="eastAsia" w:ascii="楷体_GB2312" w:hAnsi="楷体" w:eastAsia="楷体_GB2312"/>
                <w:bCs/>
                <w:sz w:val="24"/>
              </w:rPr>
              <w:t>有分析和借鉴国际教育理念与实践的能力</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XQ431:</w:t>
            </w:r>
            <w:r>
              <w:rPr>
                <w:rFonts w:hint="eastAsia" w:ascii="楷体_GB2312" w:hAnsi="楷体" w:eastAsia="楷体_GB2312"/>
                <w:bCs/>
                <w:sz w:val="24"/>
              </w:rPr>
              <w:t>具有团队协作精神，认同学习共同体的价值</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XQ432:</w:t>
            </w:r>
            <w:r>
              <w:rPr>
                <w:rFonts w:hint="eastAsia" w:ascii="楷体_GB2312" w:hAnsi="楷体" w:eastAsia="楷体_GB2312"/>
                <w:bCs/>
                <w:sz w:val="24"/>
              </w:rPr>
              <w:t>掌握沟通合作的技能</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7" w:type="dxa"/>
            <w:tcBorders>
              <w:top w:val="single" w:color="auto" w:sz="4" w:space="0"/>
              <w:left w:val="single" w:color="auto" w:sz="4" w:space="0"/>
              <w:bottom w:val="single" w:color="auto" w:sz="4" w:space="0"/>
              <w:right w:val="single" w:color="auto" w:sz="4" w:space="0"/>
            </w:tcBorders>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XQ433:</w:t>
            </w:r>
            <w:r>
              <w:rPr>
                <w:rFonts w:hint="eastAsia" w:ascii="楷体_GB2312" w:hAnsi="楷体" w:eastAsia="楷体_GB2312"/>
                <w:bCs/>
                <w:sz w:val="24"/>
              </w:rPr>
              <w:t>有参与、组织专业团队开展合作学习的意识和能力</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color w:val="000000"/>
              </w:rPr>
            </w:pPr>
          </w:p>
        </w:tc>
      </w:tr>
    </w:tbl>
    <w:p>
      <w:pPr>
        <w:spacing w:line="360" w:lineRule="auto"/>
        <w:ind w:firstLine="200" w:firstLineChars="100"/>
        <w:rPr>
          <w:sz w:val="20"/>
          <w:szCs w:val="20"/>
        </w:rPr>
      </w:pPr>
    </w:p>
    <w:p>
      <w:pPr>
        <w:spacing w:line="360" w:lineRule="auto"/>
        <w:ind w:firstLine="240" w:firstLineChars="100"/>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6"/>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w:t>
            </w:r>
          </w:p>
        </w:tc>
        <w:tc>
          <w:tcPr>
            <w:tcW w:w="1175" w:type="dxa"/>
            <w:shd w:val="clear" w:color="auto" w:fill="auto"/>
          </w:tcPr>
          <w:p>
            <w:pPr>
              <w:jc w:val="center"/>
              <w:rPr>
                <w:rFonts w:cs="宋体" w:asciiTheme="minorEastAsia" w:hAnsiTheme="minorEastAsia" w:eastAsiaTheme="minorEastAsia"/>
                <w:color w:val="000000"/>
                <w:kern w:val="0"/>
                <w:sz w:val="20"/>
                <w:szCs w:val="20"/>
              </w:rPr>
            </w:pPr>
            <w:r>
              <w:rPr>
                <w:rFonts w:hint="eastAsia" w:ascii="宋体" w:hAnsi="宋体"/>
                <w:sz w:val="24"/>
                <w:szCs w:val="24"/>
              </w:rPr>
              <w:t>XQ121</w:t>
            </w:r>
          </w:p>
        </w:tc>
        <w:tc>
          <w:tcPr>
            <w:tcW w:w="2470" w:type="dxa"/>
            <w:shd w:val="clear" w:color="auto" w:fill="auto"/>
          </w:tcPr>
          <w:p>
            <w:pPr>
              <w:jc w:val="left"/>
              <w:rPr>
                <w:rFonts w:cs="宋体" w:asciiTheme="minorEastAsia" w:hAnsiTheme="minorEastAsia" w:eastAsiaTheme="minorEastAsia"/>
                <w:color w:val="000000"/>
                <w:kern w:val="0"/>
                <w:sz w:val="20"/>
                <w:szCs w:val="20"/>
              </w:rPr>
            </w:pPr>
            <w:r>
              <w:rPr>
                <w:rFonts w:hint="eastAsia"/>
                <w:bCs/>
                <w:color w:val="000000"/>
                <w:sz w:val="20"/>
                <w:szCs w:val="20"/>
              </w:rPr>
              <w:t>通过厘清并在实践中体会个人价值和社会价值的关系以增强对本专业价值认同感和使命感</w:t>
            </w:r>
            <w:r>
              <w:rPr>
                <w:rFonts w:hint="eastAsia"/>
                <w:color w:val="000000"/>
                <w:sz w:val="20"/>
                <w:szCs w:val="20"/>
              </w:rPr>
              <w:t>。</w:t>
            </w:r>
          </w:p>
        </w:tc>
        <w:tc>
          <w:tcPr>
            <w:tcW w:w="2199"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color w:val="000000"/>
                <w:sz w:val="20"/>
                <w:szCs w:val="20"/>
              </w:rPr>
              <w:t>文献（教材）阅读，幼儿园观察，课堂提问，教师讲解，实例分析，课堂讨论。</w:t>
            </w:r>
          </w:p>
        </w:tc>
        <w:tc>
          <w:tcPr>
            <w:tcW w:w="1276"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课后作业及课堂表现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535" w:type="dxa"/>
            <w:shd w:val="clear" w:color="auto" w:fill="auto"/>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w:t>
            </w:r>
          </w:p>
        </w:tc>
        <w:tc>
          <w:tcPr>
            <w:tcW w:w="1175" w:type="dxa"/>
            <w:shd w:val="clear" w:color="auto" w:fill="auto"/>
          </w:tcPr>
          <w:p>
            <w:pPr>
              <w:jc w:val="center"/>
              <w:rPr>
                <w:rFonts w:cs="宋体" w:asciiTheme="minorEastAsia" w:hAnsiTheme="minorEastAsia" w:eastAsiaTheme="minorEastAsia"/>
                <w:color w:val="000000"/>
                <w:kern w:val="0"/>
                <w:sz w:val="20"/>
                <w:szCs w:val="20"/>
              </w:rPr>
            </w:pPr>
            <w:r>
              <w:rPr>
                <w:rFonts w:hint="eastAsia" w:ascii="宋体" w:hAnsi="宋体"/>
                <w:sz w:val="24"/>
                <w:szCs w:val="24"/>
              </w:rPr>
              <w:t>XQ122</w:t>
            </w:r>
          </w:p>
        </w:tc>
        <w:tc>
          <w:tcPr>
            <w:tcW w:w="2470" w:type="dxa"/>
            <w:shd w:val="clear" w:color="auto" w:fill="auto"/>
          </w:tcPr>
          <w:p>
            <w:pPr>
              <w:jc w:val="left"/>
              <w:rPr>
                <w:rFonts w:cs="宋体" w:asciiTheme="minorEastAsia" w:hAnsiTheme="minorEastAsia" w:eastAsiaTheme="minorEastAsia"/>
                <w:color w:val="000000"/>
                <w:kern w:val="0"/>
                <w:sz w:val="20"/>
                <w:szCs w:val="20"/>
              </w:rPr>
            </w:pPr>
            <w:r>
              <w:rPr>
                <w:rFonts w:hint="eastAsia"/>
                <w:bCs/>
                <w:color w:val="000000"/>
                <w:sz w:val="20"/>
                <w:szCs w:val="20"/>
              </w:rPr>
              <w:t>通过逻辑和实例的探讨体会幼教需要信仰、生命关怀，懂得从幼儿成长规律出发做幼教才体现幼教的科学精神</w:t>
            </w:r>
            <w:r>
              <w:rPr>
                <w:rFonts w:hint="eastAsia"/>
                <w:color w:val="000000"/>
                <w:sz w:val="20"/>
                <w:szCs w:val="20"/>
              </w:rPr>
              <w:t>。</w:t>
            </w:r>
          </w:p>
        </w:tc>
        <w:tc>
          <w:tcPr>
            <w:tcW w:w="2199"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color w:val="000000"/>
                <w:sz w:val="20"/>
                <w:szCs w:val="20"/>
              </w:rPr>
              <w:t>实例收集，幼儿园观察，课堂提问，教师讲解，实例分析，情景表演，课堂讨论。</w:t>
            </w:r>
          </w:p>
        </w:tc>
        <w:tc>
          <w:tcPr>
            <w:tcW w:w="1276"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课后作业及课堂表现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35" w:type="dxa"/>
            <w:shd w:val="clear" w:color="auto" w:fill="auto"/>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w:t>
            </w:r>
          </w:p>
        </w:tc>
        <w:tc>
          <w:tcPr>
            <w:tcW w:w="1175" w:type="dxa"/>
            <w:shd w:val="clear" w:color="auto" w:fill="auto"/>
          </w:tcPr>
          <w:p>
            <w:pPr>
              <w:jc w:val="center"/>
              <w:rPr>
                <w:rFonts w:cs="宋体" w:asciiTheme="minorEastAsia" w:hAnsiTheme="minorEastAsia" w:eastAsiaTheme="minorEastAsia"/>
                <w:color w:val="000000"/>
                <w:kern w:val="0"/>
                <w:sz w:val="20"/>
                <w:szCs w:val="20"/>
              </w:rPr>
            </w:pPr>
            <w:r>
              <w:rPr>
                <w:rFonts w:hint="eastAsia" w:ascii="宋体" w:hAnsi="宋体"/>
                <w:sz w:val="24"/>
                <w:szCs w:val="24"/>
              </w:rPr>
              <w:t>XQ123</w:t>
            </w:r>
          </w:p>
        </w:tc>
        <w:tc>
          <w:tcPr>
            <w:tcW w:w="2470" w:type="dxa"/>
            <w:shd w:val="clear" w:color="auto" w:fill="auto"/>
            <w:vAlign w:val="center"/>
          </w:tcPr>
          <w:p>
            <w:pPr>
              <w:jc w:val="left"/>
              <w:rPr>
                <w:rFonts w:cs="宋体" w:asciiTheme="minorEastAsia" w:hAnsiTheme="minorEastAsia" w:eastAsiaTheme="minorEastAsia"/>
                <w:color w:val="000000"/>
                <w:kern w:val="0"/>
                <w:sz w:val="20"/>
                <w:szCs w:val="20"/>
              </w:rPr>
            </w:pPr>
            <w:r>
              <w:rPr>
                <w:rFonts w:hint="eastAsia"/>
                <w:bCs/>
                <w:sz w:val="20"/>
                <w:szCs w:val="20"/>
              </w:rPr>
              <w:t>理解幼儿为本的理念，在实践中体会这一理念怎么落地，体会幼教爱与自由的重要</w:t>
            </w:r>
            <w:r>
              <w:rPr>
                <w:rFonts w:hint="eastAsia"/>
                <w:sz w:val="20"/>
                <w:szCs w:val="20"/>
              </w:rPr>
              <w:t>。</w:t>
            </w:r>
          </w:p>
        </w:tc>
        <w:tc>
          <w:tcPr>
            <w:tcW w:w="2199"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color w:val="000000"/>
                <w:sz w:val="20"/>
                <w:szCs w:val="20"/>
              </w:rPr>
              <w:t>文献（教材）阅读，幼儿园观察，课堂提问，教师讲解，实例分析，情景表演，课堂讨论。</w:t>
            </w:r>
          </w:p>
        </w:tc>
        <w:tc>
          <w:tcPr>
            <w:tcW w:w="1276" w:type="dxa"/>
            <w:shd w:val="clear" w:color="auto" w:fill="auto"/>
          </w:tcPr>
          <w:p>
            <w:pPr>
              <w:snapToGrid w:val="0"/>
              <w:spacing w:line="288"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课后作业及课堂表现</w:t>
            </w:r>
          </w:p>
        </w:tc>
      </w:tr>
    </w:tbl>
    <w:p>
      <w:pPr>
        <w:snapToGrid w:val="0"/>
        <w:spacing w:line="288" w:lineRule="auto"/>
        <w:ind w:firstLine="480" w:firstLineChars="200"/>
        <w:rPr>
          <w:rFonts w:ascii="黑体" w:hAnsi="宋体" w:eastAsia="黑体"/>
          <w:sz w:val="24"/>
        </w:rPr>
      </w:pPr>
      <w:r>
        <w:rPr>
          <w:rFonts w:hint="eastAsia" w:ascii="黑体" w:hAnsi="宋体" w:eastAsia="黑体"/>
          <w:sz w:val="24"/>
        </w:rPr>
        <w:t>注：XQ=学前</w:t>
      </w:r>
    </w:p>
    <w:p>
      <w:pPr>
        <w:snapToGrid w:val="0"/>
        <w:spacing w:line="288" w:lineRule="auto"/>
        <w:ind w:firstLine="480" w:firstLineChars="200"/>
        <w:rPr>
          <w:rFonts w:ascii="黑体" w:hAnsi="宋体" w:eastAsia="黑体"/>
          <w:sz w:val="24"/>
        </w:rPr>
      </w:pPr>
    </w:p>
    <w:p>
      <w:pPr>
        <w:snapToGrid w:val="0"/>
        <w:spacing w:line="288" w:lineRule="auto"/>
        <w:ind w:firstLine="480" w:firstLineChars="200"/>
        <w:rPr>
          <w:rFonts w:ascii="宋体" w:hAnsi="宋体"/>
          <w:sz w:val="20"/>
          <w:szCs w:val="20"/>
        </w:rPr>
      </w:pPr>
      <w:r>
        <w:rPr>
          <w:rFonts w:hint="eastAsia" w:ascii="黑体" w:hAnsi="宋体" w:eastAsia="黑体"/>
          <w:sz w:val="24"/>
        </w:rPr>
        <w:t>六、</w:t>
      </w:r>
      <w:r>
        <w:rPr>
          <w:rFonts w:ascii="黑体" w:hAnsi="宋体" w:eastAsia="黑体"/>
          <w:sz w:val="24"/>
        </w:rPr>
        <w:t>课程内容</w:t>
      </w:r>
    </w:p>
    <w:tbl>
      <w:tblPr>
        <w:tblStyle w:val="7"/>
        <w:tblW w:w="8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199"/>
        <w:gridCol w:w="238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单元</w:t>
            </w:r>
          </w:p>
        </w:tc>
        <w:tc>
          <w:tcPr>
            <w:tcW w:w="2199"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知识点</w:t>
            </w:r>
          </w:p>
        </w:tc>
        <w:tc>
          <w:tcPr>
            <w:tcW w:w="2381"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能力</w:t>
            </w:r>
            <w:r>
              <w:rPr>
                <w:rFonts w:asciiTheme="minorEastAsia" w:hAnsiTheme="minorEastAsia" w:eastAsiaTheme="minorEastAsia"/>
                <w:b/>
                <w:szCs w:val="21"/>
              </w:rPr>
              <w:t>要求</w:t>
            </w:r>
          </w:p>
        </w:tc>
        <w:tc>
          <w:tcPr>
            <w:tcW w:w="219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教学</w:t>
            </w:r>
            <w:r>
              <w:rPr>
                <w:rFonts w:asciiTheme="minorEastAsia" w:hAnsiTheme="minorEastAsia" w:eastAsiaTheme="minorEastAsia"/>
                <w:b/>
                <w:szCs w:val="21"/>
              </w:rPr>
              <w:t>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304" w:type="dxa"/>
            <w:vAlign w:val="center"/>
          </w:tcPr>
          <w:p>
            <w:pPr>
              <w:jc w:val="left"/>
              <w:rPr>
                <w:color w:val="000000"/>
                <w:sz w:val="20"/>
                <w:szCs w:val="20"/>
              </w:rPr>
            </w:pPr>
            <w:r>
              <w:rPr>
                <w:color w:val="000000"/>
                <w:sz w:val="20"/>
                <w:szCs w:val="20"/>
              </w:rPr>
              <w:t>1.</w:t>
            </w:r>
            <w:r>
              <w:rPr>
                <w:rFonts w:hint="eastAsia"/>
                <w:color w:val="000000"/>
                <w:sz w:val="20"/>
                <w:szCs w:val="20"/>
              </w:rPr>
              <w:t>幼儿发展评价概述（2课时</w:t>
            </w:r>
            <w:r>
              <w:rPr>
                <w:color w:val="000000"/>
                <w:sz w:val="20"/>
                <w:szCs w:val="20"/>
              </w:rPr>
              <w:t>）</w:t>
            </w:r>
          </w:p>
        </w:tc>
        <w:tc>
          <w:tcPr>
            <w:tcW w:w="2199" w:type="dxa"/>
            <w:vAlign w:val="center"/>
          </w:tcPr>
          <w:p>
            <w:pPr>
              <w:pStyle w:val="13"/>
              <w:numPr>
                <w:ilvl w:val="0"/>
                <w:numId w:val="1"/>
              </w:numPr>
              <w:ind w:right="-50" w:firstLineChars="0"/>
              <w:rPr>
                <w:color w:val="000000"/>
                <w:sz w:val="20"/>
                <w:szCs w:val="20"/>
              </w:rPr>
            </w:pPr>
            <w:r>
              <w:rPr>
                <w:rFonts w:hint="eastAsia"/>
                <w:color w:val="000000"/>
                <w:sz w:val="20"/>
                <w:szCs w:val="20"/>
              </w:rPr>
              <w:t>幼儿发展评价含义与发展趋势</w:t>
            </w:r>
          </w:p>
          <w:p>
            <w:pPr>
              <w:pStyle w:val="13"/>
              <w:numPr>
                <w:ilvl w:val="0"/>
                <w:numId w:val="1"/>
              </w:numPr>
              <w:ind w:right="-50" w:firstLineChars="0"/>
              <w:rPr>
                <w:color w:val="000000"/>
                <w:sz w:val="20"/>
                <w:szCs w:val="20"/>
              </w:rPr>
            </w:pPr>
            <w:r>
              <w:rPr>
                <w:rFonts w:hint="eastAsia"/>
                <w:color w:val="000000"/>
                <w:sz w:val="20"/>
                <w:szCs w:val="20"/>
              </w:rPr>
              <w:t>幼儿发展评价特点</w:t>
            </w:r>
          </w:p>
          <w:p>
            <w:pPr>
              <w:pStyle w:val="13"/>
              <w:numPr>
                <w:ilvl w:val="0"/>
                <w:numId w:val="1"/>
              </w:numPr>
              <w:ind w:right="-50" w:firstLineChars="0"/>
              <w:rPr>
                <w:color w:val="000000"/>
                <w:sz w:val="20"/>
                <w:szCs w:val="20"/>
              </w:rPr>
            </w:pPr>
            <w:r>
              <w:rPr>
                <w:rFonts w:hint="eastAsia"/>
                <w:color w:val="000000"/>
                <w:sz w:val="20"/>
                <w:szCs w:val="20"/>
              </w:rPr>
              <w:t>幼儿发展评价的作用</w:t>
            </w:r>
          </w:p>
        </w:tc>
        <w:tc>
          <w:tcPr>
            <w:tcW w:w="2381" w:type="dxa"/>
            <w:vAlign w:val="center"/>
          </w:tcPr>
          <w:p>
            <w:pPr>
              <w:jc w:val="left"/>
              <w:rPr>
                <w:color w:val="000000"/>
                <w:sz w:val="20"/>
                <w:szCs w:val="20"/>
              </w:rPr>
            </w:pPr>
            <w:r>
              <w:rPr>
                <w:color w:val="000000"/>
                <w:sz w:val="20"/>
                <w:szCs w:val="20"/>
              </w:rPr>
              <w:t>1.</w:t>
            </w:r>
            <w:r>
              <w:rPr>
                <w:rFonts w:hint="eastAsia"/>
                <w:color w:val="000000"/>
                <w:sz w:val="20"/>
                <w:szCs w:val="20"/>
              </w:rPr>
              <w:t>了解幼儿发展评价的含义。</w:t>
            </w:r>
          </w:p>
          <w:p>
            <w:pPr>
              <w:jc w:val="left"/>
              <w:rPr>
                <w:color w:val="000000"/>
                <w:sz w:val="20"/>
                <w:szCs w:val="20"/>
              </w:rPr>
            </w:pPr>
            <w:r>
              <w:rPr>
                <w:rFonts w:hint="eastAsia"/>
                <w:color w:val="000000"/>
                <w:sz w:val="20"/>
                <w:szCs w:val="20"/>
              </w:rPr>
              <w:t>2</w:t>
            </w:r>
            <w:r>
              <w:rPr>
                <w:color w:val="000000"/>
                <w:sz w:val="20"/>
                <w:szCs w:val="20"/>
              </w:rPr>
              <w:t>.</w:t>
            </w:r>
            <w:r>
              <w:rPr>
                <w:rFonts w:hint="eastAsia"/>
                <w:color w:val="000000"/>
                <w:sz w:val="20"/>
                <w:szCs w:val="20"/>
              </w:rPr>
              <w:t>理解发展评价的特点。</w:t>
            </w:r>
          </w:p>
          <w:p>
            <w:pPr>
              <w:jc w:val="left"/>
              <w:rPr>
                <w:color w:val="000000"/>
                <w:sz w:val="20"/>
                <w:szCs w:val="20"/>
              </w:rPr>
            </w:pPr>
            <w:r>
              <w:rPr>
                <w:rFonts w:hint="eastAsia"/>
                <w:color w:val="000000"/>
                <w:sz w:val="20"/>
                <w:szCs w:val="20"/>
              </w:rPr>
              <w:t>3</w:t>
            </w:r>
            <w:r>
              <w:rPr>
                <w:color w:val="000000"/>
                <w:sz w:val="20"/>
                <w:szCs w:val="20"/>
              </w:rPr>
              <w:t>.</w:t>
            </w:r>
            <w:r>
              <w:rPr>
                <w:rFonts w:hint="eastAsia"/>
                <w:color w:val="000000"/>
                <w:sz w:val="20"/>
                <w:szCs w:val="20"/>
              </w:rPr>
              <w:t>掌握发展评价的功能作用。</w:t>
            </w:r>
          </w:p>
        </w:tc>
        <w:tc>
          <w:tcPr>
            <w:tcW w:w="2194" w:type="dxa"/>
            <w:vAlign w:val="center"/>
          </w:tcPr>
          <w:p>
            <w:pPr>
              <w:jc w:val="left"/>
              <w:rPr>
                <w:color w:val="000000"/>
                <w:sz w:val="20"/>
                <w:szCs w:val="20"/>
              </w:rPr>
            </w:pPr>
          </w:p>
          <w:p>
            <w:pPr>
              <w:jc w:val="left"/>
              <w:rPr>
                <w:color w:val="000000"/>
                <w:sz w:val="20"/>
                <w:szCs w:val="20"/>
              </w:rPr>
            </w:pPr>
            <w:r>
              <w:rPr>
                <w:rFonts w:hint="eastAsia"/>
                <w:color w:val="000000"/>
                <w:sz w:val="20"/>
                <w:szCs w:val="20"/>
              </w:rPr>
              <w:t>理解并掌握幼儿发展评价的意义和作用。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304" w:type="dxa"/>
            <w:vAlign w:val="center"/>
          </w:tcPr>
          <w:p>
            <w:pPr>
              <w:jc w:val="left"/>
              <w:rPr>
                <w:color w:val="000000"/>
                <w:sz w:val="20"/>
                <w:szCs w:val="20"/>
              </w:rPr>
            </w:pPr>
            <w:r>
              <w:rPr>
                <w:rFonts w:hint="eastAsia"/>
                <w:color w:val="000000"/>
                <w:sz w:val="20"/>
                <w:szCs w:val="20"/>
              </w:rPr>
              <w:t>2</w:t>
            </w:r>
            <w:r>
              <w:rPr>
                <w:color w:val="000000"/>
                <w:sz w:val="20"/>
                <w:szCs w:val="20"/>
              </w:rPr>
              <w:t>.</w:t>
            </w:r>
            <w:r>
              <w:rPr>
                <w:rFonts w:hint="eastAsia"/>
                <w:color w:val="000000"/>
                <w:sz w:val="20"/>
                <w:szCs w:val="20"/>
              </w:rPr>
              <w:t xml:space="preserve"> 幼儿发展评价的指标体系与内容（</w:t>
            </w:r>
            <w:r>
              <w:rPr>
                <w:color w:val="000000"/>
                <w:sz w:val="20"/>
                <w:szCs w:val="20"/>
              </w:rPr>
              <w:t>4</w:t>
            </w:r>
            <w:r>
              <w:rPr>
                <w:rFonts w:hint="eastAsia"/>
                <w:color w:val="000000"/>
                <w:sz w:val="20"/>
                <w:szCs w:val="20"/>
              </w:rPr>
              <w:t>课时</w:t>
            </w:r>
            <w:r>
              <w:rPr>
                <w:color w:val="000000"/>
                <w:sz w:val="20"/>
                <w:szCs w:val="20"/>
              </w:rPr>
              <w:t>）</w:t>
            </w:r>
          </w:p>
        </w:tc>
        <w:tc>
          <w:tcPr>
            <w:tcW w:w="2199" w:type="dxa"/>
            <w:vAlign w:val="center"/>
          </w:tcPr>
          <w:p>
            <w:pPr>
              <w:pStyle w:val="13"/>
              <w:numPr>
                <w:ilvl w:val="0"/>
                <w:numId w:val="2"/>
              </w:numPr>
              <w:ind w:right="-50" w:firstLineChars="0"/>
              <w:rPr>
                <w:color w:val="000000"/>
                <w:sz w:val="20"/>
                <w:szCs w:val="20"/>
              </w:rPr>
            </w:pPr>
            <w:r>
              <w:rPr>
                <w:rFonts w:hint="eastAsia"/>
                <w:color w:val="000000"/>
                <w:sz w:val="20"/>
                <w:szCs w:val="20"/>
              </w:rPr>
              <w:t>幼儿发展评价的指标体系</w:t>
            </w:r>
          </w:p>
          <w:p>
            <w:pPr>
              <w:pStyle w:val="13"/>
              <w:numPr>
                <w:ilvl w:val="0"/>
                <w:numId w:val="2"/>
              </w:numPr>
              <w:ind w:right="-50" w:firstLineChars="0"/>
              <w:rPr>
                <w:color w:val="000000"/>
                <w:sz w:val="20"/>
                <w:szCs w:val="20"/>
              </w:rPr>
            </w:pPr>
            <w:r>
              <w:rPr>
                <w:rFonts w:hint="eastAsia"/>
                <w:color w:val="000000"/>
                <w:sz w:val="20"/>
                <w:szCs w:val="20"/>
              </w:rPr>
              <w:t>幼儿发展评价的内容</w:t>
            </w:r>
          </w:p>
          <w:p>
            <w:pPr>
              <w:pStyle w:val="13"/>
              <w:ind w:left="360" w:right="-50" w:firstLine="0" w:firstLineChars="0"/>
              <w:rPr>
                <w:color w:val="000000"/>
                <w:sz w:val="20"/>
                <w:szCs w:val="20"/>
              </w:rPr>
            </w:pPr>
          </w:p>
        </w:tc>
        <w:tc>
          <w:tcPr>
            <w:tcW w:w="2381" w:type="dxa"/>
            <w:vAlign w:val="center"/>
          </w:tcPr>
          <w:p>
            <w:pPr>
              <w:numPr>
                <w:ilvl w:val="0"/>
                <w:numId w:val="3"/>
              </w:numPr>
              <w:jc w:val="left"/>
              <w:rPr>
                <w:color w:val="000000"/>
                <w:sz w:val="20"/>
                <w:szCs w:val="20"/>
              </w:rPr>
            </w:pPr>
            <w:r>
              <w:rPr>
                <w:rFonts w:hint="eastAsia"/>
                <w:color w:val="000000"/>
                <w:sz w:val="20"/>
                <w:szCs w:val="20"/>
              </w:rPr>
              <w:t>了解指标体系建构的依据。</w:t>
            </w:r>
          </w:p>
          <w:p>
            <w:pPr>
              <w:numPr>
                <w:ilvl w:val="0"/>
                <w:numId w:val="3"/>
              </w:numPr>
              <w:jc w:val="left"/>
              <w:rPr>
                <w:color w:val="000000"/>
                <w:sz w:val="20"/>
                <w:szCs w:val="20"/>
              </w:rPr>
            </w:pPr>
            <w:r>
              <w:rPr>
                <w:rFonts w:hint="eastAsia"/>
                <w:color w:val="000000"/>
                <w:sz w:val="20"/>
                <w:szCs w:val="20"/>
              </w:rPr>
              <w:t>掌握幼儿发展的评价指标和内容。</w:t>
            </w:r>
          </w:p>
          <w:p>
            <w:pPr>
              <w:numPr>
                <w:ilvl w:val="0"/>
                <w:numId w:val="3"/>
              </w:numPr>
              <w:jc w:val="left"/>
              <w:rPr>
                <w:color w:val="000000"/>
                <w:sz w:val="20"/>
                <w:szCs w:val="20"/>
              </w:rPr>
            </w:pPr>
            <w:r>
              <w:rPr>
                <w:rFonts w:hint="eastAsia"/>
                <w:color w:val="000000"/>
                <w:sz w:val="20"/>
                <w:szCs w:val="20"/>
              </w:rPr>
              <w:t>能够根据指标确定评价内容。</w:t>
            </w:r>
          </w:p>
          <w:p>
            <w:pPr>
              <w:jc w:val="left"/>
              <w:rPr>
                <w:color w:val="000000"/>
                <w:sz w:val="20"/>
                <w:szCs w:val="20"/>
              </w:rPr>
            </w:pPr>
          </w:p>
        </w:tc>
        <w:tc>
          <w:tcPr>
            <w:tcW w:w="2194" w:type="dxa"/>
            <w:vAlign w:val="center"/>
          </w:tcPr>
          <w:p>
            <w:pPr>
              <w:jc w:val="left"/>
              <w:rPr>
                <w:color w:val="000000"/>
                <w:sz w:val="20"/>
                <w:szCs w:val="20"/>
              </w:rPr>
            </w:pPr>
            <w:r>
              <w:rPr>
                <w:rFonts w:hint="eastAsia"/>
                <w:color w:val="000000"/>
                <w:sz w:val="20"/>
                <w:szCs w:val="20"/>
              </w:rPr>
              <w:t>掌握并能够运用评价指标与内容。</w:t>
            </w:r>
          </w:p>
          <w:p>
            <w:pPr>
              <w:jc w:val="lef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color w:val="000000"/>
                <w:sz w:val="20"/>
                <w:szCs w:val="20"/>
              </w:rPr>
            </w:pPr>
            <w:r>
              <w:rPr>
                <w:rFonts w:hint="eastAsia"/>
                <w:color w:val="000000"/>
                <w:sz w:val="20"/>
                <w:szCs w:val="20"/>
              </w:rPr>
              <w:t>3</w:t>
            </w:r>
            <w:r>
              <w:rPr>
                <w:color w:val="000000"/>
                <w:sz w:val="20"/>
                <w:szCs w:val="20"/>
              </w:rPr>
              <w:t>.</w:t>
            </w:r>
            <w:r>
              <w:rPr>
                <w:rFonts w:hint="eastAsia"/>
                <w:color w:val="000000"/>
                <w:sz w:val="20"/>
                <w:szCs w:val="20"/>
              </w:rPr>
              <w:t>幼儿发展评价的主体、途径与类型（</w:t>
            </w:r>
            <w:r>
              <w:rPr>
                <w:color w:val="000000"/>
                <w:sz w:val="20"/>
                <w:szCs w:val="20"/>
              </w:rPr>
              <w:t>6</w:t>
            </w:r>
            <w:r>
              <w:rPr>
                <w:rFonts w:hint="eastAsia"/>
                <w:color w:val="000000"/>
                <w:sz w:val="20"/>
                <w:szCs w:val="20"/>
              </w:rPr>
              <w:t>课时</w:t>
            </w:r>
            <w:r>
              <w:rPr>
                <w:color w:val="000000"/>
                <w:sz w:val="20"/>
                <w:szCs w:val="20"/>
              </w:rPr>
              <w:t>）</w:t>
            </w:r>
          </w:p>
        </w:tc>
        <w:tc>
          <w:tcPr>
            <w:tcW w:w="2199" w:type="dxa"/>
            <w:vAlign w:val="center"/>
          </w:tcPr>
          <w:p>
            <w:pPr>
              <w:ind w:left="200" w:hanging="200" w:hangingChars="100"/>
              <w:jc w:val="left"/>
              <w:rPr>
                <w:color w:val="000000"/>
                <w:sz w:val="20"/>
                <w:szCs w:val="20"/>
              </w:rPr>
            </w:pPr>
            <w:r>
              <w:rPr>
                <w:rFonts w:hint="eastAsia"/>
                <w:color w:val="000000"/>
                <w:sz w:val="20"/>
                <w:szCs w:val="20"/>
              </w:rPr>
              <w:t>1、幼儿发展评价的主体</w:t>
            </w:r>
          </w:p>
          <w:p>
            <w:pPr>
              <w:ind w:left="200" w:right="-50" w:hanging="200" w:hangingChars="100"/>
              <w:rPr>
                <w:color w:val="000000"/>
                <w:sz w:val="20"/>
                <w:szCs w:val="20"/>
              </w:rPr>
            </w:pPr>
            <w:r>
              <w:rPr>
                <w:rFonts w:hint="eastAsia"/>
                <w:color w:val="000000"/>
                <w:sz w:val="20"/>
                <w:szCs w:val="20"/>
              </w:rPr>
              <w:t>2、幼儿发展评价的途径</w:t>
            </w:r>
          </w:p>
          <w:p>
            <w:pPr>
              <w:ind w:left="200" w:right="-50" w:hanging="200" w:hangingChars="100"/>
              <w:rPr>
                <w:color w:val="000000"/>
                <w:sz w:val="20"/>
                <w:szCs w:val="20"/>
              </w:rPr>
            </w:pPr>
            <w:r>
              <w:rPr>
                <w:rFonts w:hint="eastAsia"/>
                <w:color w:val="000000"/>
                <w:sz w:val="20"/>
                <w:szCs w:val="20"/>
              </w:rPr>
              <w:t>3、幼儿发展评价的类型</w:t>
            </w:r>
          </w:p>
        </w:tc>
        <w:tc>
          <w:tcPr>
            <w:tcW w:w="2381" w:type="dxa"/>
            <w:vAlign w:val="center"/>
          </w:tcPr>
          <w:p>
            <w:pPr>
              <w:ind w:left="200" w:hanging="200" w:hangingChars="100"/>
              <w:jc w:val="left"/>
              <w:rPr>
                <w:color w:val="000000"/>
                <w:sz w:val="20"/>
                <w:szCs w:val="20"/>
              </w:rPr>
            </w:pPr>
            <w:r>
              <w:rPr>
                <w:color w:val="000000"/>
                <w:sz w:val="20"/>
                <w:szCs w:val="20"/>
              </w:rPr>
              <w:t>1</w:t>
            </w:r>
            <w:r>
              <w:rPr>
                <w:rFonts w:hint="eastAsia"/>
                <w:color w:val="000000"/>
                <w:sz w:val="20"/>
                <w:szCs w:val="20"/>
              </w:rPr>
              <w:t>、能够清楚幼儿发展评价是多主体协同参与的构成。</w:t>
            </w:r>
          </w:p>
          <w:p>
            <w:pPr>
              <w:ind w:left="200" w:right="-50" w:hanging="200" w:hangingChars="100"/>
              <w:rPr>
                <w:color w:val="000000"/>
                <w:sz w:val="20"/>
                <w:szCs w:val="20"/>
              </w:rPr>
            </w:pPr>
            <w:r>
              <w:rPr>
                <w:rFonts w:hint="eastAsia"/>
                <w:color w:val="000000"/>
                <w:sz w:val="20"/>
                <w:szCs w:val="20"/>
              </w:rPr>
              <w:t>2、掌握幼儿发展评价的途径。</w:t>
            </w:r>
          </w:p>
          <w:p>
            <w:pPr>
              <w:jc w:val="left"/>
              <w:rPr>
                <w:color w:val="000000"/>
                <w:sz w:val="20"/>
                <w:szCs w:val="20"/>
              </w:rPr>
            </w:pPr>
            <w:r>
              <w:rPr>
                <w:rFonts w:hint="eastAsia"/>
                <w:color w:val="000000"/>
                <w:sz w:val="20"/>
                <w:szCs w:val="20"/>
              </w:rPr>
              <w:t>3、掌握幼儿发展评价的类型。</w:t>
            </w:r>
          </w:p>
          <w:p>
            <w:pPr>
              <w:jc w:val="left"/>
              <w:rPr>
                <w:color w:val="000000"/>
                <w:sz w:val="20"/>
                <w:szCs w:val="20"/>
              </w:rPr>
            </w:pPr>
          </w:p>
        </w:tc>
        <w:tc>
          <w:tcPr>
            <w:tcW w:w="2194" w:type="dxa"/>
            <w:vAlign w:val="center"/>
          </w:tcPr>
          <w:p>
            <w:pPr>
              <w:jc w:val="left"/>
              <w:rPr>
                <w:color w:val="000000"/>
                <w:sz w:val="20"/>
                <w:szCs w:val="20"/>
              </w:rPr>
            </w:pPr>
            <w:r>
              <w:rPr>
                <w:rFonts w:hint="eastAsia"/>
                <w:color w:val="000000"/>
                <w:sz w:val="20"/>
                <w:szCs w:val="20"/>
              </w:rPr>
              <w:t>掌握幼儿发展评价的主体构成，并能够协同多主体参与到发展评价中。</w:t>
            </w:r>
          </w:p>
          <w:p>
            <w:pPr>
              <w:jc w:val="left"/>
              <w:rPr>
                <w:color w:val="000000"/>
                <w:sz w:val="20"/>
                <w:szCs w:val="20"/>
              </w:rPr>
            </w:pPr>
          </w:p>
          <w:p>
            <w:pPr>
              <w:jc w:val="lef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304" w:type="dxa"/>
            <w:vAlign w:val="center"/>
          </w:tcPr>
          <w:p>
            <w:pPr>
              <w:jc w:val="left"/>
              <w:rPr>
                <w:color w:val="000000"/>
                <w:sz w:val="20"/>
                <w:szCs w:val="20"/>
              </w:rPr>
            </w:pPr>
            <w:r>
              <w:rPr>
                <w:rFonts w:hint="eastAsia"/>
                <w:color w:val="000000"/>
                <w:sz w:val="20"/>
                <w:szCs w:val="20"/>
              </w:rPr>
              <w:t>4.幼儿发展评价的技术与原则（</w:t>
            </w:r>
            <w:r>
              <w:rPr>
                <w:color w:val="000000"/>
                <w:sz w:val="20"/>
                <w:szCs w:val="20"/>
              </w:rPr>
              <w:t>4</w:t>
            </w:r>
            <w:r>
              <w:rPr>
                <w:rFonts w:hint="eastAsia"/>
                <w:color w:val="000000"/>
                <w:sz w:val="20"/>
                <w:szCs w:val="20"/>
              </w:rPr>
              <w:t>课时）</w:t>
            </w:r>
          </w:p>
        </w:tc>
        <w:tc>
          <w:tcPr>
            <w:tcW w:w="2199" w:type="dxa"/>
            <w:vAlign w:val="center"/>
          </w:tcPr>
          <w:p>
            <w:pPr>
              <w:pStyle w:val="13"/>
              <w:ind w:right="-50" w:firstLine="0" w:firstLineChars="0"/>
              <w:rPr>
                <w:color w:val="000000"/>
                <w:sz w:val="20"/>
                <w:szCs w:val="20"/>
              </w:rPr>
            </w:pPr>
            <w:r>
              <w:rPr>
                <w:rFonts w:hint="eastAsia"/>
                <w:color w:val="000000"/>
                <w:sz w:val="20"/>
                <w:szCs w:val="20"/>
              </w:rPr>
              <w:t>1、幼儿发展评价的技术</w:t>
            </w:r>
          </w:p>
          <w:p>
            <w:pPr>
              <w:pStyle w:val="13"/>
              <w:ind w:right="-50" w:firstLine="0" w:firstLineChars="0"/>
              <w:rPr>
                <w:color w:val="000000"/>
                <w:sz w:val="20"/>
                <w:szCs w:val="20"/>
              </w:rPr>
            </w:pPr>
            <w:r>
              <w:rPr>
                <w:rFonts w:hint="eastAsia"/>
                <w:color w:val="000000"/>
                <w:sz w:val="20"/>
                <w:szCs w:val="20"/>
              </w:rPr>
              <w:t>2、幼儿发展评价的原则</w:t>
            </w:r>
          </w:p>
          <w:p>
            <w:pPr>
              <w:ind w:left="200" w:hanging="200" w:hangingChars="100"/>
              <w:jc w:val="left"/>
              <w:rPr>
                <w:color w:val="000000"/>
                <w:sz w:val="20"/>
                <w:szCs w:val="20"/>
              </w:rPr>
            </w:pPr>
          </w:p>
        </w:tc>
        <w:tc>
          <w:tcPr>
            <w:tcW w:w="2381" w:type="dxa"/>
            <w:vAlign w:val="center"/>
          </w:tcPr>
          <w:p>
            <w:pPr>
              <w:jc w:val="left"/>
              <w:rPr>
                <w:color w:val="000000"/>
                <w:sz w:val="20"/>
                <w:szCs w:val="20"/>
              </w:rPr>
            </w:pPr>
            <w:r>
              <w:rPr>
                <w:rFonts w:hint="eastAsia"/>
                <w:color w:val="000000"/>
                <w:sz w:val="20"/>
                <w:szCs w:val="20"/>
              </w:rPr>
              <w:t>1、掌握幼儿发展评价应有的技术。</w:t>
            </w:r>
          </w:p>
          <w:p>
            <w:pPr>
              <w:jc w:val="left"/>
              <w:rPr>
                <w:color w:val="000000"/>
                <w:sz w:val="20"/>
                <w:szCs w:val="20"/>
              </w:rPr>
            </w:pPr>
            <w:r>
              <w:rPr>
                <w:rFonts w:hint="eastAsia"/>
                <w:color w:val="000000"/>
                <w:sz w:val="20"/>
                <w:szCs w:val="20"/>
              </w:rPr>
              <w:t>2、遵循幼儿发展真实性评价的原则。</w:t>
            </w:r>
          </w:p>
          <w:p>
            <w:pPr>
              <w:ind w:left="200" w:hanging="200" w:hangingChars="100"/>
              <w:jc w:val="left"/>
              <w:rPr>
                <w:color w:val="000000"/>
                <w:sz w:val="20"/>
                <w:szCs w:val="20"/>
              </w:rPr>
            </w:pPr>
          </w:p>
        </w:tc>
        <w:tc>
          <w:tcPr>
            <w:tcW w:w="2194" w:type="dxa"/>
            <w:vAlign w:val="center"/>
          </w:tcPr>
          <w:p>
            <w:pPr>
              <w:jc w:val="left"/>
              <w:rPr>
                <w:color w:val="000000"/>
                <w:sz w:val="20"/>
                <w:szCs w:val="20"/>
              </w:rPr>
            </w:pPr>
            <w:r>
              <w:rPr>
                <w:rFonts w:hint="eastAsia"/>
                <w:color w:val="000000"/>
                <w:sz w:val="20"/>
                <w:szCs w:val="20"/>
              </w:rPr>
              <w:t>掌握发展评价的技术，并能够在评价中坚守应遵循的原则。</w:t>
            </w:r>
          </w:p>
          <w:p>
            <w:pPr>
              <w:jc w:val="lef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color w:val="000000"/>
                <w:sz w:val="20"/>
                <w:szCs w:val="20"/>
              </w:rPr>
            </w:pPr>
            <w:r>
              <w:rPr>
                <w:rFonts w:hint="eastAsia"/>
                <w:color w:val="000000"/>
                <w:sz w:val="20"/>
                <w:szCs w:val="20"/>
              </w:rPr>
              <w:t>5.幼儿发展评价的实施（</w:t>
            </w:r>
            <w:r>
              <w:rPr>
                <w:color w:val="000000"/>
                <w:sz w:val="20"/>
                <w:szCs w:val="20"/>
              </w:rPr>
              <w:t>4</w:t>
            </w:r>
            <w:r>
              <w:rPr>
                <w:rFonts w:hint="eastAsia"/>
                <w:color w:val="000000"/>
                <w:sz w:val="20"/>
                <w:szCs w:val="20"/>
              </w:rPr>
              <w:t>课时）</w:t>
            </w:r>
          </w:p>
        </w:tc>
        <w:tc>
          <w:tcPr>
            <w:tcW w:w="2199" w:type="dxa"/>
            <w:vAlign w:val="center"/>
          </w:tcPr>
          <w:p>
            <w:pPr>
              <w:ind w:left="200" w:hanging="200" w:hangingChars="100"/>
              <w:jc w:val="left"/>
              <w:rPr>
                <w:color w:val="000000"/>
                <w:sz w:val="20"/>
                <w:szCs w:val="20"/>
              </w:rPr>
            </w:pPr>
            <w:r>
              <w:rPr>
                <w:rFonts w:hint="eastAsia"/>
                <w:color w:val="000000"/>
                <w:sz w:val="20"/>
                <w:szCs w:val="20"/>
              </w:rPr>
              <w:t>1、幼儿发展评价的实施流程</w:t>
            </w:r>
          </w:p>
          <w:p>
            <w:pPr>
              <w:ind w:left="200" w:hanging="200" w:hangingChars="100"/>
              <w:jc w:val="left"/>
              <w:rPr>
                <w:color w:val="000000"/>
                <w:sz w:val="20"/>
                <w:szCs w:val="20"/>
              </w:rPr>
            </w:pPr>
            <w:r>
              <w:rPr>
                <w:rFonts w:hint="eastAsia"/>
                <w:color w:val="000000"/>
                <w:sz w:val="20"/>
                <w:szCs w:val="20"/>
              </w:rPr>
              <w:t>2、幼儿发展评价实施要点</w:t>
            </w:r>
          </w:p>
          <w:p>
            <w:pPr>
              <w:ind w:left="200" w:hanging="200" w:hangingChars="100"/>
              <w:jc w:val="left"/>
              <w:rPr>
                <w:color w:val="000000"/>
                <w:sz w:val="20"/>
                <w:szCs w:val="20"/>
              </w:rPr>
            </w:pPr>
            <w:r>
              <w:rPr>
                <w:rFonts w:hint="eastAsia"/>
                <w:color w:val="000000"/>
                <w:sz w:val="20"/>
                <w:szCs w:val="20"/>
              </w:rPr>
              <w:t>3、幼儿发展评价实施指南</w:t>
            </w:r>
          </w:p>
        </w:tc>
        <w:tc>
          <w:tcPr>
            <w:tcW w:w="2381" w:type="dxa"/>
            <w:vAlign w:val="center"/>
          </w:tcPr>
          <w:p>
            <w:pPr>
              <w:ind w:left="200" w:hanging="200" w:hangingChars="100"/>
              <w:jc w:val="left"/>
              <w:rPr>
                <w:color w:val="000000"/>
                <w:sz w:val="20"/>
                <w:szCs w:val="20"/>
              </w:rPr>
            </w:pPr>
            <w:r>
              <w:rPr>
                <w:rFonts w:hint="eastAsia"/>
                <w:color w:val="000000"/>
                <w:sz w:val="20"/>
                <w:szCs w:val="20"/>
              </w:rPr>
              <w:t>1、掌握幼儿发展评价的流程，由多元主体参与收集记录、教师整理汇总，最终将评价结果反哺于保教质量发展中。</w:t>
            </w:r>
          </w:p>
          <w:p>
            <w:pPr>
              <w:ind w:left="200" w:hanging="200" w:hangingChars="100"/>
              <w:jc w:val="left"/>
              <w:rPr>
                <w:color w:val="000000"/>
                <w:sz w:val="20"/>
                <w:szCs w:val="20"/>
              </w:rPr>
            </w:pPr>
            <w:r>
              <w:rPr>
                <w:rFonts w:hint="eastAsia"/>
                <w:color w:val="000000"/>
                <w:sz w:val="20"/>
                <w:szCs w:val="20"/>
              </w:rPr>
              <w:t>2、理解幼儿发展评价实施中的要点。常态化并真实收集记录幼儿发展行为。</w:t>
            </w:r>
          </w:p>
          <w:p>
            <w:pPr>
              <w:ind w:left="200" w:hanging="200" w:hangingChars="100"/>
              <w:jc w:val="left"/>
              <w:rPr>
                <w:color w:val="000000"/>
                <w:sz w:val="20"/>
                <w:szCs w:val="20"/>
              </w:rPr>
            </w:pPr>
            <w:r>
              <w:rPr>
                <w:rFonts w:hint="eastAsia"/>
                <w:color w:val="000000"/>
                <w:sz w:val="20"/>
                <w:szCs w:val="20"/>
              </w:rPr>
              <w:t>3、掌握并遵循幼儿发展评价实施的指南。</w:t>
            </w:r>
          </w:p>
        </w:tc>
        <w:tc>
          <w:tcPr>
            <w:tcW w:w="2194" w:type="dxa"/>
            <w:vAlign w:val="center"/>
          </w:tcPr>
          <w:p>
            <w:pPr>
              <w:jc w:val="left"/>
              <w:rPr>
                <w:color w:val="000000"/>
                <w:sz w:val="20"/>
                <w:szCs w:val="20"/>
              </w:rPr>
            </w:pPr>
            <w:r>
              <w:rPr>
                <w:rFonts w:hint="eastAsia"/>
                <w:color w:val="000000"/>
                <w:sz w:val="20"/>
                <w:szCs w:val="20"/>
              </w:rPr>
              <w:t>理解掌握幼儿发展评价实施指南具体领域内容。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1304" w:type="dxa"/>
            <w:vAlign w:val="center"/>
          </w:tcPr>
          <w:p>
            <w:pPr>
              <w:jc w:val="left"/>
              <w:rPr>
                <w:color w:val="000000"/>
                <w:sz w:val="20"/>
                <w:szCs w:val="20"/>
              </w:rPr>
            </w:pPr>
            <w:r>
              <w:rPr>
                <w:rFonts w:hint="eastAsia"/>
                <w:color w:val="000000"/>
                <w:sz w:val="20"/>
                <w:szCs w:val="20"/>
              </w:rPr>
              <w:t>6.幼儿发展评价的范式（2课时）</w:t>
            </w:r>
          </w:p>
        </w:tc>
        <w:tc>
          <w:tcPr>
            <w:tcW w:w="2199" w:type="dxa"/>
            <w:vAlign w:val="center"/>
          </w:tcPr>
          <w:p>
            <w:pPr>
              <w:pStyle w:val="13"/>
              <w:ind w:right="-50" w:firstLine="0" w:firstLineChars="0"/>
              <w:rPr>
                <w:color w:val="000000"/>
                <w:sz w:val="20"/>
                <w:szCs w:val="20"/>
              </w:rPr>
            </w:pPr>
            <w:r>
              <w:rPr>
                <w:rFonts w:hint="eastAsia"/>
                <w:color w:val="000000"/>
                <w:sz w:val="20"/>
                <w:szCs w:val="20"/>
              </w:rPr>
              <w:t>1、量化的幼儿发展评价范式</w:t>
            </w:r>
          </w:p>
          <w:p>
            <w:pPr>
              <w:ind w:left="200" w:hanging="200" w:hangingChars="100"/>
              <w:jc w:val="left"/>
              <w:rPr>
                <w:color w:val="000000"/>
                <w:sz w:val="20"/>
                <w:szCs w:val="20"/>
              </w:rPr>
            </w:pPr>
            <w:r>
              <w:rPr>
                <w:rFonts w:hint="eastAsia"/>
                <w:color w:val="000000"/>
                <w:sz w:val="20"/>
                <w:szCs w:val="20"/>
              </w:rPr>
              <w:t>2、质的幼儿发展评价范式</w:t>
            </w:r>
          </w:p>
        </w:tc>
        <w:tc>
          <w:tcPr>
            <w:tcW w:w="2381" w:type="dxa"/>
            <w:vAlign w:val="center"/>
          </w:tcPr>
          <w:p>
            <w:pPr>
              <w:jc w:val="left"/>
              <w:rPr>
                <w:color w:val="000000"/>
                <w:sz w:val="20"/>
                <w:szCs w:val="20"/>
              </w:rPr>
            </w:pPr>
            <w:r>
              <w:rPr>
                <w:rFonts w:hint="eastAsia"/>
                <w:color w:val="000000"/>
                <w:sz w:val="20"/>
                <w:szCs w:val="20"/>
              </w:rPr>
              <w:t>1、掌握量化评价的程序和规范。</w:t>
            </w:r>
          </w:p>
          <w:p>
            <w:pPr>
              <w:jc w:val="left"/>
              <w:rPr>
                <w:color w:val="000000"/>
                <w:sz w:val="20"/>
                <w:szCs w:val="20"/>
              </w:rPr>
            </w:pPr>
            <w:r>
              <w:rPr>
                <w:rFonts w:hint="eastAsia"/>
                <w:color w:val="000000"/>
                <w:sz w:val="20"/>
                <w:szCs w:val="20"/>
              </w:rPr>
              <w:t>2、掌握质的评价的程序和规范。</w:t>
            </w:r>
          </w:p>
          <w:p>
            <w:pPr>
              <w:jc w:val="left"/>
              <w:rPr>
                <w:color w:val="000000"/>
                <w:sz w:val="20"/>
                <w:szCs w:val="20"/>
              </w:rPr>
            </w:pPr>
            <w:r>
              <w:rPr>
                <w:rFonts w:hint="eastAsia"/>
                <w:color w:val="000000"/>
                <w:sz w:val="20"/>
                <w:szCs w:val="20"/>
              </w:rPr>
              <w:t>3、根据评价要求，灵活选择合适的评价范式。</w:t>
            </w:r>
          </w:p>
          <w:p>
            <w:pPr>
              <w:ind w:left="200" w:hanging="200" w:hangingChars="100"/>
              <w:jc w:val="left"/>
              <w:rPr>
                <w:color w:val="000000"/>
                <w:sz w:val="20"/>
                <w:szCs w:val="20"/>
              </w:rPr>
            </w:pPr>
          </w:p>
        </w:tc>
        <w:tc>
          <w:tcPr>
            <w:tcW w:w="2194" w:type="dxa"/>
            <w:vAlign w:val="center"/>
          </w:tcPr>
          <w:p>
            <w:pPr>
              <w:jc w:val="left"/>
              <w:rPr>
                <w:color w:val="000000"/>
                <w:sz w:val="20"/>
                <w:szCs w:val="20"/>
              </w:rPr>
            </w:pPr>
            <w:r>
              <w:rPr>
                <w:rFonts w:hint="eastAsia"/>
                <w:color w:val="000000"/>
                <w:sz w:val="20"/>
                <w:szCs w:val="20"/>
              </w:rPr>
              <w:t>掌握并灵活运用量化与质的评价范式</w:t>
            </w:r>
          </w:p>
          <w:p>
            <w:pPr>
              <w:jc w:val="lef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color w:val="000000"/>
                <w:sz w:val="20"/>
                <w:szCs w:val="20"/>
              </w:rPr>
            </w:pPr>
            <w:r>
              <w:rPr>
                <w:rFonts w:hint="eastAsia"/>
                <w:color w:val="000000"/>
                <w:sz w:val="20"/>
                <w:szCs w:val="20"/>
              </w:rPr>
              <w:t>7.为了幼儿发展的评价（</w:t>
            </w:r>
            <w:r>
              <w:rPr>
                <w:color w:val="000000"/>
                <w:sz w:val="20"/>
                <w:szCs w:val="20"/>
              </w:rPr>
              <w:t>4</w:t>
            </w:r>
            <w:r>
              <w:rPr>
                <w:rFonts w:hint="eastAsia"/>
                <w:color w:val="000000"/>
                <w:sz w:val="20"/>
                <w:szCs w:val="20"/>
              </w:rPr>
              <w:t>课时）</w:t>
            </w:r>
          </w:p>
        </w:tc>
        <w:tc>
          <w:tcPr>
            <w:tcW w:w="2199" w:type="dxa"/>
            <w:vAlign w:val="center"/>
          </w:tcPr>
          <w:p>
            <w:pPr>
              <w:ind w:left="200" w:hanging="200" w:hangingChars="100"/>
              <w:jc w:val="left"/>
              <w:rPr>
                <w:color w:val="000000"/>
                <w:sz w:val="20"/>
                <w:szCs w:val="20"/>
              </w:rPr>
            </w:pPr>
            <w:r>
              <w:rPr>
                <w:rFonts w:hint="eastAsia"/>
                <w:color w:val="000000"/>
                <w:sz w:val="20"/>
                <w:szCs w:val="20"/>
              </w:rPr>
              <w:t>1、幼儿成长档案</w:t>
            </w:r>
          </w:p>
          <w:p>
            <w:pPr>
              <w:ind w:left="200" w:hanging="200" w:hangingChars="100"/>
              <w:jc w:val="left"/>
              <w:rPr>
                <w:color w:val="000000"/>
                <w:sz w:val="20"/>
                <w:szCs w:val="20"/>
              </w:rPr>
            </w:pPr>
            <w:r>
              <w:rPr>
                <w:rFonts w:hint="eastAsia"/>
                <w:color w:val="000000"/>
                <w:sz w:val="20"/>
                <w:szCs w:val="20"/>
              </w:rPr>
              <w:t>2、搭桥法</w:t>
            </w:r>
          </w:p>
          <w:p>
            <w:pPr>
              <w:ind w:left="200" w:hanging="200" w:hangingChars="100"/>
              <w:jc w:val="left"/>
              <w:rPr>
                <w:color w:val="000000"/>
                <w:sz w:val="20"/>
                <w:szCs w:val="20"/>
              </w:rPr>
            </w:pPr>
            <w:r>
              <w:rPr>
                <w:rFonts w:hint="eastAsia"/>
                <w:color w:val="000000"/>
                <w:sz w:val="20"/>
                <w:szCs w:val="20"/>
              </w:rPr>
              <w:t>3、学习故事</w:t>
            </w:r>
          </w:p>
        </w:tc>
        <w:tc>
          <w:tcPr>
            <w:tcW w:w="2381" w:type="dxa"/>
            <w:vAlign w:val="center"/>
          </w:tcPr>
          <w:p>
            <w:pPr>
              <w:ind w:left="200" w:hanging="200" w:hangingChars="100"/>
              <w:jc w:val="left"/>
              <w:rPr>
                <w:color w:val="000000"/>
                <w:sz w:val="20"/>
                <w:szCs w:val="20"/>
              </w:rPr>
            </w:pPr>
            <w:r>
              <w:rPr>
                <w:rFonts w:hint="eastAsia"/>
                <w:color w:val="000000"/>
                <w:sz w:val="20"/>
                <w:szCs w:val="20"/>
              </w:rPr>
              <w:t>1、熟悉并掌握幼儿成长档案评价的基本程序与作用。</w:t>
            </w:r>
          </w:p>
          <w:p>
            <w:pPr>
              <w:ind w:left="200" w:hanging="200" w:hangingChars="100"/>
              <w:jc w:val="left"/>
              <w:rPr>
                <w:color w:val="000000"/>
                <w:sz w:val="20"/>
                <w:szCs w:val="20"/>
              </w:rPr>
            </w:pPr>
            <w:r>
              <w:rPr>
                <w:rFonts w:hint="eastAsia"/>
                <w:color w:val="000000"/>
                <w:sz w:val="20"/>
                <w:szCs w:val="20"/>
              </w:rPr>
              <w:t>2、熟悉并掌握搭桥评价的基本程序。</w:t>
            </w:r>
          </w:p>
          <w:p>
            <w:pPr>
              <w:ind w:left="200" w:hanging="200" w:hangingChars="100"/>
              <w:jc w:val="left"/>
              <w:rPr>
                <w:color w:val="000000"/>
                <w:sz w:val="20"/>
                <w:szCs w:val="20"/>
              </w:rPr>
            </w:pPr>
            <w:r>
              <w:rPr>
                <w:rFonts w:hint="eastAsia"/>
                <w:color w:val="000000"/>
                <w:sz w:val="20"/>
                <w:szCs w:val="20"/>
              </w:rPr>
              <w:t>3、掌握幼儿学习故事的基本程序并反思其文化适宜性。</w:t>
            </w:r>
          </w:p>
        </w:tc>
        <w:tc>
          <w:tcPr>
            <w:tcW w:w="2194" w:type="dxa"/>
            <w:vAlign w:val="center"/>
          </w:tcPr>
          <w:p>
            <w:pPr>
              <w:jc w:val="left"/>
              <w:rPr>
                <w:color w:val="000000"/>
                <w:sz w:val="20"/>
                <w:szCs w:val="20"/>
              </w:rPr>
            </w:pPr>
            <w:r>
              <w:rPr>
                <w:rFonts w:hint="eastAsia"/>
                <w:color w:val="000000"/>
                <w:sz w:val="20"/>
                <w:szCs w:val="20"/>
              </w:rPr>
              <w:t>掌握幼儿成长档案，呈现幼儿学习和发展历程，帮助教师调整教学，让幼儿成长看得见。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color w:val="000000"/>
                <w:sz w:val="20"/>
                <w:szCs w:val="20"/>
              </w:rPr>
            </w:pPr>
            <w:r>
              <w:rPr>
                <w:rFonts w:hint="eastAsia"/>
                <w:color w:val="000000"/>
                <w:sz w:val="20"/>
                <w:szCs w:val="20"/>
              </w:rPr>
              <w:t>8.幼儿发展评价综合报告（2课时）</w:t>
            </w:r>
          </w:p>
        </w:tc>
        <w:tc>
          <w:tcPr>
            <w:tcW w:w="2199" w:type="dxa"/>
            <w:vAlign w:val="center"/>
          </w:tcPr>
          <w:p>
            <w:pPr>
              <w:pStyle w:val="13"/>
              <w:ind w:right="-50" w:firstLine="0" w:firstLineChars="0"/>
              <w:rPr>
                <w:color w:val="000000"/>
                <w:sz w:val="20"/>
                <w:szCs w:val="20"/>
              </w:rPr>
            </w:pPr>
            <w:r>
              <w:rPr>
                <w:rFonts w:hint="eastAsia"/>
                <w:color w:val="000000"/>
                <w:sz w:val="20"/>
                <w:szCs w:val="20"/>
              </w:rPr>
              <w:t>1、综合报告的作用</w:t>
            </w:r>
          </w:p>
          <w:p>
            <w:pPr>
              <w:pStyle w:val="13"/>
              <w:ind w:right="-50" w:firstLine="0" w:firstLineChars="0"/>
              <w:rPr>
                <w:color w:val="000000"/>
                <w:sz w:val="20"/>
                <w:szCs w:val="20"/>
              </w:rPr>
            </w:pPr>
            <w:r>
              <w:rPr>
                <w:rFonts w:hint="eastAsia"/>
                <w:color w:val="000000"/>
                <w:sz w:val="20"/>
                <w:szCs w:val="20"/>
              </w:rPr>
              <w:t>2、撰写综合报告的方法</w:t>
            </w:r>
          </w:p>
          <w:p>
            <w:pPr>
              <w:ind w:left="200" w:hanging="200" w:hangingChars="100"/>
              <w:jc w:val="left"/>
              <w:rPr>
                <w:color w:val="000000"/>
                <w:sz w:val="20"/>
                <w:szCs w:val="20"/>
              </w:rPr>
            </w:pPr>
          </w:p>
        </w:tc>
        <w:tc>
          <w:tcPr>
            <w:tcW w:w="2381" w:type="dxa"/>
            <w:vAlign w:val="center"/>
          </w:tcPr>
          <w:p>
            <w:pPr>
              <w:jc w:val="left"/>
              <w:rPr>
                <w:color w:val="000000"/>
                <w:sz w:val="20"/>
                <w:szCs w:val="20"/>
              </w:rPr>
            </w:pPr>
            <w:r>
              <w:rPr>
                <w:rFonts w:hint="eastAsia"/>
                <w:color w:val="000000"/>
                <w:sz w:val="20"/>
                <w:szCs w:val="20"/>
              </w:rPr>
              <w:t>1、了解幼儿发展综合报告的作用</w:t>
            </w:r>
          </w:p>
          <w:p>
            <w:pPr>
              <w:jc w:val="left"/>
              <w:rPr>
                <w:color w:val="000000"/>
                <w:sz w:val="20"/>
                <w:szCs w:val="20"/>
              </w:rPr>
            </w:pPr>
            <w:r>
              <w:rPr>
                <w:rFonts w:hint="eastAsia"/>
                <w:color w:val="000000"/>
                <w:sz w:val="20"/>
                <w:szCs w:val="20"/>
              </w:rPr>
              <w:t>2、学会撰写幼儿发展学期/学年综合报告</w:t>
            </w:r>
          </w:p>
          <w:p>
            <w:pPr>
              <w:ind w:left="200" w:hanging="200" w:hangingChars="100"/>
              <w:jc w:val="left"/>
              <w:rPr>
                <w:color w:val="000000"/>
                <w:sz w:val="20"/>
                <w:szCs w:val="20"/>
              </w:rPr>
            </w:pPr>
          </w:p>
        </w:tc>
        <w:tc>
          <w:tcPr>
            <w:tcW w:w="2194" w:type="dxa"/>
            <w:vAlign w:val="center"/>
          </w:tcPr>
          <w:p>
            <w:pPr>
              <w:jc w:val="left"/>
              <w:rPr>
                <w:color w:val="000000"/>
                <w:sz w:val="20"/>
                <w:szCs w:val="20"/>
              </w:rPr>
            </w:pPr>
            <w:r>
              <w:rPr>
                <w:rFonts w:hint="eastAsia"/>
                <w:color w:val="000000"/>
                <w:sz w:val="20"/>
                <w:szCs w:val="20"/>
              </w:rPr>
              <w:t>掌握幼儿发展评价综合报告的撰写方法</w:t>
            </w:r>
          </w:p>
          <w:p>
            <w:pPr>
              <w:jc w:val="lef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color w:val="000000"/>
                <w:sz w:val="20"/>
                <w:szCs w:val="20"/>
              </w:rPr>
            </w:pPr>
            <w:r>
              <w:rPr>
                <w:color w:val="000000"/>
                <w:sz w:val="20"/>
                <w:szCs w:val="20"/>
              </w:rPr>
              <w:t>9</w:t>
            </w:r>
            <w:r>
              <w:rPr>
                <w:rFonts w:hint="eastAsia"/>
                <w:color w:val="000000"/>
                <w:sz w:val="20"/>
                <w:szCs w:val="20"/>
              </w:rPr>
              <w:t>.幼儿发展评价带来的成长（</w:t>
            </w:r>
            <w:r>
              <w:rPr>
                <w:color w:val="000000"/>
                <w:sz w:val="20"/>
                <w:szCs w:val="20"/>
              </w:rPr>
              <w:t>4</w:t>
            </w:r>
            <w:r>
              <w:rPr>
                <w:rFonts w:hint="eastAsia"/>
                <w:color w:val="000000"/>
                <w:sz w:val="20"/>
                <w:szCs w:val="20"/>
              </w:rPr>
              <w:t>课时）</w:t>
            </w:r>
          </w:p>
        </w:tc>
        <w:tc>
          <w:tcPr>
            <w:tcW w:w="2199" w:type="dxa"/>
            <w:vAlign w:val="center"/>
          </w:tcPr>
          <w:p>
            <w:pPr>
              <w:pStyle w:val="13"/>
              <w:ind w:right="-50" w:firstLine="0" w:firstLineChars="0"/>
              <w:rPr>
                <w:color w:val="000000"/>
                <w:sz w:val="20"/>
                <w:szCs w:val="20"/>
              </w:rPr>
            </w:pPr>
            <w:r>
              <w:rPr>
                <w:rFonts w:hint="eastAsia"/>
                <w:color w:val="000000"/>
                <w:sz w:val="20"/>
                <w:szCs w:val="20"/>
              </w:rPr>
              <w:t>1、教师在评价中的专业成长</w:t>
            </w:r>
          </w:p>
          <w:p>
            <w:pPr>
              <w:pStyle w:val="13"/>
              <w:ind w:right="-50" w:firstLine="0" w:firstLineChars="0"/>
              <w:rPr>
                <w:color w:val="000000"/>
                <w:sz w:val="20"/>
                <w:szCs w:val="20"/>
              </w:rPr>
            </w:pPr>
            <w:r>
              <w:rPr>
                <w:rFonts w:hint="eastAsia"/>
                <w:color w:val="000000"/>
                <w:sz w:val="20"/>
                <w:szCs w:val="20"/>
              </w:rPr>
              <w:t>2、家长在评价中的行为转变</w:t>
            </w:r>
          </w:p>
          <w:p>
            <w:pPr>
              <w:ind w:left="200" w:hanging="200" w:hangingChars="100"/>
              <w:jc w:val="left"/>
              <w:rPr>
                <w:color w:val="000000"/>
                <w:sz w:val="20"/>
                <w:szCs w:val="20"/>
              </w:rPr>
            </w:pPr>
            <w:r>
              <w:rPr>
                <w:rFonts w:hint="eastAsia"/>
                <w:color w:val="000000"/>
                <w:sz w:val="20"/>
                <w:szCs w:val="20"/>
              </w:rPr>
              <w:t>3、评价，营造幼儿快乐成长的教育环境</w:t>
            </w:r>
          </w:p>
        </w:tc>
        <w:tc>
          <w:tcPr>
            <w:tcW w:w="2381" w:type="dxa"/>
            <w:vAlign w:val="center"/>
          </w:tcPr>
          <w:p>
            <w:pPr>
              <w:jc w:val="left"/>
              <w:rPr>
                <w:color w:val="000000"/>
                <w:sz w:val="20"/>
                <w:szCs w:val="20"/>
              </w:rPr>
            </w:pPr>
            <w:r>
              <w:rPr>
                <w:rFonts w:hint="eastAsia"/>
                <w:color w:val="000000"/>
                <w:sz w:val="20"/>
                <w:szCs w:val="20"/>
              </w:rPr>
              <w:t>1、理解评价能够提升教师的专业能力，逐步形成专业自觉。</w:t>
            </w:r>
          </w:p>
          <w:p>
            <w:pPr>
              <w:jc w:val="left"/>
              <w:rPr>
                <w:color w:val="000000"/>
                <w:sz w:val="20"/>
                <w:szCs w:val="20"/>
              </w:rPr>
            </w:pPr>
            <w:r>
              <w:rPr>
                <w:rFonts w:hint="eastAsia"/>
                <w:color w:val="000000"/>
                <w:sz w:val="20"/>
                <w:szCs w:val="20"/>
              </w:rPr>
              <w:t>2、认识到评价能够改变家长的教育态度，促进亲子关系的亲密。</w:t>
            </w:r>
          </w:p>
          <w:p>
            <w:pPr>
              <w:jc w:val="left"/>
              <w:rPr>
                <w:color w:val="000000"/>
                <w:sz w:val="20"/>
                <w:szCs w:val="20"/>
              </w:rPr>
            </w:pPr>
            <w:r>
              <w:rPr>
                <w:rFonts w:hint="eastAsia"/>
                <w:color w:val="000000"/>
                <w:sz w:val="20"/>
                <w:szCs w:val="20"/>
              </w:rPr>
              <w:t>3、评价能够让幼儿体验良好的同伴关系，提升自我认知。</w:t>
            </w:r>
          </w:p>
          <w:p>
            <w:pPr>
              <w:ind w:left="200" w:hanging="200" w:hangingChars="100"/>
              <w:jc w:val="left"/>
              <w:rPr>
                <w:color w:val="000000"/>
                <w:sz w:val="20"/>
                <w:szCs w:val="20"/>
              </w:rPr>
            </w:pPr>
          </w:p>
        </w:tc>
        <w:tc>
          <w:tcPr>
            <w:tcW w:w="2194" w:type="dxa"/>
            <w:vAlign w:val="center"/>
          </w:tcPr>
          <w:p>
            <w:pPr>
              <w:jc w:val="left"/>
              <w:rPr>
                <w:color w:val="000000"/>
                <w:sz w:val="20"/>
                <w:szCs w:val="20"/>
              </w:rPr>
            </w:pPr>
            <w:r>
              <w:rPr>
                <w:rFonts w:hint="eastAsia"/>
                <w:color w:val="000000"/>
                <w:sz w:val="20"/>
                <w:szCs w:val="20"/>
              </w:rPr>
              <w:t>能理解并掌握评价给教师、家长和幼儿三方主体带来的成长。</w:t>
            </w:r>
          </w:p>
          <w:p>
            <w:pPr>
              <w:jc w:val="left"/>
              <w:rPr>
                <w:color w:val="000000"/>
                <w:sz w:val="20"/>
                <w:szCs w:val="20"/>
              </w:rPr>
            </w:pPr>
          </w:p>
        </w:tc>
      </w:tr>
    </w:tbl>
    <w:p>
      <w:pPr>
        <w:snapToGrid w:val="0"/>
        <w:spacing w:line="288" w:lineRule="auto"/>
        <w:ind w:right="26"/>
        <w:rPr>
          <w:sz w:val="20"/>
          <w:szCs w:val="20"/>
        </w:rPr>
      </w:pPr>
    </w:p>
    <w:p>
      <w:pPr>
        <w:pStyle w:val="5"/>
        <w:jc w:val="left"/>
        <w:rPr>
          <w:rFonts w:ascii="黑体" w:hAnsi="宋体" w:eastAsia="黑体"/>
          <w:b w:val="0"/>
          <w:bCs w:val="0"/>
          <w:sz w:val="24"/>
        </w:rPr>
      </w:pPr>
      <w:r>
        <w:rPr>
          <w:rFonts w:hint="eastAsia" w:ascii="黑体" w:hAnsi="宋体" w:eastAsia="黑体"/>
          <w:sz w:val="24"/>
        </w:rPr>
        <w:t xml:space="preserve">   </w:t>
      </w:r>
      <w:r>
        <w:rPr>
          <w:rFonts w:hint="eastAsia" w:ascii="黑体" w:hAnsi="宋体" w:eastAsia="黑体"/>
          <w:b w:val="0"/>
          <w:bCs w:val="0"/>
          <w:sz w:val="24"/>
        </w:rPr>
        <w:t>七、课内实验名称及基本要求（选填，适用于课内实验）</w:t>
      </w:r>
    </w:p>
    <w:p/>
    <w:p>
      <w:pPr>
        <w:snapToGrid w:val="0"/>
        <w:spacing w:line="288" w:lineRule="auto"/>
        <w:ind w:right="26" w:firstLine="480" w:firstLineChars="200"/>
        <w:rPr>
          <w:rFonts w:ascii="黑体" w:hAnsi="宋体" w:eastAsia="黑体"/>
          <w:sz w:val="24"/>
        </w:rPr>
      </w:pPr>
      <w:r>
        <w:rPr>
          <w:rFonts w:hint="eastAsia" w:ascii="黑体" w:hAnsi="宋体" w:eastAsia="黑体"/>
          <w:sz w:val="24"/>
        </w:rPr>
        <w:t>列出课程实验的名称、学时数、实验类型（演示型、验证型、设计型、综合型）及每个实验的内容简述。</w:t>
      </w:r>
    </w:p>
    <w:tbl>
      <w:tblPr>
        <w:tblStyle w:val="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r>
              <w:rPr>
                <w:rFonts w:hint="eastAsia" w:ascii="黑体" w:hAnsi="宋体" w:eastAsia="黑体"/>
                <w:sz w:val="24"/>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r>
              <w:rPr>
                <w:rFonts w:hint="eastAsia" w:ascii="黑体" w:hAnsi="宋体" w:eastAsia="黑体"/>
                <w:sz w:val="24"/>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r>
              <w:rPr>
                <w:rFonts w:hint="eastAsia" w:ascii="黑体" w:hAnsi="宋体" w:eastAsia="黑体"/>
                <w:sz w:val="24"/>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r>
              <w:rPr>
                <w:rFonts w:hint="eastAsia" w:ascii="黑体" w:hAnsi="宋体" w:eastAsia="黑体"/>
                <w:sz w:val="24"/>
              </w:rPr>
              <w:t>实验</w:t>
            </w:r>
          </w:p>
          <w:p>
            <w:pPr>
              <w:snapToGrid w:val="0"/>
              <w:spacing w:line="288" w:lineRule="auto"/>
              <w:ind w:right="26" w:firstLine="480" w:firstLineChars="200"/>
              <w:rPr>
                <w:rFonts w:ascii="黑体" w:hAnsi="宋体" w:eastAsia="黑体"/>
                <w:sz w:val="24"/>
              </w:rPr>
            </w:pPr>
            <w:r>
              <w:rPr>
                <w:rFonts w:hint="eastAsia" w:ascii="黑体" w:hAnsi="宋体" w:eastAsia="黑体"/>
                <w:sz w:val="24"/>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r>
              <w:rPr>
                <w:rFonts w:hint="eastAsia" w:ascii="黑体" w:hAnsi="宋体" w:eastAsia="黑体"/>
                <w:sz w:val="24"/>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r>
              <w:rPr>
                <w:rFonts w:hint="eastAsia" w:ascii="黑体" w:hAnsi="宋体"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057" w:type="dxa"/>
            <w:tcBorders>
              <w:left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715" w:type="dxa"/>
            <w:tcBorders>
              <w:left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057" w:type="dxa"/>
            <w:tcBorders>
              <w:left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715" w:type="dxa"/>
            <w:tcBorders>
              <w:left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057" w:type="dxa"/>
            <w:tcBorders>
              <w:left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715" w:type="dxa"/>
            <w:tcBorders>
              <w:left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057" w:type="dxa"/>
            <w:tcBorders>
              <w:left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715" w:type="dxa"/>
            <w:tcBorders>
              <w:left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057" w:type="dxa"/>
            <w:tcBorders>
              <w:left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715" w:type="dxa"/>
            <w:tcBorders>
              <w:left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r>
    </w:tbl>
    <w:p>
      <w:pPr>
        <w:snapToGrid w:val="0"/>
        <w:spacing w:line="288" w:lineRule="auto"/>
        <w:ind w:right="26"/>
        <w:rPr>
          <w:rFonts w:ascii="黑体" w:hAnsi="宋体" w:eastAsia="黑体"/>
          <w:sz w:val="24"/>
        </w:rPr>
      </w:pPr>
    </w:p>
    <w:p>
      <w:pPr>
        <w:snapToGrid w:val="0"/>
        <w:spacing w:line="288" w:lineRule="auto"/>
        <w:ind w:right="26" w:firstLine="480" w:firstLineChars="200"/>
        <w:rPr>
          <w:rFonts w:ascii="黑体" w:hAnsi="宋体" w:eastAsia="黑体"/>
          <w:sz w:val="24"/>
        </w:rPr>
      </w:pPr>
      <w:r>
        <w:rPr>
          <w:rFonts w:hint="eastAsia" w:ascii="黑体" w:hAnsi="宋体" w:eastAsia="黑体"/>
          <w:sz w:val="24"/>
        </w:rPr>
        <w:t>七、实践环节各阶段名称及基本要求（选填，适用于集中实践、实习、毕业设计等）</w:t>
      </w:r>
    </w:p>
    <w:p>
      <w:pPr>
        <w:snapToGrid w:val="0"/>
        <w:spacing w:line="288" w:lineRule="auto"/>
        <w:ind w:right="26" w:firstLine="480" w:firstLineChars="200"/>
        <w:rPr>
          <w:rFonts w:ascii="黑体" w:hAnsi="宋体" w:eastAsia="黑体"/>
          <w:sz w:val="24"/>
        </w:rPr>
      </w:pPr>
      <w:r>
        <w:rPr>
          <w:rFonts w:hint="eastAsia" w:ascii="黑体" w:hAnsi="宋体" w:eastAsia="黑体"/>
          <w:sz w:val="24"/>
        </w:rPr>
        <w:t>列出实践环节各阶段的名称、实践的天数或周数及每个阶段的内容简述。</w:t>
      </w:r>
    </w:p>
    <w:tbl>
      <w:tblPr>
        <w:tblStyle w:val="6"/>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71"/>
        <w:gridCol w:w="3240"/>
        <w:gridCol w:w="126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r>
              <w:rPr>
                <w:rFonts w:hint="eastAsia" w:ascii="黑体" w:hAnsi="宋体" w:eastAsia="黑体"/>
                <w:sz w:val="24"/>
              </w:rPr>
              <w:t>序号</w:t>
            </w: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r>
              <w:rPr>
                <w:rFonts w:hint="eastAsia" w:ascii="黑体" w:hAnsi="宋体" w:eastAsia="黑体"/>
                <w:sz w:val="24"/>
              </w:rPr>
              <w:t>各阶段名称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r>
              <w:rPr>
                <w:rFonts w:hint="eastAsia" w:ascii="黑体" w:hAnsi="宋体" w:eastAsia="黑体"/>
                <w:sz w:val="24"/>
              </w:rPr>
              <w:t>实践主要内容</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r>
              <w:rPr>
                <w:rFonts w:hint="eastAsia" w:ascii="黑体" w:hAnsi="宋体" w:eastAsia="黑体"/>
                <w:sz w:val="24"/>
              </w:rPr>
              <w:t>天数/周数</w:t>
            </w:r>
          </w:p>
        </w:tc>
        <w:tc>
          <w:tcPr>
            <w:tcW w:w="1125" w:type="dxa"/>
            <w:tcBorders>
              <w:top w:val="single" w:color="auto" w:sz="4" w:space="0"/>
              <w:left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r>
              <w:rPr>
                <w:rFonts w:hint="eastAsia" w:ascii="黑体" w:hAnsi="宋体"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125" w:type="dxa"/>
            <w:tcBorders>
              <w:left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125" w:type="dxa"/>
            <w:tcBorders>
              <w:left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125" w:type="dxa"/>
            <w:tcBorders>
              <w:left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125" w:type="dxa"/>
            <w:tcBorders>
              <w:left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125" w:type="dxa"/>
            <w:tcBorders>
              <w:left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p>
            <w:pPr>
              <w:snapToGrid w:val="0"/>
              <w:spacing w:line="288" w:lineRule="auto"/>
              <w:ind w:right="26" w:firstLine="480" w:firstLineChars="200"/>
              <w:rPr>
                <w:rFonts w:ascii="黑体" w:hAnsi="宋体" w:eastAsia="黑体"/>
                <w:sz w:val="24"/>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c>
          <w:tcPr>
            <w:tcW w:w="1125" w:type="dxa"/>
            <w:tcBorders>
              <w:left w:val="single" w:color="auto" w:sz="4" w:space="0"/>
              <w:right w:val="single" w:color="auto" w:sz="4" w:space="0"/>
            </w:tcBorders>
            <w:shd w:val="clear" w:color="auto" w:fill="auto"/>
            <w:vAlign w:val="center"/>
          </w:tcPr>
          <w:p>
            <w:pPr>
              <w:snapToGrid w:val="0"/>
              <w:spacing w:line="288" w:lineRule="auto"/>
              <w:ind w:right="26" w:firstLine="480" w:firstLineChars="200"/>
              <w:rPr>
                <w:rFonts w:ascii="黑体" w:hAnsi="宋体" w:eastAsia="黑体"/>
                <w:sz w:val="24"/>
              </w:rPr>
            </w:pPr>
          </w:p>
        </w:tc>
      </w:tr>
    </w:tbl>
    <w:p>
      <w:pPr>
        <w:pStyle w:val="5"/>
        <w:jc w:val="left"/>
        <w:rPr>
          <w:rFonts w:ascii="黑体" w:hAnsi="宋体" w:eastAsia="黑体"/>
          <w:sz w:val="24"/>
        </w:rPr>
      </w:pPr>
    </w:p>
    <w:p>
      <w:pPr>
        <w:widowControl/>
        <w:spacing w:before="156" w:beforeLines="50" w:after="156" w:afterLines="50" w:line="288" w:lineRule="auto"/>
        <w:jc w:val="left"/>
        <w:rPr>
          <w:rFonts w:ascii="黑体" w:hAnsi="宋体" w:eastAsia="黑体"/>
          <w:sz w:val="24"/>
        </w:rPr>
      </w:pPr>
    </w:p>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八、评价方式与成绩</w:t>
      </w:r>
    </w:p>
    <w:p>
      <w:pPr>
        <w:snapToGrid w:val="0"/>
        <w:spacing w:before="156" w:beforeLines="50" w:line="288" w:lineRule="auto"/>
        <w:ind w:firstLine="400" w:firstLineChars="200"/>
        <w:rPr>
          <w:rFonts w:ascii="宋体" w:hAnsi="宋体"/>
          <w:sz w:val="20"/>
          <w:szCs w:val="20"/>
        </w:rPr>
      </w:pPr>
      <w:r>
        <w:rPr>
          <w:rFonts w:hint="eastAsia" w:ascii="宋体" w:hAnsi="宋体"/>
          <w:sz w:val="20"/>
          <w:szCs w:val="20"/>
        </w:rPr>
        <w:t>“</w:t>
      </w:r>
      <w:r>
        <w:rPr>
          <w:rFonts w:ascii="宋体" w:hAnsi="宋体"/>
          <w:sz w:val="20"/>
          <w:szCs w:val="20"/>
        </w:rPr>
        <w:t>1</w:t>
      </w:r>
      <w:r>
        <w:rPr>
          <w:rFonts w:hint="eastAsia" w:ascii="宋体" w:hAnsi="宋体"/>
          <w:sz w:val="20"/>
          <w:szCs w:val="20"/>
        </w:rPr>
        <w:t>”一般为总结性评价, “</w:t>
      </w:r>
      <w:r>
        <w:rPr>
          <w:rFonts w:ascii="宋体" w:hAnsi="宋体"/>
          <w:sz w:val="20"/>
          <w:szCs w:val="20"/>
        </w:rPr>
        <w:t>X</w:t>
      </w:r>
      <w:r>
        <w:rPr>
          <w:rFonts w:hint="eastAsia" w:ascii="宋体" w:hAnsi="宋体"/>
          <w:sz w:val="20"/>
          <w:szCs w:val="20"/>
        </w:rPr>
        <w:t>”为过程性评价，“</w:t>
      </w:r>
      <w:r>
        <w:rPr>
          <w:rFonts w:ascii="宋体" w:hAnsi="宋体"/>
          <w:sz w:val="20"/>
          <w:szCs w:val="20"/>
        </w:rPr>
        <w:t>X</w:t>
      </w:r>
      <w:r>
        <w:rPr>
          <w:rFonts w:hint="eastAsia" w:ascii="宋体" w:hAnsi="宋体"/>
          <w:sz w:val="20"/>
          <w:szCs w:val="20"/>
        </w:rPr>
        <w:t>”的</w:t>
      </w:r>
      <w:r>
        <w:rPr>
          <w:rFonts w:hint="eastAsia"/>
          <w:color w:val="000000"/>
          <w:sz w:val="20"/>
          <w:szCs w:val="20"/>
        </w:rPr>
        <w:t>次数一般不少于3次，无论是</w:t>
      </w:r>
      <w:r>
        <w:rPr>
          <w:rFonts w:hint="eastAsia" w:ascii="宋体" w:hAnsi="宋体"/>
          <w:sz w:val="20"/>
          <w:szCs w:val="20"/>
        </w:rPr>
        <w:t>“</w:t>
      </w:r>
      <w:r>
        <w:rPr>
          <w:rFonts w:ascii="宋体" w:hAnsi="宋体"/>
          <w:sz w:val="20"/>
          <w:szCs w:val="20"/>
        </w:rPr>
        <w:t>1</w:t>
      </w:r>
      <w:r>
        <w:rPr>
          <w:rFonts w:hint="eastAsia" w:ascii="宋体" w:hAnsi="宋体"/>
          <w:sz w:val="20"/>
          <w:szCs w:val="20"/>
        </w:rPr>
        <w:t>”、还是“</w:t>
      </w:r>
      <w:r>
        <w:rPr>
          <w:rFonts w:ascii="宋体" w:hAnsi="宋体"/>
          <w:sz w:val="20"/>
          <w:szCs w:val="20"/>
        </w:rPr>
        <w:t>X</w:t>
      </w:r>
      <w:r>
        <w:rPr>
          <w:rFonts w:hint="eastAsia" w:ascii="宋体" w:hAnsi="宋体"/>
          <w:sz w:val="20"/>
          <w:szCs w:val="20"/>
        </w:rPr>
        <w:t>”，都可以是纸笔测试，也可以是表现性评价。与能力本位相适应的课程评价方式，较少采用纸笔测试，较多采用表现性评价。</w:t>
      </w:r>
    </w:p>
    <w:p>
      <w:pPr>
        <w:snapToGrid w:val="0"/>
        <w:spacing w:before="120" w:after="120" w:line="288" w:lineRule="auto"/>
        <w:ind w:firstLine="400" w:firstLineChars="200"/>
        <w:rPr>
          <w:b/>
          <w:color w:val="000000"/>
          <w:sz w:val="20"/>
          <w:szCs w:val="20"/>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hint="eastAsia" w:ascii="宋体" w:hAnsi="宋体"/>
          <w:sz w:val="20"/>
          <w:szCs w:val="20"/>
        </w:rPr>
        <w:t>课堂展示、口头</w:t>
      </w:r>
      <w:r>
        <w:rPr>
          <w:rFonts w:ascii="宋体" w:hAnsi="宋体"/>
          <w:sz w:val="20"/>
          <w:szCs w:val="20"/>
        </w:rPr>
        <w:t>报告、</w:t>
      </w:r>
      <w:r>
        <w:rPr>
          <w:rFonts w:hint="eastAsia" w:ascii="宋体" w:hAnsi="宋体"/>
          <w:sz w:val="20"/>
          <w:szCs w:val="20"/>
        </w:rPr>
        <w:t>论文、日志、反思</w:t>
      </w:r>
      <w:r>
        <w:rPr>
          <w:rFonts w:ascii="宋体" w:hAnsi="宋体"/>
          <w:sz w:val="20"/>
          <w:szCs w:val="20"/>
        </w:rPr>
        <w:t>、</w:t>
      </w:r>
      <w:r>
        <w:rPr>
          <w:rFonts w:hint="eastAsia" w:ascii="宋体" w:hAnsi="宋体"/>
          <w:sz w:val="20"/>
          <w:szCs w:val="20"/>
        </w:rPr>
        <w:t>调查报告、个人项目报告、小组</w:t>
      </w:r>
      <w:r>
        <w:rPr>
          <w:rFonts w:ascii="宋体" w:hAnsi="宋体"/>
          <w:sz w:val="20"/>
          <w:szCs w:val="20"/>
        </w:rPr>
        <w:t>项目报告、</w:t>
      </w:r>
      <w:r>
        <w:rPr>
          <w:rFonts w:hint="eastAsia" w:ascii="宋体" w:hAnsi="宋体"/>
          <w:sz w:val="20"/>
          <w:szCs w:val="20"/>
        </w:rPr>
        <w:t>实验报告、读书报告、作品（选集</w:t>
      </w:r>
      <w:r>
        <w:rPr>
          <w:rFonts w:ascii="宋体" w:hAnsi="宋体"/>
          <w:sz w:val="20"/>
          <w:szCs w:val="20"/>
        </w:rPr>
        <w:t>）</w:t>
      </w:r>
      <w:r>
        <w:rPr>
          <w:rFonts w:hint="eastAsia" w:ascii="宋体" w:hAnsi="宋体"/>
          <w:sz w:val="20"/>
          <w:szCs w:val="20"/>
        </w:rPr>
        <w:t>、口试、课堂小测验、</w:t>
      </w:r>
      <w:r>
        <w:rPr>
          <w:rFonts w:ascii="宋体" w:hAnsi="宋体"/>
          <w:sz w:val="20"/>
          <w:szCs w:val="20"/>
        </w:rPr>
        <w:t>期终闭卷考、期终开卷考、</w:t>
      </w:r>
      <w:r>
        <w:rPr>
          <w:rFonts w:hint="eastAsia" w:ascii="宋体" w:hAnsi="宋体"/>
          <w:sz w:val="20"/>
          <w:szCs w:val="20"/>
        </w:rPr>
        <w:t>工作</w:t>
      </w:r>
      <w:r>
        <w:rPr>
          <w:rFonts w:ascii="宋体" w:hAnsi="宋体"/>
          <w:sz w:val="20"/>
          <w:szCs w:val="20"/>
        </w:rPr>
        <w:t>现场评估、</w:t>
      </w:r>
      <w:r>
        <w:rPr>
          <w:rFonts w:hint="eastAsia" w:ascii="宋体" w:hAnsi="宋体"/>
          <w:sz w:val="20"/>
          <w:szCs w:val="20"/>
        </w:rPr>
        <w:t>自我</w:t>
      </w:r>
      <w:r>
        <w:rPr>
          <w:rFonts w:ascii="宋体" w:hAnsi="宋体"/>
          <w:sz w:val="20"/>
          <w:szCs w:val="20"/>
        </w:rPr>
        <w:t>评估、</w:t>
      </w:r>
      <w:r>
        <w:rPr>
          <w:rFonts w:hint="eastAsia" w:ascii="宋体" w:hAnsi="宋体"/>
          <w:sz w:val="20"/>
          <w:szCs w:val="20"/>
        </w:rPr>
        <w:t>同辈</w:t>
      </w:r>
      <w:r>
        <w:rPr>
          <w:rFonts w:ascii="宋体" w:hAnsi="宋体"/>
          <w:sz w:val="20"/>
          <w:szCs w:val="20"/>
        </w:rPr>
        <w:t>评估</w:t>
      </w:r>
      <w:r>
        <w:rPr>
          <w:rFonts w:hint="eastAsia" w:ascii="宋体" w:hAnsi="宋体"/>
          <w:sz w:val="20"/>
          <w:szCs w:val="20"/>
        </w:rPr>
        <w:t>等等</w:t>
      </w:r>
      <w:r>
        <w:rPr>
          <w:rFonts w:ascii="宋体" w:hAnsi="宋体"/>
          <w:sz w:val="20"/>
          <w:szCs w:val="20"/>
        </w:rPr>
        <w:t>。</w:t>
      </w:r>
      <w:r>
        <w:rPr>
          <w:rFonts w:hint="eastAsia" w:ascii="宋体" w:hAnsi="宋体"/>
          <w:b/>
          <w:sz w:val="20"/>
          <w:szCs w:val="20"/>
        </w:rPr>
        <w:t>一般课外扩展阅读的检查评价应该成为“X”中的一部分。</w:t>
      </w:r>
    </w:p>
    <w:p>
      <w:pPr>
        <w:snapToGrid w:val="0"/>
        <w:spacing w:line="288" w:lineRule="auto"/>
        <w:ind w:right="2520"/>
        <w:jc w:val="left"/>
        <w:rPr>
          <w:sz w:val="20"/>
          <w:szCs w:val="20"/>
        </w:rPr>
      </w:pPr>
      <w:r>
        <w:rPr>
          <w:rFonts w:hint="eastAsia" w:ascii="宋体" w:hAnsi="宋体"/>
          <w:sz w:val="20"/>
          <w:szCs w:val="20"/>
        </w:rPr>
        <w:t>同一门课程由多个教师共同授课的，由课程组共同讨论决定X的内容、次数及比例。</w:t>
      </w:r>
    </w:p>
    <w:tbl>
      <w:tblPr>
        <w:tblStyle w:val="6"/>
        <w:tblpPr w:leftFromText="180" w:rightFromText="180" w:vertAnchor="text" w:horzAnchor="page" w:tblpX="1672" w:tblpY="353"/>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highlight w:val="yellow"/>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期末考试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4</w:t>
            </w:r>
            <w:r>
              <w:rPr>
                <w:rFonts w:ascii="宋体" w:hAnsi="宋体"/>
                <w:bCs/>
                <w:color w:val="000000"/>
                <w:szCs w:val="20"/>
              </w:rPr>
              <w:t>5</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highlight w:val="yellow"/>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课堂表现</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color w:val="000000"/>
                <w:sz w:val="20"/>
                <w:szCs w:val="20"/>
              </w:rPr>
              <w:t>15</w:t>
            </w:r>
            <w:r>
              <w:rPr>
                <w:rFonts w:hint="eastAsia"/>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highlight w:val="yellow"/>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课后作业</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color w:val="00000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highlight w:val="yellow"/>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案例收集与分析</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color w:val="000000"/>
                <w:sz w:val="20"/>
                <w:szCs w:val="20"/>
              </w:rPr>
              <w:t>20%</w:t>
            </w:r>
          </w:p>
        </w:tc>
      </w:tr>
    </w:tbl>
    <w:p>
      <w:pPr>
        <w:snapToGrid w:val="0"/>
        <w:spacing w:line="288" w:lineRule="auto"/>
        <w:rPr>
          <w:rFonts w:hint="default" w:eastAsia="宋体"/>
          <w:sz w:val="28"/>
          <w:szCs w:val="28"/>
          <w:lang w:val="en-US" w:eastAsia="zh-CN"/>
        </w:rPr>
      </w:pPr>
      <w:r>
        <w:rPr>
          <w:rFonts w:hint="eastAsia"/>
          <w:sz w:val="28"/>
          <w:szCs w:val="28"/>
        </w:rPr>
        <w:drawing>
          <wp:anchor distT="0" distB="0" distL="114300" distR="114300" simplePos="0" relativeHeight="251659264" behindDoc="0" locked="0" layoutInCell="1" allowOverlap="1">
            <wp:simplePos x="0" y="0"/>
            <wp:positionH relativeFrom="column">
              <wp:posOffset>2933700</wp:posOffset>
            </wp:positionH>
            <wp:positionV relativeFrom="paragraph">
              <wp:posOffset>2243455</wp:posOffset>
            </wp:positionV>
            <wp:extent cx="929640" cy="585470"/>
            <wp:effectExtent l="0" t="0" r="3810" b="5080"/>
            <wp:wrapSquare wrapText="bothSides"/>
            <wp:docPr id="1"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步老师签名"/>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929640" cy="585470"/>
                    </a:xfrm>
                    <a:prstGeom prst="rect">
                      <a:avLst/>
                    </a:prstGeom>
                  </pic:spPr>
                </pic:pic>
              </a:graphicData>
            </a:graphic>
          </wp:anchor>
        </w:drawing>
      </w:r>
      <w:r>
        <w:rPr>
          <w:rFonts w:hint="eastAsia"/>
          <w:sz w:val="28"/>
          <w:szCs w:val="28"/>
        </w:rPr>
        <w:t>撰写人：杨洁</w:t>
      </w:r>
      <w:r>
        <w:rPr>
          <w:rFonts w:hint="eastAsia"/>
          <w:sz w:val="28"/>
          <w:szCs w:val="28"/>
          <w:lang w:val="en-US" w:eastAsia="zh-CN"/>
        </w:rPr>
        <w:t xml:space="preserve">    </w:t>
      </w:r>
      <w:r>
        <w:rPr>
          <w:rFonts w:hint="eastAsia"/>
          <w:sz w:val="28"/>
          <w:szCs w:val="28"/>
        </w:rPr>
        <w:t xml:space="preserve">系主任审核签名：    </w:t>
      </w:r>
      <w:bookmarkStart w:id="1" w:name="_GoBack"/>
      <w:bookmarkEnd w:id="1"/>
      <w:r>
        <w:rPr>
          <w:rFonts w:hint="eastAsia"/>
          <w:sz w:val="28"/>
          <w:szCs w:val="28"/>
        </w:rPr>
        <w:t>审核时间：</w:t>
      </w:r>
      <w:r>
        <w:rPr>
          <w:rFonts w:hint="eastAsia"/>
          <w:sz w:val="28"/>
          <w:szCs w:val="28"/>
          <w:lang w:val="en-US" w:eastAsia="zh-CN"/>
        </w:rPr>
        <w:t>2022.3.1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85527"/>
    <w:multiLevelType w:val="singleLevel"/>
    <w:tmpl w:val="B8E85527"/>
    <w:lvl w:ilvl="0" w:tentative="0">
      <w:start w:val="1"/>
      <w:numFmt w:val="decimal"/>
      <w:lvlText w:val="%1."/>
      <w:lvlJc w:val="left"/>
      <w:pPr>
        <w:tabs>
          <w:tab w:val="left" w:pos="312"/>
        </w:tabs>
      </w:pPr>
    </w:lvl>
  </w:abstractNum>
  <w:abstractNum w:abstractNumId="1">
    <w:nsid w:val="29B8221B"/>
    <w:multiLevelType w:val="multilevel"/>
    <w:tmpl w:val="29B822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EA72A7E"/>
    <w:multiLevelType w:val="multilevel"/>
    <w:tmpl w:val="7EA72A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4FA2"/>
    <w:rsid w:val="0007362F"/>
    <w:rsid w:val="00075DB5"/>
    <w:rsid w:val="000C11D9"/>
    <w:rsid w:val="00116FF9"/>
    <w:rsid w:val="00172A27"/>
    <w:rsid w:val="00182CCD"/>
    <w:rsid w:val="001F4A01"/>
    <w:rsid w:val="00256B39"/>
    <w:rsid w:val="0026033C"/>
    <w:rsid w:val="002A16CC"/>
    <w:rsid w:val="002E1D67"/>
    <w:rsid w:val="002E3721"/>
    <w:rsid w:val="002F1A16"/>
    <w:rsid w:val="002F70EE"/>
    <w:rsid w:val="0030621E"/>
    <w:rsid w:val="00313BBA"/>
    <w:rsid w:val="0032602E"/>
    <w:rsid w:val="003367AE"/>
    <w:rsid w:val="00350301"/>
    <w:rsid w:val="00353E8B"/>
    <w:rsid w:val="00384B63"/>
    <w:rsid w:val="004100B0"/>
    <w:rsid w:val="00443043"/>
    <w:rsid w:val="004A78A1"/>
    <w:rsid w:val="00515023"/>
    <w:rsid w:val="005330C0"/>
    <w:rsid w:val="005467DC"/>
    <w:rsid w:val="00553D03"/>
    <w:rsid w:val="005A3B95"/>
    <w:rsid w:val="005B2B6D"/>
    <w:rsid w:val="005B4B4E"/>
    <w:rsid w:val="00624FE1"/>
    <w:rsid w:val="006F1BB5"/>
    <w:rsid w:val="007208D6"/>
    <w:rsid w:val="00740B2F"/>
    <w:rsid w:val="008327F6"/>
    <w:rsid w:val="00842803"/>
    <w:rsid w:val="00876C11"/>
    <w:rsid w:val="00885E40"/>
    <w:rsid w:val="008967FA"/>
    <w:rsid w:val="008B397C"/>
    <w:rsid w:val="008B47F4"/>
    <w:rsid w:val="00900019"/>
    <w:rsid w:val="00911C4C"/>
    <w:rsid w:val="00937F30"/>
    <w:rsid w:val="00975559"/>
    <w:rsid w:val="0099063E"/>
    <w:rsid w:val="00994D53"/>
    <w:rsid w:val="009C72C2"/>
    <w:rsid w:val="00AA43BD"/>
    <w:rsid w:val="00AF5FAF"/>
    <w:rsid w:val="00B451F8"/>
    <w:rsid w:val="00B511A5"/>
    <w:rsid w:val="00B6415C"/>
    <w:rsid w:val="00B7651F"/>
    <w:rsid w:val="00B80921"/>
    <w:rsid w:val="00B87317"/>
    <w:rsid w:val="00BC1D2A"/>
    <w:rsid w:val="00BD76D3"/>
    <w:rsid w:val="00BF2450"/>
    <w:rsid w:val="00C30CFE"/>
    <w:rsid w:val="00C56E09"/>
    <w:rsid w:val="00C721FD"/>
    <w:rsid w:val="00C81B6B"/>
    <w:rsid w:val="00CF190D"/>
    <w:rsid w:val="00D06ADF"/>
    <w:rsid w:val="00D14CCB"/>
    <w:rsid w:val="00D201DF"/>
    <w:rsid w:val="00D63A11"/>
    <w:rsid w:val="00D66D9B"/>
    <w:rsid w:val="00DA4E74"/>
    <w:rsid w:val="00E02A18"/>
    <w:rsid w:val="00E10028"/>
    <w:rsid w:val="00E16D30"/>
    <w:rsid w:val="00E33169"/>
    <w:rsid w:val="00E70904"/>
    <w:rsid w:val="00EC38AD"/>
    <w:rsid w:val="00EE1EFB"/>
    <w:rsid w:val="00EF44B1"/>
    <w:rsid w:val="00F35AA0"/>
    <w:rsid w:val="00F369F9"/>
    <w:rsid w:val="00F70E0F"/>
    <w:rsid w:val="00FF19D8"/>
    <w:rsid w:val="00FF24A4"/>
    <w:rsid w:val="00FF2C61"/>
    <w:rsid w:val="01F90C44"/>
    <w:rsid w:val="024B0C39"/>
    <w:rsid w:val="034D2F86"/>
    <w:rsid w:val="049334E0"/>
    <w:rsid w:val="059E1069"/>
    <w:rsid w:val="06CD4C74"/>
    <w:rsid w:val="07896844"/>
    <w:rsid w:val="07910517"/>
    <w:rsid w:val="089608E6"/>
    <w:rsid w:val="0BBF57D4"/>
    <w:rsid w:val="11D93420"/>
    <w:rsid w:val="12255A19"/>
    <w:rsid w:val="1252010C"/>
    <w:rsid w:val="127D49DD"/>
    <w:rsid w:val="170C74B4"/>
    <w:rsid w:val="24192CCC"/>
    <w:rsid w:val="283E7215"/>
    <w:rsid w:val="2A1D271C"/>
    <w:rsid w:val="2D2477D0"/>
    <w:rsid w:val="30580224"/>
    <w:rsid w:val="32184A1E"/>
    <w:rsid w:val="340F0458"/>
    <w:rsid w:val="3CD52CE1"/>
    <w:rsid w:val="3D3C55B6"/>
    <w:rsid w:val="3DE002FD"/>
    <w:rsid w:val="3DE817D3"/>
    <w:rsid w:val="3E6F0D45"/>
    <w:rsid w:val="41736F2E"/>
    <w:rsid w:val="42E33479"/>
    <w:rsid w:val="49870B99"/>
    <w:rsid w:val="4C653F3E"/>
    <w:rsid w:val="509E5D43"/>
    <w:rsid w:val="53B44079"/>
    <w:rsid w:val="53B852EA"/>
    <w:rsid w:val="54875D3D"/>
    <w:rsid w:val="567D1E02"/>
    <w:rsid w:val="5CEC5318"/>
    <w:rsid w:val="5EBA3077"/>
    <w:rsid w:val="647959D3"/>
    <w:rsid w:val="66BA4938"/>
    <w:rsid w:val="6A3F327A"/>
    <w:rsid w:val="6E237EDF"/>
    <w:rsid w:val="6EC86481"/>
    <w:rsid w:val="6F5042C2"/>
    <w:rsid w:val="728D389D"/>
    <w:rsid w:val="73F52943"/>
    <w:rsid w:val="773E764D"/>
    <w:rsid w:val="796D0776"/>
    <w:rsid w:val="7991015C"/>
    <w:rsid w:val="7C782C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4"/>
    <w:qFormat/>
    <w:uiPriority w:val="0"/>
    <w:pPr>
      <w:spacing w:line="440" w:lineRule="exact"/>
      <w:jc w:val="center"/>
      <w:outlineLvl w:val="0"/>
    </w:pPr>
    <w:rPr>
      <w:rFonts w:ascii="Cambria" w:hAnsi="Cambria" w:eastAsiaTheme="minorEastAsia" w:cstheme="minorBidi"/>
      <w:b/>
      <w:bCs/>
      <w:sz w:val="28"/>
      <w:szCs w:val="32"/>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字符"/>
    <w:basedOn w:val="8"/>
    <w:link w:val="4"/>
    <w:semiHidden/>
    <w:qFormat/>
    <w:uiPriority w:val="99"/>
    <w:rPr>
      <w:sz w:val="18"/>
      <w:szCs w:val="18"/>
    </w:rPr>
  </w:style>
  <w:style w:type="character" w:customStyle="1" w:styleId="12">
    <w:name w:val="页脚 字符"/>
    <w:basedOn w:val="8"/>
    <w:link w:val="3"/>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标题 字符"/>
    <w:link w:val="5"/>
    <w:uiPriority w:val="0"/>
    <w:rPr>
      <w:rFonts w:ascii="Cambria" w:hAnsi="Cambria"/>
      <w:b/>
      <w:bCs/>
      <w:kern w:val="2"/>
      <w:sz w:val="28"/>
      <w:szCs w:val="32"/>
    </w:rPr>
  </w:style>
  <w:style w:type="character" w:customStyle="1" w:styleId="15">
    <w:name w:val="标题 字符1"/>
    <w:basedOn w:val="8"/>
    <w:uiPriority w:val="10"/>
    <w:rPr>
      <w:rFonts w:asciiTheme="majorHAnsi" w:hAnsiTheme="majorHAnsi" w:eastAsiaTheme="majorEastAsia" w:cstheme="majorBidi"/>
      <w:b/>
      <w:bCs/>
      <w:kern w:val="2"/>
      <w:sz w:val="32"/>
      <w:szCs w:val="32"/>
    </w:rPr>
  </w:style>
  <w:style w:type="character" w:customStyle="1" w:styleId="16">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591</Words>
  <Characters>3369</Characters>
  <Lines>28</Lines>
  <Paragraphs>7</Paragraphs>
  <TotalTime>1430</TotalTime>
  <ScaleCrop>false</ScaleCrop>
  <LinksUpToDate>false</LinksUpToDate>
  <CharactersWithSpaces>3953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陌桑</cp:lastModifiedBy>
  <dcterms:modified xsi:type="dcterms:W3CDTF">2022-03-01T04:42:09Z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RubyTemplateID" linkTarget="0">
    <vt:lpwstr>6</vt:lpwstr>
  </property>
  <property fmtid="{D5CDD505-2E9C-101B-9397-08002B2CF9AE}" pid="4" name="ICV">
    <vt:lpwstr>1E9CEBD26C464353865744E200E70CE6</vt:lpwstr>
  </property>
</Properties>
</file>