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《学前教育学》课程教学大纲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99"/>
        <w:gridCol w:w="2133"/>
        <w:gridCol w:w="1205"/>
        <w:gridCol w:w="1251"/>
        <w:gridCol w:w="1538"/>
        <w:gridCol w:w="750"/>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77" w:type="dxa"/>
            <w:gridSpan w:val="5"/>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学前教育学</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877" w:type="dxa"/>
            <w:gridSpan w:val="5"/>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Preschool </w:t>
            </w:r>
            <w:r>
              <w:rPr>
                <w:rFonts w:hint="eastAsia" w:ascii="Times New Roman" w:hAnsi="Times New Roman" w:eastAsia="黑体" w:cs="Times New Roman"/>
                <w:color w:val="000000" w:themeColor="text1"/>
                <w:sz w:val="21"/>
                <w:szCs w:val="21"/>
                <w14:textFill>
                  <w14:solidFill>
                    <w14:schemeClr w14:val="tx1"/>
                  </w14:solidFill>
                </w14:textFill>
              </w:rPr>
              <w:t>P</w:t>
            </w:r>
            <w:r>
              <w:rPr>
                <w:rFonts w:ascii="Times New Roman" w:hAnsi="Times New Roman" w:eastAsia="黑体" w:cs="Times New Roman"/>
                <w:color w:val="000000" w:themeColor="text1"/>
                <w:sz w:val="21"/>
                <w:szCs w:val="21"/>
                <w14:textFill>
                  <w14:solidFill>
                    <w14:schemeClr w14:val="tx1"/>
                  </w14:solidFill>
                </w14:textFill>
              </w:rPr>
              <w:t>edagogy</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133" w:type="dxa"/>
            <w:vAlign w:val="center"/>
          </w:tcPr>
          <w:p w14:paraId="3042D1E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2130014</w:t>
            </w:r>
          </w:p>
        </w:tc>
        <w:tc>
          <w:tcPr>
            <w:tcW w:w="245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88" w:type="dxa"/>
            <w:gridSpan w:val="2"/>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133"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05"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251" w:type="dxa"/>
            <w:vAlign w:val="center"/>
          </w:tcPr>
          <w:p w14:paraId="518DF9D4">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538" w:type="dxa"/>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50"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133" w:type="dxa"/>
            <w:vAlign w:val="center"/>
          </w:tcPr>
          <w:p w14:paraId="68D61AD7">
            <w:pPr>
              <w:widowControl w:val="0"/>
              <w:jc w:val="center"/>
              <w:rPr>
                <w:rFonts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245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88" w:type="dxa"/>
            <w:gridSpan w:val="2"/>
            <w:tcBorders>
              <w:right w:val="single" w:color="auto" w:sz="12" w:space="0"/>
            </w:tcBorders>
            <w:vAlign w:val="center"/>
          </w:tcPr>
          <w:p w14:paraId="3679FC0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学前教育专业大</w:t>
            </w:r>
            <w:r>
              <w:rPr>
                <w:rFonts w:hint="eastAsia"/>
                <w:color w:val="000000" w:themeColor="text1"/>
                <w:sz w:val="21"/>
                <w:szCs w:val="21"/>
                <w:lang w:val="en-US" w:eastAsia="zh-CN"/>
                <w14:textFill>
                  <w14:solidFill>
                    <w14:schemeClr w14:val="tx1"/>
                  </w14:solidFill>
                </w14:textFill>
              </w:rPr>
              <w:t>二年级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133"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45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88" w:type="dxa"/>
            <w:gridSpan w:val="2"/>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99"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89" w:type="dxa"/>
            <w:gridSpan w:val="3"/>
            <w:vAlign w:val="center"/>
          </w:tcPr>
          <w:p w14:paraId="10398C93">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《学前教育学》钱雨、ISBN</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9787313194756、</w:t>
            </w:r>
          </w:p>
          <w:p w14:paraId="07769783">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上海交通大学出版社、2023年第2版</w:t>
            </w:r>
          </w:p>
        </w:tc>
        <w:tc>
          <w:tcPr>
            <w:tcW w:w="1538" w:type="dxa"/>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50" w:type="dxa"/>
            <w:tcBorders>
              <w:right w:val="single" w:color="auto" w:sz="12" w:space="0"/>
            </w:tcBorders>
            <w:vAlign w:val="center"/>
          </w:tcPr>
          <w:p w14:paraId="2ACE32F4">
            <w:pPr>
              <w:widowControl w:val="0"/>
              <w:ind w:left="120" w:leftChar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9" w:hRule="atLeast"/>
        </w:trPr>
        <w:tc>
          <w:tcPr>
            <w:tcW w:w="1599"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77" w:type="dxa"/>
            <w:gridSpan w:val="5"/>
            <w:tcBorders>
              <w:right w:val="single" w:color="auto" w:sz="12" w:space="0"/>
            </w:tcBorders>
            <w:vAlign w:val="center"/>
          </w:tcPr>
          <w:p w14:paraId="3796FD8B">
            <w:pPr>
              <w:pStyle w:val="14"/>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心理学基础</w:t>
            </w:r>
            <w:r>
              <w:rPr>
                <w:rFonts w:asciiTheme="minorEastAsia" w:hAnsiTheme="minorEastAsia" w:eastAsiaTheme="minorEastAsia"/>
                <w:color w:val="000000" w:themeColor="text1"/>
                <w14:textFill>
                  <w14:solidFill>
                    <w14:schemeClr w14:val="tx1"/>
                  </w14:solidFill>
                </w14:textFill>
              </w:rPr>
              <w:t>2130003</w:t>
            </w: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幼儿园观察1</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2135048（2）</w:t>
            </w:r>
          </w:p>
          <w:p w14:paraId="6F229263">
            <w:pPr>
              <w:pStyle w:val="14"/>
              <w:widowControl w:val="0"/>
              <w:jc w:val="both"/>
              <w:rPr>
                <w:rFonts w:hint="default" w:eastAsiaTheme="minorEastAsia"/>
                <w:lang w:val="en-US" w:eastAsia="zh-CN"/>
              </w:rPr>
            </w:pPr>
            <w:r>
              <w:rPr>
                <w:rFonts w:hint="eastAsia" w:asciiTheme="minorEastAsia" w:hAnsiTheme="minorEastAsia" w:eastAsiaTheme="minorEastAsia"/>
                <w:color w:val="000000" w:themeColor="text1"/>
                <w14:textFill>
                  <w14:solidFill>
                    <w14:schemeClr w14:val="tx1"/>
                  </w14:solidFill>
                </w14:textFill>
              </w:rPr>
              <w:t>智慧对对碰1</w:t>
            </w:r>
            <w:r>
              <w:rPr>
                <w:rFonts w:hint="eastAsia" w:asciiTheme="minorEastAsia" w:hAnsiTheme="minorEastAsia" w:eastAsiaTheme="minorEastAsia"/>
                <w:color w:val="000000" w:themeColor="text1"/>
                <w:lang w:val="en-US" w:eastAsia="zh-CN"/>
                <w14:textFill>
                  <w14:solidFill>
                    <w14:schemeClr w14:val="tx1"/>
                  </w14:solidFill>
                </w14:textFill>
              </w:rPr>
              <w:t xml:space="preserve">  2135050</w:t>
            </w:r>
            <w:r>
              <w:rPr>
                <w:rFonts w:hint="eastAsia" w:asciiTheme="minorEastAsia" w:hAnsiTheme="minorEastAsia" w:eastAsiaTheme="minorEastAsia"/>
                <w:color w:val="000000" w:themeColor="text1"/>
                <w14:textFill>
                  <w14:solidFill>
                    <w14:schemeClr w14:val="tx1"/>
                  </w14:solidFill>
                </w14:textFill>
              </w:rPr>
              <w:t>（2）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599"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877" w:type="dxa"/>
            <w:gridSpan w:val="5"/>
            <w:tcBorders>
              <w:right w:val="single" w:color="auto" w:sz="12" w:space="0"/>
            </w:tcBorders>
          </w:tcPr>
          <w:p w14:paraId="2F9259C8">
            <w:pPr>
              <w:widowControl w:val="0"/>
              <w:snapToGrid w:val="0"/>
              <w:spacing w:line="288" w:lineRule="auto"/>
              <w:ind w:firstLine="420" w:firstLineChars="200"/>
              <w:jc w:val="both"/>
              <w:rPr>
                <w:color w:val="000000"/>
                <w:sz w:val="20"/>
                <w:szCs w:val="20"/>
              </w:rPr>
            </w:pPr>
            <w:r>
              <w:rPr>
                <w:rFonts w:hint="eastAsia"/>
                <w:color w:val="000000"/>
                <w:sz w:val="21"/>
                <w:szCs w:val="21"/>
              </w:rPr>
              <w:t>本课程为</w:t>
            </w:r>
            <w:r>
              <w:rPr>
                <w:rFonts w:hint="eastAsia"/>
                <w:color w:val="000000"/>
                <w:sz w:val="21"/>
                <w:szCs w:val="21"/>
                <w:lang w:val="en-US" w:eastAsia="zh-CN"/>
              </w:rPr>
              <w:t>学前教育</w:t>
            </w:r>
            <w:r>
              <w:rPr>
                <w:rFonts w:hint="eastAsia"/>
                <w:color w:val="000000"/>
                <w:sz w:val="21"/>
                <w:szCs w:val="21"/>
              </w:rPr>
              <w:t>专业</w:t>
            </w:r>
            <w:r>
              <w:rPr>
                <w:rFonts w:hint="eastAsia"/>
                <w:color w:val="000000"/>
                <w:sz w:val="21"/>
                <w:szCs w:val="21"/>
                <w:lang w:val="en-US" w:eastAsia="zh-CN"/>
              </w:rPr>
              <w:t>核心</w:t>
            </w:r>
            <w:r>
              <w:rPr>
                <w:rFonts w:hint="eastAsia"/>
                <w:color w:val="000000"/>
                <w:sz w:val="21"/>
                <w:szCs w:val="21"/>
              </w:rPr>
              <w:t>课程，</w:t>
            </w:r>
            <w:r>
              <w:rPr>
                <w:rFonts w:hint="eastAsia"/>
                <w:color w:val="000000"/>
                <w:sz w:val="21"/>
                <w:szCs w:val="21"/>
                <w:lang w:val="en-US" w:eastAsia="zh-CN"/>
              </w:rPr>
              <w:t>能够为后续专业课程学习奠定坚实的理论基础，支撑了</w:t>
            </w:r>
            <w:r>
              <w:rPr>
                <w:rFonts w:hint="eastAsia" w:ascii="Times New Roman" w:hAnsi="Times New Roman" w:eastAsia="宋体" w:cs="宋体"/>
                <w:color w:val="000000"/>
                <w:sz w:val="21"/>
                <w:szCs w:val="21"/>
                <w:highlight w:val="none"/>
                <w:lang w:val="en-US" w:eastAsia="zh-CN" w:bidi="ar-SA"/>
              </w:rPr>
              <w:t>师德规范</w:t>
            </w:r>
            <w:r>
              <w:rPr>
                <w:rFonts w:hint="eastAsia" w:ascii="Times New Roman" w:hAnsi="Times New Roman" w:cs="宋体"/>
                <w:color w:val="000000"/>
                <w:sz w:val="21"/>
                <w:szCs w:val="21"/>
                <w:highlight w:val="none"/>
                <w:lang w:val="en-US" w:eastAsia="zh-CN" w:bidi="ar-SA"/>
              </w:rPr>
              <w:t>、教育情怀、</w:t>
            </w:r>
            <w:r>
              <w:rPr>
                <w:rFonts w:hint="eastAsia" w:ascii="Times New Roman" w:hAnsi="Times New Roman" w:eastAsia="宋体" w:cs="宋体"/>
                <w:color w:val="000000"/>
                <w:sz w:val="21"/>
                <w:szCs w:val="21"/>
                <w:lang w:val="en-US" w:eastAsia="zh-CN" w:bidi="ar-SA"/>
              </w:rPr>
              <w:t>保教知识</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沟通合作</w:t>
            </w:r>
            <w:r>
              <w:rPr>
                <w:rFonts w:hint="eastAsia" w:ascii="Times New Roman" w:hAnsi="Times New Roman" w:cs="宋体"/>
                <w:color w:val="000000"/>
                <w:sz w:val="21"/>
                <w:szCs w:val="21"/>
                <w:lang w:val="en-US" w:eastAsia="zh-CN" w:bidi="ar-SA"/>
              </w:rPr>
              <w:t>等毕业要求，</w:t>
            </w:r>
            <w:r>
              <w:rPr>
                <w:rFonts w:hint="eastAsia"/>
                <w:color w:val="000000"/>
                <w:sz w:val="21"/>
                <w:szCs w:val="21"/>
              </w:rPr>
              <w:t>是</w:t>
            </w:r>
            <w:r>
              <w:rPr>
                <w:rFonts w:hint="eastAsia"/>
                <w:color w:val="000000"/>
                <w:sz w:val="21"/>
                <w:szCs w:val="21"/>
                <w:lang w:val="en-US" w:eastAsia="zh-CN"/>
              </w:rPr>
              <w:t>学生</w:t>
            </w:r>
            <w:r>
              <w:rPr>
                <w:rFonts w:hint="eastAsia"/>
                <w:color w:val="000000"/>
                <w:sz w:val="21"/>
                <w:szCs w:val="21"/>
              </w:rPr>
              <w:t>形成专业素养、丰富专业理论的重要阵地</w:t>
            </w:r>
            <w:r>
              <w:rPr>
                <w:rFonts w:hint="eastAsia"/>
                <w:color w:val="000000"/>
                <w:sz w:val="21"/>
                <w:szCs w:val="21"/>
                <w:lang w:eastAsia="zh-CN"/>
              </w:rPr>
              <w:t>。</w:t>
            </w:r>
            <w:r>
              <w:rPr>
                <w:rFonts w:hint="eastAsia"/>
                <w:color w:val="000000"/>
                <w:sz w:val="21"/>
                <w:szCs w:val="21"/>
              </w:rPr>
              <w:t>本课程以心理学基本理论为基础和指导，研究学前教育现象及其规律的一门科学，主要内容包括学前教育</w:t>
            </w:r>
            <w:r>
              <w:rPr>
                <w:rFonts w:hint="eastAsia" w:ascii="Calibri" w:hAnsi="Calibri" w:cs="Times New Roman"/>
                <w:kern w:val="2"/>
                <w:sz w:val="21"/>
                <w:szCs w:val="21"/>
              </w:rPr>
              <w:t>学导论</w:t>
            </w:r>
            <w:r>
              <w:rPr>
                <w:rFonts w:hint="eastAsia"/>
                <w:color w:val="000000"/>
                <w:sz w:val="21"/>
                <w:szCs w:val="21"/>
              </w:rPr>
              <w:t>、学前教育学的基础、学前教育的经典理论、学前儿童、学前教师、学前课程、学前游戏活动、学前教学活动、学前教育环境、</w:t>
            </w:r>
            <w:r>
              <w:rPr>
                <w:color w:val="000000"/>
                <w:sz w:val="21"/>
                <w:szCs w:val="21"/>
              </w:rPr>
              <w:t>学前教育中的合作与衔接</w:t>
            </w:r>
            <w:r>
              <w:rPr>
                <w:rFonts w:hint="eastAsia"/>
                <w:color w:val="000000"/>
                <w:sz w:val="21"/>
                <w:szCs w:val="21"/>
              </w:rPr>
              <w:t>等。通过本门课程的学习，学生形成对学前儿童教育理论与实践问题的基本认识和态度，掌握学前教育的基本原理；形成对学前儿童、学前教育的正确认识，逐渐形成对专业的认同感、责任感与使命感；同时，形成专业思维，主动建构学前教育学科的逻辑框架与主要脉络，为后续学习其他专业课程</w:t>
            </w:r>
            <w:r>
              <w:rPr>
                <w:rFonts w:hint="eastAsia"/>
                <w:color w:val="000000"/>
                <w:sz w:val="21"/>
                <w:szCs w:val="21"/>
                <w:lang w:val="en-US" w:eastAsia="zh-CN"/>
              </w:rPr>
              <w:t>打下</w:t>
            </w:r>
            <w:r>
              <w:rPr>
                <w:rFonts w:hint="eastAsia"/>
                <w:color w:val="000000"/>
                <w:sz w:val="21"/>
                <w:szCs w:val="21"/>
              </w:rPr>
              <w:t>基础</w:t>
            </w:r>
            <w:r>
              <w:rPr>
                <w:rFonts w:hint="eastAsia"/>
                <w:color w:val="000000"/>
                <w:sz w:val="21"/>
                <w:szCs w:val="21"/>
                <w:lang w:eastAsia="zh-CN"/>
              </w:rPr>
              <w:t>；</w:t>
            </w:r>
            <w:r>
              <w:rPr>
                <w:rFonts w:hint="eastAsia"/>
                <w:color w:val="000000"/>
                <w:sz w:val="21"/>
                <w:szCs w:val="21"/>
              </w:rPr>
              <w:t>具备学前教育教师的职业精神与热情，为学前准教师的专业成长奠定良好的理论基础。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599"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77" w:type="dxa"/>
            <w:gridSpan w:val="5"/>
            <w:tcBorders>
              <w:bottom w:val="double" w:color="auto" w:sz="4" w:space="0"/>
              <w:right w:val="single" w:color="auto" w:sz="12" w:space="0"/>
            </w:tcBorders>
          </w:tcPr>
          <w:p w14:paraId="6C95E2F3">
            <w:pPr>
              <w:widowControl w:val="0"/>
              <w:snapToGrid w:val="0"/>
              <w:spacing w:line="288" w:lineRule="auto"/>
              <w:ind w:firstLine="420" w:firstLineChars="200"/>
              <w:jc w:val="both"/>
              <w:rPr>
                <w:color w:val="000000"/>
                <w:sz w:val="21"/>
                <w:szCs w:val="21"/>
              </w:rPr>
            </w:pPr>
            <w:r>
              <w:rPr>
                <w:rFonts w:hint="eastAsia"/>
                <w:color w:val="000000"/>
                <w:sz w:val="21"/>
                <w:szCs w:val="21"/>
              </w:rPr>
              <w:t>本课程建议学前教育专业</w:t>
            </w:r>
            <w:r>
              <w:rPr>
                <w:rFonts w:hint="eastAsia"/>
                <w:color w:val="000000"/>
                <w:sz w:val="21"/>
                <w:szCs w:val="21"/>
                <w:lang w:val="en-US" w:eastAsia="zh-CN"/>
              </w:rPr>
              <w:t>二</w:t>
            </w:r>
            <w:r>
              <w:rPr>
                <w:rFonts w:hint="eastAsia"/>
                <w:color w:val="000000"/>
                <w:sz w:val="21"/>
                <w:szCs w:val="21"/>
              </w:rPr>
              <w:t>年级学生选课，学生应</w:t>
            </w:r>
            <w:r>
              <w:rPr>
                <w:rFonts w:hint="eastAsia"/>
                <w:color w:val="000000"/>
                <w:sz w:val="21"/>
                <w:szCs w:val="21"/>
                <w:lang w:val="en-US" w:eastAsia="zh-CN"/>
              </w:rPr>
              <w:t>掌握</w:t>
            </w:r>
            <w:r>
              <w:rPr>
                <w:rFonts w:hint="eastAsia"/>
                <w:color w:val="000000"/>
                <w:sz w:val="21"/>
                <w:szCs w:val="21"/>
              </w:rPr>
              <w:t>心理学基础知识</w:t>
            </w:r>
            <w:r>
              <w:rPr>
                <w:rFonts w:hint="eastAsia"/>
                <w:color w:val="000000"/>
                <w:sz w:val="21"/>
                <w:szCs w:val="21"/>
                <w:lang w:eastAsia="zh-CN"/>
              </w:rPr>
              <w:t>，</w:t>
            </w:r>
            <w:r>
              <w:rPr>
                <w:rFonts w:hint="eastAsia"/>
                <w:color w:val="000000"/>
                <w:sz w:val="21"/>
                <w:szCs w:val="21"/>
                <w:lang w:val="en-US" w:eastAsia="zh-CN"/>
              </w:rPr>
              <w:t>对幼儿园活动</w:t>
            </w:r>
            <w:r>
              <w:rPr>
                <w:rFonts w:hint="eastAsia"/>
                <w:color w:val="000000"/>
                <w:sz w:val="21"/>
                <w:szCs w:val="21"/>
              </w:rPr>
              <w:t>有一定的</w:t>
            </w:r>
            <w:r>
              <w:rPr>
                <w:rFonts w:hint="eastAsia"/>
                <w:color w:val="000000"/>
                <w:sz w:val="21"/>
                <w:szCs w:val="21"/>
                <w:lang w:val="en-US" w:eastAsia="zh-CN"/>
              </w:rPr>
              <w:t>认识</w:t>
            </w:r>
            <w:r>
              <w:rPr>
                <w:rFonts w:hint="eastAsia"/>
                <w:color w:val="000000"/>
                <w:sz w:val="21"/>
                <w:szCs w:val="21"/>
              </w:rPr>
              <w:t>，具有一定的阅读能力</w:t>
            </w:r>
            <w:r>
              <w:rPr>
                <w:rFonts w:hint="eastAsia"/>
                <w:color w:val="000000"/>
                <w:sz w:val="21"/>
                <w:szCs w:val="21"/>
                <w:lang w:val="en-US" w:eastAsia="zh-CN"/>
              </w:rPr>
              <w:t>和</w:t>
            </w:r>
            <w:r>
              <w:rPr>
                <w:rFonts w:hint="eastAsia"/>
                <w:color w:val="000000"/>
                <w:sz w:val="21"/>
                <w:szCs w:val="21"/>
              </w:rPr>
              <w:t>自主学习能力。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7" w:hRule="atLeast"/>
        </w:trPr>
        <w:tc>
          <w:tcPr>
            <w:tcW w:w="1599"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38"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33070" cy="273050"/>
                  <wp:effectExtent l="0" t="0" r="9525" b="762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3070" cy="273050"/>
                          </a:xfrm>
                          <a:prstGeom prst="rect">
                            <a:avLst/>
                          </a:prstGeom>
                          <a:noFill/>
                          <a:ln>
                            <a:noFill/>
                          </a:ln>
                        </pic:spPr>
                      </pic:pic>
                    </a:graphicData>
                  </a:graphic>
                </wp:inline>
              </w:drawing>
            </w:r>
            <w:r>
              <w:rPr>
                <w:rFonts w:hint="eastAsia"/>
                <w:sz w:val="21"/>
                <w:szCs w:val="21"/>
              </w:rPr>
              <w:t>（签名）</w:t>
            </w:r>
          </w:p>
        </w:tc>
        <w:tc>
          <w:tcPr>
            <w:tcW w:w="1251" w:type="dxa"/>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288" w:type="dxa"/>
            <w:gridSpan w:val="2"/>
            <w:tcBorders>
              <w:top w:val="double" w:color="auto" w:sz="4" w:space="0"/>
              <w:right w:val="single" w:color="auto" w:sz="12" w:space="0"/>
            </w:tcBorders>
            <w:vAlign w:val="center"/>
          </w:tcPr>
          <w:p w14:paraId="6EEAAA95">
            <w:pPr>
              <w:widowControl w:val="0"/>
              <w:jc w:val="center"/>
              <w:rPr>
                <w:rFonts w:hint="eastAsia" w:ascii="Times New Roman" w:hAnsi="Times New Roman" w:eastAsiaTheme="minorEastAsia"/>
                <w:color w:val="000000"/>
                <w:sz w:val="21"/>
                <w:szCs w:val="21"/>
                <w:lang w:eastAsia="zh-CN"/>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trPr>
        <w:tc>
          <w:tcPr>
            <w:tcW w:w="1599"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38"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51" w:type="dxa"/>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288" w:type="dxa"/>
            <w:gridSpan w:val="2"/>
            <w:tcBorders>
              <w:right w:val="single" w:color="auto" w:sz="12" w:space="0"/>
            </w:tcBorders>
            <w:vAlign w:val="center"/>
          </w:tcPr>
          <w:p w14:paraId="434D49DF">
            <w:pPr>
              <w:widowControl w:val="0"/>
              <w:jc w:val="center"/>
              <w:rPr>
                <w:rFonts w:hint="eastAsia" w:ascii="Times New Roman" w:hAnsi="Times New Roman" w:eastAsiaTheme="minorEastAsia"/>
                <w:color w:val="000000"/>
                <w:sz w:val="21"/>
                <w:szCs w:val="21"/>
                <w:lang w:val="en-US" w:eastAsia="zh-CN"/>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8" w:hRule="atLeast"/>
        </w:trPr>
        <w:tc>
          <w:tcPr>
            <w:tcW w:w="1599"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38"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51" w:type="dxa"/>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288" w:type="dxa"/>
            <w:gridSpan w:val="2"/>
            <w:tcBorders>
              <w:bottom w:val="single" w:color="auto" w:sz="12" w:space="0"/>
              <w:right w:val="single" w:color="auto" w:sz="12" w:space="0"/>
            </w:tcBorders>
            <w:vAlign w:val="center"/>
          </w:tcPr>
          <w:p w14:paraId="0865EC58">
            <w:pPr>
              <w:widowControl w:val="0"/>
              <w:jc w:val="center"/>
              <w:rPr>
                <w:rFonts w:hint="eastAsia" w:ascii="Times New Roman" w:hAnsi="Times New Roman" w:eastAsiaTheme="minorEastAsia"/>
                <w:color w:val="000000"/>
                <w:sz w:val="21"/>
                <w:szCs w:val="21"/>
                <w:lang w:eastAsia="zh-CN"/>
              </w:rPr>
            </w:pPr>
          </w:p>
        </w:tc>
      </w:tr>
    </w:tbl>
    <w:p w14:paraId="33F2E72F">
      <w:pPr>
        <w:pStyle w:val="16"/>
        <w:spacing w:before="326" w:beforeLines="100" w:line="360" w:lineRule="auto"/>
        <w:rPr>
          <w:rFonts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4FA1CB46">
      <w:pPr>
        <w:pStyle w:val="17"/>
        <w:spacing w:before="81" w:after="163"/>
        <w:rPr>
          <w:rFonts w:hint="eastAsia"/>
        </w:rPr>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4202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6064CF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5964650">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AE0DF2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1813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C00A41F">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9382F50">
            <w:pPr>
              <w:jc w:val="left"/>
              <w:rPr>
                <w:rFonts w:hint="eastAsia" w:ascii="宋体" w:hAnsi="宋体" w:eastAsia="宋体" w:cs="宋体"/>
                <w:bCs/>
                <w:color w:val="000000"/>
                <w:sz w:val="21"/>
                <w:szCs w:val="21"/>
                <w:lang w:val="en-US" w:eastAsia="zh-CN" w:bidi="ar-SA"/>
              </w:rPr>
            </w:pPr>
            <w:bookmarkStart w:id="0" w:name="_Hlk189494597"/>
            <w:r>
              <w:rPr>
                <w:rFonts w:hint="eastAsia" w:ascii="宋体" w:hAnsi="宋体" w:eastAsia="宋体" w:cs="宋体"/>
                <w:bCs/>
                <w:color w:val="000000"/>
                <w:sz w:val="21"/>
                <w:szCs w:val="21"/>
                <w:lang w:val="en-US" w:eastAsia="zh-CN" w:bidi="ar-SA"/>
              </w:rPr>
              <w:t>熟悉学前教育的基本理论和基本知识，增强对学前教育基本问题的理解与认识。</w:t>
            </w:r>
            <w:bookmarkEnd w:id="0"/>
          </w:p>
        </w:tc>
      </w:tr>
      <w:tr w14:paraId="5BAB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3F6C758">
            <w:pPr>
              <w:snapToGrid w:val="0"/>
              <w:jc w:val="center"/>
              <w:rPr>
                <w:rFonts w:hint="eastAsia" w:ascii="黑体" w:hAnsi="黑体" w:eastAsia="黑体"/>
                <w:bCs/>
                <w:color w:val="000000"/>
                <w:sz w:val="21"/>
                <w:szCs w:val="18"/>
              </w:rPr>
            </w:pPr>
          </w:p>
        </w:tc>
        <w:tc>
          <w:tcPr>
            <w:tcW w:w="764" w:type="dxa"/>
            <w:shd w:val="clear" w:color="auto" w:fill="auto"/>
            <w:vAlign w:val="center"/>
          </w:tcPr>
          <w:p w14:paraId="4D4A2DB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31C7DE61">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掌握学前教育课程、游戏、教学、环境创设、家园合作和幼小衔接活动的基本知识。</w:t>
            </w:r>
          </w:p>
        </w:tc>
      </w:tr>
      <w:tr w14:paraId="63717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39E2363F">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64" w:type="dxa"/>
            <w:shd w:val="clear" w:color="auto" w:fill="auto"/>
            <w:vAlign w:val="center"/>
          </w:tcPr>
          <w:p w14:paraId="6B221B2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7540B4F9">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运用所学理论分析学前教育现象和问题，提升思考问题、分析问题的能力。</w:t>
            </w:r>
          </w:p>
        </w:tc>
      </w:tr>
      <w:tr w14:paraId="0D241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BA11CA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6D95ED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AF9FEA1">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树立科学的儿童观、教育观，对儿童具有爱心、耐心、责任心，具有学前教育服务情怀。</w:t>
            </w:r>
          </w:p>
        </w:tc>
      </w:tr>
      <w:tr w14:paraId="5033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6FFFE6">
            <w:pPr>
              <w:snapToGrid w:val="0"/>
              <w:jc w:val="center"/>
              <w:rPr>
                <w:rFonts w:ascii="Arial" w:hAnsi="Arial" w:eastAsia="黑体" w:cs="Arial"/>
                <w:bCs/>
                <w:color w:val="000000"/>
                <w:sz w:val="21"/>
                <w:szCs w:val="18"/>
              </w:rPr>
            </w:pPr>
          </w:p>
        </w:tc>
        <w:tc>
          <w:tcPr>
            <w:tcW w:w="764" w:type="dxa"/>
            <w:shd w:val="clear" w:color="auto" w:fill="auto"/>
            <w:vAlign w:val="center"/>
          </w:tcPr>
          <w:p w14:paraId="37B90F1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1840153">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树立正确的教师观，认识学前教师工作的意义，逐渐形成对学前教育专业的认同感、责任感与使命感。</w:t>
            </w:r>
          </w:p>
        </w:tc>
      </w:tr>
    </w:tbl>
    <w:p w14:paraId="089BD5FC">
      <w:pPr>
        <w:pStyle w:val="17"/>
        <w:numPr>
          <w:ilvl w:val="0"/>
          <w:numId w:val="1"/>
        </w:numPr>
        <w:spacing w:before="163" w:beforeLines="50" w:after="163"/>
        <w:rPr>
          <w:rFonts w:hint="eastAsia"/>
        </w:rPr>
      </w:pPr>
      <w:r>
        <w:rPr>
          <w:rFonts w:hint="eastAsia"/>
        </w:rPr>
        <w:t>毕业要求</w:t>
      </w:r>
      <w:r>
        <w:rPr>
          <w:rFonts w:hint="eastAsia"/>
          <w:lang w:val="en-US" w:eastAsia="zh-CN"/>
        </w:rPr>
        <w:t>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2EAD43A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40975D3E">
            <w:pPr>
              <w:pStyle w:val="13"/>
              <w:rPr>
                <w:szCs w:val="16"/>
              </w:rPr>
            </w:pPr>
            <w:r>
              <w:rPr>
                <w:rFonts w:hint="eastAsia" w:ascii="黑体" w:hAnsi="黑体"/>
                <w:szCs w:val="18"/>
              </w:rPr>
              <w:t>毕业要求</w:t>
            </w:r>
          </w:p>
        </w:tc>
        <w:tc>
          <w:tcPr>
            <w:tcW w:w="3541" w:type="dxa"/>
            <w:tcBorders>
              <w:tl2br w:val="nil"/>
              <w:tr2bl w:val="nil"/>
            </w:tcBorders>
            <w:vAlign w:val="center"/>
          </w:tcPr>
          <w:p w14:paraId="03FFE8B5">
            <w:pPr>
              <w:pStyle w:val="13"/>
              <w:rPr>
                <w:szCs w:val="16"/>
              </w:rPr>
            </w:pPr>
            <w:r>
              <w:rPr>
                <w:rFonts w:hint="eastAsia"/>
                <w:szCs w:val="16"/>
              </w:rPr>
              <w:t>指标点</w:t>
            </w:r>
          </w:p>
        </w:tc>
        <w:tc>
          <w:tcPr>
            <w:tcW w:w="1200" w:type="dxa"/>
            <w:tcBorders>
              <w:tl2br w:val="nil"/>
              <w:tr2bl w:val="nil"/>
            </w:tcBorders>
            <w:shd w:val="clear" w:color="auto" w:fill="auto"/>
            <w:vAlign w:val="center"/>
          </w:tcPr>
          <w:p w14:paraId="092C2CD2">
            <w:pPr>
              <w:pStyle w:val="13"/>
              <w:rPr>
                <w:szCs w:val="16"/>
              </w:rPr>
            </w:pPr>
            <w:r>
              <w:rPr>
                <w:rFonts w:hint="eastAsia"/>
                <w:szCs w:val="16"/>
              </w:rPr>
              <w:t>支撑度</w:t>
            </w:r>
          </w:p>
        </w:tc>
        <w:tc>
          <w:tcPr>
            <w:tcW w:w="2627" w:type="dxa"/>
            <w:tcBorders>
              <w:tl2br w:val="nil"/>
              <w:tr2bl w:val="nil"/>
            </w:tcBorders>
            <w:vAlign w:val="center"/>
          </w:tcPr>
          <w:p w14:paraId="16881E52">
            <w:pPr>
              <w:pStyle w:val="13"/>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3F2C0DF1">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XQ01</w:t>
            </w:r>
          </w:p>
          <w:p w14:paraId="468121D6">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highlight w:val="none"/>
                <w:lang w:val="en-US" w:eastAsia="zh-CN" w:bidi="ar-SA"/>
              </w:rPr>
              <w:t>师德规范</w:t>
            </w:r>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r>
              <w:rPr>
                <w:rFonts w:cs="宋体" w:asciiTheme="minorEastAsia" w:hAnsiTheme="minorEastAsia" w:eastAsiaTheme="minorEastAsia"/>
                <w:color w:val="000000"/>
                <w:sz w:val="21"/>
                <w:szCs w:val="21"/>
                <w:lang w:val="en-US" w:eastAsia="zh-CN" w:bidi="ar-SA"/>
              </w:rPr>
              <w:t>②</w:t>
            </w:r>
            <w:r>
              <w:rPr>
                <w:rFonts w:hint="eastAsia" w:cs="宋体" w:asciiTheme="minorEastAsia" w:hAnsiTheme="minorEastAsia" w:eastAsiaTheme="minorEastAsia"/>
                <w:color w:val="000000"/>
                <w:sz w:val="21"/>
                <w:szCs w:val="21"/>
                <w:lang w:val="en-US" w:eastAsia="zh-CN" w:bidi="ar-S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bidi="ar-SA"/>
              </w:rPr>
              <w:t>M</w:t>
            </w:r>
          </w:p>
        </w:tc>
        <w:tc>
          <w:tcPr>
            <w:tcW w:w="2627" w:type="dxa"/>
            <w:tcBorders>
              <w:tl2br w:val="nil"/>
              <w:tr2bl w:val="nil"/>
            </w:tcBorders>
            <w:vAlign w:val="center"/>
          </w:tcPr>
          <w:p w14:paraId="019154F0">
            <w:pPr>
              <w:jc w:val="both"/>
              <w:rPr>
                <w:rFonts w:hint="eastAsia" w:cs="宋体" w:asciiTheme="minorEastAsia" w:hAnsiTheme="minorEastAsia" w:eastAsiaTheme="minorEastAsia"/>
                <w:color w:val="000000"/>
                <w:sz w:val="21"/>
                <w:szCs w:val="21"/>
                <w:lang w:val="en-US" w:eastAsia="zh-CN" w:bidi="ar-SA"/>
              </w:rPr>
            </w:pPr>
            <w:r>
              <w:rPr>
                <w:rFonts w:hint="eastAsia" w:cs="宋体"/>
                <w:bCs/>
                <w:color w:val="000000"/>
                <w:sz w:val="21"/>
                <w:szCs w:val="21"/>
                <w:lang w:val="en-US" w:eastAsia="zh-CN" w:bidi="ar-SA"/>
              </w:rPr>
              <w:t>5.</w:t>
            </w:r>
            <w:r>
              <w:rPr>
                <w:rFonts w:hint="eastAsia" w:ascii="宋体" w:hAnsi="宋体" w:eastAsia="宋体" w:cs="宋体"/>
                <w:bCs/>
                <w:color w:val="000000"/>
                <w:sz w:val="21"/>
                <w:szCs w:val="21"/>
                <w:lang w:val="en-US" w:eastAsia="zh-CN" w:bidi="ar-SA"/>
              </w:rPr>
              <w:t>树立正确的教师观，认识学前教师工作的意义，逐渐形成对学前教育专业的认同感、责任感与使命感。</w:t>
            </w:r>
          </w:p>
        </w:tc>
      </w:tr>
      <w:tr w14:paraId="18F5C18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0" w:hRule="atLeast"/>
          <w:jc w:val="center"/>
        </w:trPr>
        <w:tc>
          <w:tcPr>
            <w:tcW w:w="1136" w:type="dxa"/>
            <w:tcBorders>
              <w:tl2br w:val="nil"/>
              <w:tr2bl w:val="nil"/>
            </w:tcBorders>
            <w:shd w:val="clear" w:color="auto" w:fill="auto"/>
            <w:vAlign w:val="center"/>
          </w:tcPr>
          <w:p w14:paraId="393E73CF">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w:t>
            </w:r>
            <w:r>
              <w:rPr>
                <w:rFonts w:hint="eastAsia" w:ascii="Times New Roman" w:hAnsi="Times New Roman" w:cs="宋体"/>
                <w:color w:val="000000"/>
                <w:sz w:val="21"/>
                <w:szCs w:val="21"/>
                <w:lang w:val="en-US" w:eastAsia="zh-CN" w:bidi="ar-SA"/>
              </w:rPr>
              <w:t>2</w:t>
            </w:r>
          </w:p>
          <w:p w14:paraId="6ED6ED5A">
            <w:pPr>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教育情怀</w:t>
            </w:r>
          </w:p>
        </w:tc>
        <w:tc>
          <w:tcPr>
            <w:tcW w:w="3541" w:type="dxa"/>
            <w:tcBorders>
              <w:tl2br w:val="nil"/>
              <w:tr2bl w:val="nil"/>
            </w:tcBorders>
            <w:vAlign w:val="center"/>
          </w:tcPr>
          <w:p w14:paraId="3187D8A2">
            <w:pPr>
              <w:jc w:val="both"/>
              <w:rPr>
                <w:rFonts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200" w:type="dxa"/>
            <w:tcBorders>
              <w:tl2br w:val="nil"/>
              <w:tr2bl w:val="nil"/>
            </w:tcBorders>
            <w:shd w:val="clear" w:color="auto" w:fill="auto"/>
            <w:vAlign w:val="center"/>
          </w:tcPr>
          <w:p w14:paraId="1D29360C">
            <w:pPr>
              <w:jc w:val="center"/>
              <w:rPr>
                <w:rFonts w:hint="eastAsia" w:cs="宋体"/>
                <w:color w:val="000000"/>
                <w:sz w:val="21"/>
                <w:szCs w:val="21"/>
                <w:lang w:val="en-US" w:eastAsia="zh-CN" w:bidi="ar-SA"/>
              </w:rPr>
            </w:pPr>
            <w:r>
              <w:rPr>
                <w:rFonts w:hint="eastAsia" w:cs="宋体"/>
                <w:color w:val="000000"/>
                <w:sz w:val="21"/>
                <w:szCs w:val="21"/>
                <w:lang w:val="en-US" w:eastAsia="zh-CN" w:bidi="ar-SA"/>
              </w:rPr>
              <w:t>M</w:t>
            </w:r>
          </w:p>
        </w:tc>
        <w:tc>
          <w:tcPr>
            <w:tcW w:w="2627" w:type="dxa"/>
            <w:tcBorders>
              <w:tl2br w:val="nil"/>
              <w:tr2bl w:val="nil"/>
            </w:tcBorders>
            <w:vAlign w:val="center"/>
          </w:tcPr>
          <w:p w14:paraId="4898EF5F">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4.</w:t>
            </w:r>
            <w:r>
              <w:rPr>
                <w:rFonts w:hint="eastAsia" w:ascii="宋体" w:hAnsi="宋体" w:eastAsia="宋体" w:cs="宋体"/>
                <w:bCs/>
                <w:color w:val="000000"/>
                <w:sz w:val="21"/>
                <w:szCs w:val="21"/>
                <w:lang w:val="en-US" w:eastAsia="zh-CN" w:bidi="ar-SA"/>
              </w:rPr>
              <w:t>树立科学的儿童观、教育观，对儿童具有爱心、耐心、责任心，具有学前教育服务情怀。</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0" w:hRule="atLeast"/>
          <w:jc w:val="center"/>
        </w:trPr>
        <w:tc>
          <w:tcPr>
            <w:tcW w:w="1136" w:type="dxa"/>
            <w:tcBorders>
              <w:tl2br w:val="nil"/>
              <w:tr2bl w:val="nil"/>
            </w:tcBorders>
            <w:shd w:val="clear" w:color="auto" w:fill="auto"/>
            <w:vAlign w:val="center"/>
          </w:tcPr>
          <w:p w14:paraId="6C0AE113">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78699846">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t>
            </w:r>
          </w:p>
          <w:p w14:paraId="28FBE6F1">
            <w:pPr>
              <w:jc w:val="both"/>
              <w:rPr>
                <w:rFonts w:hint="eastAsia" w:ascii="Times New Roman" w:hAnsi="Times New Roman" w:eastAsia="宋体" w:cs="宋体"/>
                <w:color w:val="000000"/>
                <w:sz w:val="21"/>
                <w:szCs w:val="21"/>
                <w:lang w:val="en-US" w:eastAsia="zh-CN" w:bidi="ar-SA"/>
              </w:rPr>
            </w:pP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57AC55FA">
            <w:pPr>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1.</w:t>
            </w:r>
            <w:r>
              <w:rPr>
                <w:rFonts w:hint="eastAsia" w:ascii="宋体" w:hAnsi="宋体" w:eastAsia="宋体" w:cs="宋体"/>
                <w:bCs/>
                <w:color w:val="000000"/>
                <w:sz w:val="21"/>
                <w:szCs w:val="21"/>
                <w:lang w:val="en-US" w:eastAsia="zh-CN" w:bidi="ar-SA"/>
              </w:rPr>
              <w:t>熟悉学前教育的基本理论和基本知识，增强对学前教育基本问题的理解与认识。</w:t>
            </w:r>
          </w:p>
        </w:tc>
      </w:tr>
      <w:tr w14:paraId="6CF66EB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0" w:hRule="atLeast"/>
          <w:jc w:val="center"/>
        </w:trPr>
        <w:tc>
          <w:tcPr>
            <w:tcW w:w="1136" w:type="dxa"/>
            <w:tcBorders>
              <w:tl2br w:val="nil"/>
              <w:tr2bl w:val="nil"/>
            </w:tcBorders>
            <w:shd w:val="clear" w:color="auto" w:fill="auto"/>
            <w:vAlign w:val="center"/>
          </w:tcPr>
          <w:p w14:paraId="187763BA">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1E49110C">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11134A5B">
            <w:pPr>
              <w:jc w:val="both"/>
              <w:rPr>
                <w:rFonts w:ascii="Times New Roman" w:hAnsi="Times New Roman" w:eastAsia="宋体" w:cs="Times New Roman"/>
                <w:bCs/>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③知识整合：理解幼儿园教育的整合特性，认同不同领域知识之间、理论与实践之间的联系与整合。主动尝试领域渗透与知识整合，形成专业知识结构体系。</w:t>
            </w:r>
          </w:p>
        </w:tc>
        <w:tc>
          <w:tcPr>
            <w:tcW w:w="1200" w:type="dxa"/>
            <w:tcBorders>
              <w:tl2br w:val="nil"/>
              <w:tr2bl w:val="nil"/>
            </w:tcBorders>
            <w:shd w:val="clear" w:color="auto" w:fill="auto"/>
            <w:vAlign w:val="center"/>
          </w:tcPr>
          <w:p w14:paraId="1EEF08B7">
            <w:pPr>
              <w:jc w:val="center"/>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0D65138F">
            <w:pPr>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2</w:t>
            </w:r>
            <w:r>
              <w:rPr>
                <w:rFonts w:hint="eastAsia" w:ascii="宋体" w:hAnsi="宋体" w:eastAsia="宋体" w:cs="宋体"/>
                <w:bCs/>
                <w:color w:val="000000"/>
                <w:sz w:val="21"/>
                <w:szCs w:val="21"/>
                <w:lang w:val="en-US" w:eastAsia="zh-CN" w:bidi="ar-SA"/>
              </w:rPr>
              <w:t>.掌握学前教育课程、游戏、教学、环境创设、家园合作和幼小衔接活动的基本知识。</w:t>
            </w:r>
          </w:p>
        </w:tc>
      </w:tr>
      <w:tr w14:paraId="5AD4BEA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3E8C719B">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XQ08</w:t>
            </w:r>
          </w:p>
          <w:p w14:paraId="64E41A90">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沟通合作</w:t>
            </w:r>
          </w:p>
        </w:tc>
        <w:tc>
          <w:tcPr>
            <w:tcW w:w="3541" w:type="dxa"/>
            <w:tcBorders>
              <w:tl2br w:val="nil"/>
              <w:tr2bl w:val="nil"/>
            </w:tcBorders>
            <w:vAlign w:val="center"/>
          </w:tcPr>
          <w:p w14:paraId="6CA97147">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200" w:type="dxa"/>
            <w:tcBorders>
              <w:tl2br w:val="nil"/>
              <w:tr2bl w:val="nil"/>
            </w:tcBorders>
            <w:shd w:val="clear" w:color="auto" w:fill="auto"/>
            <w:vAlign w:val="center"/>
          </w:tcPr>
          <w:p w14:paraId="18DAA47C">
            <w:pPr>
              <w:jc w:val="center"/>
              <w:rPr>
                <w:rFonts w:hint="default" w:ascii="宋体" w:hAnsi="宋体" w:eastAsia="宋体" w:cs="宋体"/>
                <w:color w:val="000000"/>
                <w:sz w:val="21"/>
                <w:szCs w:val="21"/>
                <w:lang w:val="en-US" w:eastAsia="zh-CN" w:bidi="ar-SA"/>
              </w:rPr>
            </w:pPr>
            <w:r>
              <w:rPr>
                <w:rFonts w:hint="eastAsia" w:cs="宋体"/>
                <w:color w:val="000000"/>
                <w:sz w:val="21"/>
                <w:szCs w:val="21"/>
                <w:lang w:val="en-US" w:eastAsia="zh-CN" w:bidi="ar-SA"/>
              </w:rPr>
              <w:t>L</w:t>
            </w:r>
          </w:p>
        </w:tc>
        <w:tc>
          <w:tcPr>
            <w:tcW w:w="2627" w:type="dxa"/>
            <w:tcBorders>
              <w:tl2br w:val="nil"/>
              <w:tr2bl w:val="nil"/>
            </w:tcBorders>
            <w:vAlign w:val="center"/>
          </w:tcPr>
          <w:p w14:paraId="6E768D87">
            <w:pPr>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3</w:t>
            </w:r>
            <w:r>
              <w:rPr>
                <w:rFonts w:hint="eastAsia" w:ascii="宋体" w:hAnsi="宋体" w:eastAsia="宋体" w:cs="宋体"/>
                <w:bCs/>
                <w:color w:val="000000"/>
                <w:sz w:val="21"/>
                <w:szCs w:val="21"/>
                <w:lang w:val="en-US" w:eastAsia="zh-CN" w:bidi="ar-SA"/>
              </w:rPr>
              <w:t>.运用所学理论分析学前教育现象和问题，提升思考问题、分析问题的能力。</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2657"/>
        <w:gridCol w:w="1234"/>
        <w:gridCol w:w="1140"/>
        <w:gridCol w:w="1192"/>
        <w:gridCol w:w="1140"/>
        <w:gridCol w:w="1113"/>
      </w:tblGrid>
      <w:tr w14:paraId="3C9D3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2657" w:type="dxa"/>
            <w:tcBorders>
              <w:tl2br w:val="nil"/>
              <w:tr2bl w:val="nil"/>
            </w:tcBorders>
            <w:vAlign w:val="center"/>
          </w:tcPr>
          <w:p w14:paraId="0BBFED6D">
            <w:pPr>
              <w:jc w:val="center"/>
              <w:rPr>
                <w:rFonts w:hint="eastAsia" w:ascii="宋体" w:hAnsi="宋体" w:eastAsia="宋体" w:cs="宋体"/>
                <w:color w:val="000000"/>
                <w:sz w:val="22"/>
                <w:szCs w:val="22"/>
                <w:highlight w:val="none"/>
                <w:lang w:val="en-US" w:eastAsia="zh-CN" w:bidi="ar-SA"/>
              </w:rPr>
            </w:pPr>
            <w:r>
              <w:rPr>
                <w:rFonts w:hint="eastAsia" w:ascii="Arial" w:hAnsi="Arial" w:eastAsia="黑体" w:cs="宋体"/>
                <w:bCs/>
                <w:color w:val="000000"/>
                <w:sz w:val="22"/>
                <w:szCs w:val="18"/>
                <w:highlight w:val="none"/>
                <w:lang w:val="en-US" w:eastAsia="zh-CN" w:bidi="ar-SA"/>
              </w:rPr>
              <w:t>教学单元</w:t>
            </w:r>
          </w:p>
        </w:tc>
        <w:tc>
          <w:tcPr>
            <w:tcW w:w="1234" w:type="dxa"/>
            <w:tcBorders>
              <w:tl2br w:val="nil"/>
              <w:tr2bl w:val="nil"/>
            </w:tcBorders>
            <w:vAlign w:val="center"/>
          </w:tcPr>
          <w:p w14:paraId="4CB82186">
            <w:pPr>
              <w:pStyle w:val="13"/>
              <w:jc w:val="center"/>
              <w:rPr>
                <w:rFonts w:hint="eastAsia"/>
                <w:sz w:val="22"/>
                <w:szCs w:val="18"/>
                <w:highlight w:val="none"/>
              </w:rPr>
            </w:pPr>
            <w:r>
              <w:rPr>
                <w:rFonts w:hint="eastAsia"/>
                <w:sz w:val="22"/>
                <w:szCs w:val="18"/>
                <w:highlight w:val="none"/>
              </w:rPr>
              <w:t>课程</w:t>
            </w:r>
          </w:p>
          <w:p w14:paraId="2BFD73A1">
            <w:pPr>
              <w:pStyle w:val="13"/>
              <w:jc w:val="center"/>
              <w:rPr>
                <w:rFonts w:hint="eastAsia"/>
                <w:sz w:val="22"/>
                <w:szCs w:val="21"/>
                <w:highlight w:val="none"/>
              </w:rPr>
            </w:pPr>
            <w:r>
              <w:rPr>
                <w:rFonts w:hint="eastAsia"/>
                <w:sz w:val="22"/>
                <w:szCs w:val="18"/>
                <w:highlight w:val="none"/>
              </w:rPr>
              <w:t>目标1</w:t>
            </w:r>
          </w:p>
        </w:tc>
        <w:tc>
          <w:tcPr>
            <w:tcW w:w="1140" w:type="dxa"/>
            <w:tcBorders>
              <w:tl2br w:val="nil"/>
              <w:tr2bl w:val="nil"/>
            </w:tcBorders>
            <w:vAlign w:val="center"/>
          </w:tcPr>
          <w:p w14:paraId="316479D8">
            <w:pPr>
              <w:pStyle w:val="13"/>
              <w:jc w:val="center"/>
              <w:rPr>
                <w:rFonts w:hint="eastAsia"/>
                <w:sz w:val="22"/>
                <w:szCs w:val="18"/>
                <w:highlight w:val="none"/>
              </w:rPr>
            </w:pPr>
            <w:r>
              <w:rPr>
                <w:rFonts w:hint="eastAsia"/>
                <w:sz w:val="22"/>
                <w:szCs w:val="18"/>
                <w:highlight w:val="none"/>
              </w:rPr>
              <w:t>课程</w:t>
            </w:r>
          </w:p>
          <w:p w14:paraId="52A55999">
            <w:pPr>
              <w:pStyle w:val="13"/>
              <w:jc w:val="center"/>
              <w:rPr>
                <w:sz w:val="22"/>
                <w:szCs w:val="21"/>
                <w:highlight w:val="none"/>
              </w:rPr>
            </w:pPr>
            <w:r>
              <w:rPr>
                <w:rFonts w:hint="eastAsia"/>
                <w:sz w:val="22"/>
                <w:szCs w:val="18"/>
                <w:highlight w:val="none"/>
              </w:rPr>
              <w:t>目标2</w:t>
            </w:r>
          </w:p>
        </w:tc>
        <w:tc>
          <w:tcPr>
            <w:tcW w:w="1192" w:type="dxa"/>
            <w:tcBorders>
              <w:tl2br w:val="nil"/>
              <w:tr2bl w:val="nil"/>
            </w:tcBorders>
            <w:vAlign w:val="center"/>
          </w:tcPr>
          <w:p w14:paraId="1500DF12">
            <w:pPr>
              <w:pStyle w:val="13"/>
              <w:jc w:val="center"/>
              <w:rPr>
                <w:rFonts w:hint="eastAsia"/>
                <w:sz w:val="22"/>
                <w:szCs w:val="18"/>
                <w:highlight w:val="none"/>
              </w:rPr>
            </w:pPr>
            <w:r>
              <w:rPr>
                <w:rFonts w:hint="eastAsia"/>
                <w:sz w:val="22"/>
                <w:szCs w:val="18"/>
                <w:highlight w:val="none"/>
              </w:rPr>
              <w:t>课程</w:t>
            </w:r>
          </w:p>
          <w:p w14:paraId="39856DF6">
            <w:pPr>
              <w:pStyle w:val="13"/>
              <w:jc w:val="center"/>
              <w:rPr>
                <w:rFonts w:hint="eastAsia"/>
                <w:sz w:val="22"/>
                <w:szCs w:val="21"/>
                <w:highlight w:val="none"/>
              </w:rPr>
            </w:pPr>
            <w:r>
              <w:rPr>
                <w:rFonts w:hint="eastAsia"/>
                <w:sz w:val="22"/>
                <w:szCs w:val="18"/>
                <w:highlight w:val="none"/>
              </w:rPr>
              <w:t>目标3</w:t>
            </w:r>
          </w:p>
        </w:tc>
        <w:tc>
          <w:tcPr>
            <w:tcW w:w="1140" w:type="dxa"/>
            <w:tcBorders>
              <w:tl2br w:val="nil"/>
              <w:tr2bl w:val="nil"/>
            </w:tcBorders>
            <w:vAlign w:val="center"/>
          </w:tcPr>
          <w:p w14:paraId="00FD4054">
            <w:pPr>
              <w:pStyle w:val="13"/>
              <w:jc w:val="center"/>
              <w:rPr>
                <w:rFonts w:hint="eastAsia"/>
                <w:sz w:val="22"/>
                <w:szCs w:val="18"/>
                <w:highlight w:val="none"/>
              </w:rPr>
            </w:pPr>
            <w:r>
              <w:rPr>
                <w:rFonts w:hint="eastAsia"/>
                <w:sz w:val="22"/>
                <w:szCs w:val="18"/>
                <w:highlight w:val="none"/>
              </w:rPr>
              <w:t>课程</w:t>
            </w:r>
          </w:p>
          <w:p w14:paraId="05192A1F">
            <w:pPr>
              <w:pStyle w:val="13"/>
              <w:jc w:val="center"/>
              <w:rPr>
                <w:rFonts w:hint="eastAsia" w:eastAsia="黑体"/>
                <w:sz w:val="22"/>
                <w:szCs w:val="18"/>
                <w:highlight w:val="none"/>
                <w:lang w:eastAsia="zh-CN"/>
              </w:rPr>
            </w:pPr>
            <w:r>
              <w:rPr>
                <w:rFonts w:hint="eastAsia"/>
                <w:sz w:val="22"/>
                <w:szCs w:val="18"/>
                <w:highlight w:val="none"/>
              </w:rPr>
              <w:t>目标</w:t>
            </w:r>
            <w:r>
              <w:rPr>
                <w:rFonts w:hint="eastAsia"/>
                <w:sz w:val="22"/>
                <w:szCs w:val="18"/>
                <w:highlight w:val="none"/>
                <w:lang w:val="en-US" w:eastAsia="zh-CN"/>
              </w:rPr>
              <w:t>4</w:t>
            </w:r>
          </w:p>
        </w:tc>
        <w:tc>
          <w:tcPr>
            <w:tcW w:w="1113" w:type="dxa"/>
            <w:tcBorders>
              <w:tl2br w:val="nil"/>
              <w:tr2bl w:val="nil"/>
            </w:tcBorders>
            <w:vAlign w:val="center"/>
          </w:tcPr>
          <w:p w14:paraId="655CEEC8">
            <w:pPr>
              <w:pStyle w:val="13"/>
              <w:jc w:val="center"/>
              <w:rPr>
                <w:rFonts w:hint="eastAsia"/>
                <w:sz w:val="22"/>
                <w:szCs w:val="18"/>
                <w:highlight w:val="none"/>
              </w:rPr>
            </w:pPr>
            <w:r>
              <w:rPr>
                <w:rFonts w:hint="eastAsia"/>
                <w:sz w:val="22"/>
                <w:szCs w:val="18"/>
                <w:highlight w:val="none"/>
              </w:rPr>
              <w:t>课程</w:t>
            </w:r>
          </w:p>
          <w:p w14:paraId="342BADEC">
            <w:pPr>
              <w:pStyle w:val="13"/>
              <w:jc w:val="center"/>
              <w:rPr>
                <w:rFonts w:hint="eastAsia" w:eastAsia="黑体"/>
                <w:sz w:val="22"/>
                <w:szCs w:val="18"/>
                <w:highlight w:val="none"/>
                <w:lang w:eastAsia="zh-CN"/>
              </w:rPr>
            </w:pPr>
            <w:r>
              <w:rPr>
                <w:rFonts w:hint="eastAsia"/>
                <w:sz w:val="22"/>
                <w:szCs w:val="18"/>
                <w:highlight w:val="none"/>
              </w:rPr>
              <w:t>目标</w:t>
            </w:r>
            <w:r>
              <w:rPr>
                <w:rFonts w:hint="eastAsia"/>
                <w:sz w:val="22"/>
                <w:szCs w:val="18"/>
                <w:highlight w:val="none"/>
                <w:lang w:val="en-US" w:eastAsia="zh-CN"/>
              </w:rPr>
              <w:t>5</w:t>
            </w:r>
          </w:p>
        </w:tc>
      </w:tr>
      <w:tr w14:paraId="22901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2657" w:type="dxa"/>
            <w:tcBorders>
              <w:tl2br w:val="nil"/>
              <w:tr2bl w:val="nil"/>
            </w:tcBorders>
            <w:vAlign w:val="top"/>
          </w:tcPr>
          <w:p w14:paraId="07228078">
            <w:pPr>
              <w:snapToGrid w:val="0"/>
              <w:spacing w:line="288" w:lineRule="auto"/>
              <w:ind w:right="26" w:rightChars="0"/>
              <w:rPr>
                <w:rFonts w:ascii="Times New Roman" w:hAnsi="Times New Roman" w:eastAsia="宋体" w:cs="宋体"/>
                <w:color w:val="000000"/>
                <w:sz w:val="21"/>
                <w:szCs w:val="21"/>
                <w:highlight w:val="none"/>
                <w:lang w:val="en-US" w:eastAsia="zh-CN" w:bidi="ar-SA"/>
              </w:rPr>
            </w:pPr>
            <w:r>
              <w:rPr>
                <w:rFonts w:hint="eastAsia" w:ascii="Calibri" w:hAnsi="Calibri" w:cs="Times New Roman"/>
                <w:kern w:val="2"/>
                <w:sz w:val="21"/>
                <w:szCs w:val="21"/>
                <w:highlight w:val="none"/>
              </w:rPr>
              <w:t>第一单元 学前教育学导论</w:t>
            </w:r>
          </w:p>
        </w:tc>
        <w:tc>
          <w:tcPr>
            <w:tcW w:w="1234" w:type="dxa"/>
            <w:tcBorders>
              <w:tl2br w:val="nil"/>
              <w:tr2bl w:val="nil"/>
            </w:tcBorders>
            <w:vAlign w:val="center"/>
          </w:tcPr>
          <w:p w14:paraId="3C9E70A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5098C8E4">
            <w:pPr>
              <w:jc w:val="center"/>
              <w:rPr>
                <w:rFonts w:ascii="Times New Roman" w:hAnsi="Times New Roman" w:eastAsia="宋体" w:cs="宋体"/>
                <w:color w:val="000000"/>
                <w:sz w:val="21"/>
                <w:szCs w:val="21"/>
                <w:highlight w:val="none"/>
                <w:lang w:val="en-US" w:eastAsia="zh-CN" w:bidi="ar-SA"/>
              </w:rPr>
            </w:pPr>
          </w:p>
        </w:tc>
        <w:tc>
          <w:tcPr>
            <w:tcW w:w="1192" w:type="dxa"/>
            <w:tcBorders>
              <w:tl2br w:val="nil"/>
              <w:tr2bl w:val="nil"/>
            </w:tcBorders>
            <w:vAlign w:val="center"/>
          </w:tcPr>
          <w:p w14:paraId="4671ACD8">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BC0B8D6">
            <w:pPr>
              <w:jc w:val="center"/>
              <w:rPr>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1C5116F7">
            <w:pPr>
              <w:jc w:val="center"/>
              <w:rPr>
                <w:rFonts w:hint="eastAsia" w:ascii="Times New Roman" w:hAnsi="Times New Roman" w:eastAsia="宋体" w:cs="宋体"/>
                <w:color w:val="000000"/>
                <w:sz w:val="21"/>
                <w:szCs w:val="21"/>
                <w:highlight w:val="none"/>
                <w:lang w:val="en-US" w:eastAsia="zh-CN" w:bidi="ar-SA"/>
              </w:rPr>
            </w:pPr>
          </w:p>
        </w:tc>
      </w:tr>
      <w:tr w14:paraId="4D466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2657" w:type="dxa"/>
            <w:tcBorders>
              <w:tl2br w:val="nil"/>
              <w:tr2bl w:val="nil"/>
            </w:tcBorders>
            <w:vAlign w:val="top"/>
          </w:tcPr>
          <w:p w14:paraId="5DBF47DB">
            <w:pPr>
              <w:pStyle w:val="14"/>
              <w:jc w:val="left"/>
              <w:rPr>
                <w:rFonts w:hint="eastAsia"/>
                <w:sz w:val="21"/>
                <w:szCs w:val="21"/>
                <w:highlight w:val="none"/>
              </w:rPr>
            </w:pPr>
            <w:r>
              <w:rPr>
                <w:rFonts w:hint="eastAsia" w:ascii="宋体" w:hAnsi="宋体"/>
                <w:bCs/>
                <w:highlight w:val="none"/>
              </w:rPr>
              <w:t>第二单元</w:t>
            </w:r>
            <w:r>
              <w:rPr>
                <w:rFonts w:ascii="宋体" w:hAnsi="宋体"/>
                <w:bCs/>
                <w:highlight w:val="none"/>
              </w:rPr>
              <w:t xml:space="preserve"> 学前教育学的基础</w:t>
            </w:r>
          </w:p>
        </w:tc>
        <w:tc>
          <w:tcPr>
            <w:tcW w:w="1234" w:type="dxa"/>
            <w:tcBorders>
              <w:tl2br w:val="nil"/>
              <w:tr2bl w:val="nil"/>
            </w:tcBorders>
            <w:vAlign w:val="center"/>
          </w:tcPr>
          <w:p w14:paraId="61DF3D36">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2AC96042">
            <w:pPr>
              <w:jc w:val="center"/>
              <w:rPr>
                <w:rFonts w:ascii="Times New Roman" w:hAnsi="Times New Roman" w:eastAsia="宋体" w:cs="宋体"/>
                <w:color w:val="000000"/>
                <w:sz w:val="21"/>
                <w:szCs w:val="21"/>
                <w:highlight w:val="none"/>
                <w:lang w:val="en-US" w:eastAsia="zh-CN" w:bidi="ar-SA"/>
              </w:rPr>
            </w:pPr>
          </w:p>
        </w:tc>
        <w:tc>
          <w:tcPr>
            <w:tcW w:w="1192" w:type="dxa"/>
            <w:tcBorders>
              <w:tl2br w:val="nil"/>
              <w:tr2bl w:val="nil"/>
            </w:tcBorders>
            <w:vAlign w:val="center"/>
          </w:tcPr>
          <w:p w14:paraId="3D69E00B">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25944D5">
            <w:pPr>
              <w:jc w:val="center"/>
              <w:rPr>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79477461">
            <w:pPr>
              <w:jc w:val="center"/>
              <w:rPr>
                <w:rFonts w:hint="eastAsia" w:ascii="Times New Roman" w:hAnsi="Times New Roman" w:eastAsia="宋体" w:cs="宋体"/>
                <w:color w:val="000000"/>
                <w:sz w:val="21"/>
                <w:szCs w:val="21"/>
                <w:highlight w:val="none"/>
                <w:lang w:val="en-US" w:eastAsia="zh-CN" w:bidi="ar-SA"/>
              </w:rPr>
            </w:pPr>
          </w:p>
        </w:tc>
      </w:tr>
      <w:tr w14:paraId="52391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3CEF7AE2">
            <w:pPr>
              <w:pStyle w:val="14"/>
              <w:jc w:val="left"/>
              <w:rPr>
                <w:rFonts w:ascii="Times New Roman" w:hAnsi="Times New Roman" w:eastAsia="宋体" w:cs="宋体"/>
                <w:color w:val="000000"/>
                <w:sz w:val="21"/>
                <w:szCs w:val="21"/>
                <w:highlight w:val="none"/>
                <w:lang w:val="en-US" w:eastAsia="zh-CN" w:bidi="ar-SA"/>
              </w:rPr>
            </w:pPr>
            <w:r>
              <w:rPr>
                <w:rFonts w:hint="eastAsia" w:ascii="宋体" w:hAnsi="宋体"/>
                <w:bCs/>
                <w:highlight w:val="none"/>
              </w:rPr>
              <w:t>第三单元 学前教育中的经典理论</w:t>
            </w:r>
          </w:p>
        </w:tc>
        <w:tc>
          <w:tcPr>
            <w:tcW w:w="1234" w:type="dxa"/>
            <w:tcBorders>
              <w:tl2br w:val="nil"/>
              <w:tr2bl w:val="nil"/>
            </w:tcBorders>
            <w:vAlign w:val="center"/>
          </w:tcPr>
          <w:p w14:paraId="709F3EB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7C54ACF4">
            <w:pPr>
              <w:jc w:val="center"/>
              <w:rPr>
                <w:rFonts w:ascii="Times New Roman" w:hAnsi="Times New Roman" w:eastAsia="宋体" w:cs="宋体"/>
                <w:color w:val="000000"/>
                <w:sz w:val="21"/>
                <w:szCs w:val="21"/>
                <w:highlight w:val="none"/>
                <w:lang w:val="en-US" w:eastAsia="zh-CN" w:bidi="ar-SA"/>
              </w:rPr>
            </w:pPr>
          </w:p>
        </w:tc>
        <w:tc>
          <w:tcPr>
            <w:tcW w:w="1192" w:type="dxa"/>
            <w:tcBorders>
              <w:tl2br w:val="nil"/>
              <w:tr2bl w:val="nil"/>
            </w:tcBorders>
            <w:vAlign w:val="center"/>
          </w:tcPr>
          <w:p w14:paraId="7A5A0CC1">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15C16984">
            <w:pPr>
              <w:jc w:val="center"/>
              <w:rPr>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29539FCB">
            <w:pPr>
              <w:jc w:val="center"/>
              <w:rPr>
                <w:rFonts w:ascii="Times New Roman" w:hAnsi="Times New Roman" w:eastAsia="宋体" w:cs="宋体"/>
                <w:color w:val="000000"/>
                <w:sz w:val="21"/>
                <w:szCs w:val="21"/>
                <w:highlight w:val="none"/>
                <w:lang w:val="en-US" w:eastAsia="zh-CN" w:bidi="ar-SA"/>
              </w:rPr>
            </w:pPr>
          </w:p>
        </w:tc>
      </w:tr>
      <w:tr w14:paraId="679D2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07ABD927">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第四单元</w:t>
            </w:r>
            <w:r>
              <w:rPr>
                <w:rFonts w:ascii="宋体" w:hAnsi="宋体"/>
                <w:bCs/>
                <w:highlight w:val="none"/>
              </w:rPr>
              <w:t xml:space="preserve"> 学前儿童</w:t>
            </w:r>
          </w:p>
        </w:tc>
        <w:tc>
          <w:tcPr>
            <w:tcW w:w="1234" w:type="dxa"/>
            <w:tcBorders>
              <w:tl2br w:val="nil"/>
              <w:tr2bl w:val="nil"/>
            </w:tcBorders>
            <w:vAlign w:val="center"/>
          </w:tcPr>
          <w:p w14:paraId="71BF60F1">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5E4AAB6">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63A7DEDA">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2D9C5262">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13" w:type="dxa"/>
            <w:tcBorders>
              <w:tl2br w:val="nil"/>
              <w:tr2bl w:val="nil"/>
            </w:tcBorders>
            <w:vAlign w:val="center"/>
          </w:tcPr>
          <w:p w14:paraId="530ABC76">
            <w:pPr>
              <w:jc w:val="center"/>
              <w:rPr>
                <w:rFonts w:hint="eastAsia" w:ascii="Times New Roman" w:hAnsi="Times New Roman" w:eastAsia="宋体" w:cs="宋体"/>
                <w:color w:val="000000"/>
                <w:sz w:val="21"/>
                <w:szCs w:val="21"/>
                <w:highlight w:val="none"/>
                <w:lang w:val="en-US" w:eastAsia="zh-CN" w:bidi="ar-SA"/>
              </w:rPr>
            </w:pPr>
          </w:p>
        </w:tc>
      </w:tr>
      <w:tr w14:paraId="57022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34E6DF5E">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第五单元</w:t>
            </w:r>
            <w:r>
              <w:rPr>
                <w:rFonts w:ascii="宋体" w:hAnsi="宋体"/>
                <w:bCs/>
                <w:highlight w:val="none"/>
              </w:rPr>
              <w:t xml:space="preserve"> 学前教师</w:t>
            </w:r>
          </w:p>
        </w:tc>
        <w:tc>
          <w:tcPr>
            <w:tcW w:w="1234" w:type="dxa"/>
            <w:tcBorders>
              <w:tl2br w:val="nil"/>
              <w:tr2bl w:val="nil"/>
            </w:tcBorders>
            <w:vAlign w:val="center"/>
          </w:tcPr>
          <w:p w14:paraId="05F99C7E">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6458C79E">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0210ACFB">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78825794">
            <w:pPr>
              <w:jc w:val="center"/>
              <w:rPr>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09D72E43">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3BC97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760D2A91">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第六单元</w:t>
            </w:r>
            <w:r>
              <w:rPr>
                <w:rFonts w:ascii="宋体" w:hAnsi="宋体"/>
                <w:bCs/>
                <w:highlight w:val="none"/>
              </w:rPr>
              <w:t xml:space="preserve"> 学前课程</w:t>
            </w:r>
          </w:p>
        </w:tc>
        <w:tc>
          <w:tcPr>
            <w:tcW w:w="1234" w:type="dxa"/>
            <w:tcBorders>
              <w:tl2br w:val="nil"/>
              <w:tr2bl w:val="nil"/>
            </w:tcBorders>
            <w:vAlign w:val="center"/>
          </w:tcPr>
          <w:p w14:paraId="5C800B52">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30751C4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52177F8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11565485">
            <w:pPr>
              <w:jc w:val="center"/>
              <w:rPr>
                <w:rFonts w:hint="eastAsia"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5876F1E8">
            <w:pPr>
              <w:jc w:val="center"/>
              <w:rPr>
                <w:rFonts w:hint="eastAsia" w:ascii="Times New Roman" w:hAnsi="Times New Roman" w:eastAsia="宋体" w:cs="宋体"/>
                <w:color w:val="000000"/>
                <w:sz w:val="21"/>
                <w:szCs w:val="21"/>
                <w:highlight w:val="none"/>
                <w:lang w:val="en-US" w:eastAsia="zh-CN" w:bidi="ar-SA"/>
              </w:rPr>
            </w:pPr>
          </w:p>
        </w:tc>
      </w:tr>
      <w:tr w14:paraId="1B399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2657" w:type="dxa"/>
            <w:tcBorders>
              <w:tl2br w:val="nil"/>
              <w:tr2bl w:val="nil"/>
            </w:tcBorders>
            <w:vAlign w:val="top"/>
          </w:tcPr>
          <w:p w14:paraId="151D97F7">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第七单元</w:t>
            </w:r>
            <w:r>
              <w:rPr>
                <w:rFonts w:ascii="宋体" w:hAnsi="宋体"/>
                <w:bCs/>
                <w:highlight w:val="none"/>
              </w:rPr>
              <w:t xml:space="preserve"> 学前游戏活动</w:t>
            </w:r>
          </w:p>
        </w:tc>
        <w:tc>
          <w:tcPr>
            <w:tcW w:w="1234" w:type="dxa"/>
            <w:tcBorders>
              <w:tl2br w:val="nil"/>
              <w:tr2bl w:val="nil"/>
            </w:tcBorders>
            <w:vAlign w:val="center"/>
          </w:tcPr>
          <w:p w14:paraId="38BDED41">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59CECD6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02E8736C">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485B905B">
            <w:pPr>
              <w:jc w:val="center"/>
              <w:rPr>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7AA2C34D">
            <w:pPr>
              <w:jc w:val="center"/>
              <w:rPr>
                <w:rFonts w:ascii="Times New Roman" w:hAnsi="Times New Roman" w:eastAsia="宋体" w:cs="宋体"/>
                <w:color w:val="000000"/>
                <w:sz w:val="21"/>
                <w:szCs w:val="21"/>
                <w:highlight w:val="none"/>
                <w:lang w:val="en-US" w:eastAsia="zh-CN" w:bidi="ar-SA"/>
              </w:rPr>
            </w:pPr>
          </w:p>
        </w:tc>
      </w:tr>
      <w:tr w14:paraId="0EB06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6889EDBB">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第八单元</w:t>
            </w:r>
            <w:r>
              <w:rPr>
                <w:rFonts w:ascii="宋体" w:hAnsi="宋体"/>
                <w:bCs/>
                <w:highlight w:val="none"/>
              </w:rPr>
              <w:t xml:space="preserve"> 学前教学活动</w:t>
            </w:r>
          </w:p>
        </w:tc>
        <w:tc>
          <w:tcPr>
            <w:tcW w:w="1234" w:type="dxa"/>
            <w:tcBorders>
              <w:tl2br w:val="nil"/>
              <w:tr2bl w:val="nil"/>
            </w:tcBorders>
            <w:vAlign w:val="center"/>
          </w:tcPr>
          <w:p w14:paraId="0BC51091">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1348FBAB">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37245BE5">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3B371FC4">
            <w:pPr>
              <w:jc w:val="center"/>
              <w:rPr>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29AA0EF4">
            <w:pPr>
              <w:jc w:val="center"/>
              <w:rPr>
                <w:rFonts w:ascii="Times New Roman" w:hAnsi="Times New Roman" w:eastAsia="宋体" w:cs="宋体"/>
                <w:color w:val="000000"/>
                <w:sz w:val="21"/>
                <w:szCs w:val="21"/>
                <w:highlight w:val="none"/>
                <w:lang w:val="en-US" w:eastAsia="zh-CN" w:bidi="ar-SA"/>
              </w:rPr>
            </w:pPr>
          </w:p>
        </w:tc>
      </w:tr>
      <w:tr w14:paraId="303E0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311A87F4">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第九单元</w:t>
            </w:r>
            <w:r>
              <w:rPr>
                <w:rFonts w:ascii="宋体" w:hAnsi="宋体"/>
                <w:bCs/>
                <w:highlight w:val="none"/>
              </w:rPr>
              <w:t xml:space="preserve"> 学前教育环境</w:t>
            </w:r>
          </w:p>
        </w:tc>
        <w:tc>
          <w:tcPr>
            <w:tcW w:w="1234" w:type="dxa"/>
            <w:tcBorders>
              <w:tl2br w:val="nil"/>
              <w:tr2bl w:val="nil"/>
            </w:tcBorders>
            <w:vAlign w:val="center"/>
          </w:tcPr>
          <w:p w14:paraId="1B8B8D9D">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748CC34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1D9994B7">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752C0A1E">
            <w:pPr>
              <w:jc w:val="center"/>
              <w:rPr>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717C4163">
            <w:pPr>
              <w:jc w:val="center"/>
              <w:rPr>
                <w:rFonts w:ascii="Times New Roman" w:hAnsi="Times New Roman" w:eastAsia="宋体" w:cs="宋体"/>
                <w:color w:val="000000"/>
                <w:sz w:val="21"/>
                <w:szCs w:val="21"/>
                <w:highlight w:val="none"/>
                <w:lang w:val="en-US" w:eastAsia="zh-CN" w:bidi="ar-SA"/>
              </w:rPr>
            </w:pPr>
          </w:p>
        </w:tc>
      </w:tr>
      <w:tr w14:paraId="2EF1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57" w:type="dxa"/>
            <w:tcBorders>
              <w:tl2br w:val="nil"/>
              <w:tr2bl w:val="nil"/>
            </w:tcBorders>
            <w:vAlign w:val="top"/>
          </w:tcPr>
          <w:p w14:paraId="11E7832A">
            <w:pPr>
              <w:pStyle w:val="14"/>
              <w:jc w:val="left"/>
              <w:rPr>
                <w:rFonts w:hint="eastAsia" w:ascii="宋体" w:hAnsi="宋体" w:eastAsia="宋体" w:cs="宋体"/>
                <w:color w:val="000000"/>
                <w:sz w:val="21"/>
                <w:szCs w:val="21"/>
                <w:highlight w:val="none"/>
                <w:lang w:val="en-US" w:eastAsia="zh-CN" w:bidi="ar-SA"/>
              </w:rPr>
            </w:pPr>
            <w:r>
              <w:rPr>
                <w:rFonts w:hint="eastAsia" w:ascii="宋体" w:hAnsi="宋体"/>
                <w:bCs/>
                <w:highlight w:val="none"/>
              </w:rPr>
              <w:t>第十单元</w:t>
            </w:r>
            <w:r>
              <w:rPr>
                <w:rFonts w:ascii="宋体" w:hAnsi="宋体"/>
                <w:bCs/>
                <w:highlight w:val="none"/>
              </w:rPr>
              <w:t xml:space="preserve"> 学前教育中的合作与衔接</w:t>
            </w:r>
          </w:p>
        </w:tc>
        <w:tc>
          <w:tcPr>
            <w:tcW w:w="1234" w:type="dxa"/>
            <w:tcBorders>
              <w:tl2br w:val="nil"/>
              <w:tr2bl w:val="nil"/>
            </w:tcBorders>
            <w:vAlign w:val="center"/>
          </w:tcPr>
          <w:p w14:paraId="75E9CD97">
            <w:pPr>
              <w:jc w:val="center"/>
              <w:rPr>
                <w:rFonts w:ascii="Times New Roman" w:hAnsi="Times New Roman" w:eastAsia="宋体" w:cs="宋体"/>
                <w:color w:val="000000"/>
                <w:sz w:val="21"/>
                <w:szCs w:val="21"/>
                <w:highlight w:val="none"/>
                <w:lang w:val="en-US" w:eastAsia="zh-CN" w:bidi="ar-SA"/>
              </w:rPr>
            </w:pPr>
          </w:p>
        </w:tc>
        <w:tc>
          <w:tcPr>
            <w:tcW w:w="1140" w:type="dxa"/>
            <w:tcBorders>
              <w:tl2br w:val="nil"/>
              <w:tr2bl w:val="nil"/>
            </w:tcBorders>
            <w:vAlign w:val="center"/>
          </w:tcPr>
          <w:p w14:paraId="0B02D4E6">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92" w:type="dxa"/>
            <w:tcBorders>
              <w:tl2br w:val="nil"/>
              <w:tr2bl w:val="nil"/>
            </w:tcBorders>
            <w:vAlign w:val="center"/>
          </w:tcPr>
          <w:p w14:paraId="1A4FBD97">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140" w:type="dxa"/>
            <w:tcBorders>
              <w:tl2br w:val="nil"/>
              <w:tr2bl w:val="nil"/>
            </w:tcBorders>
            <w:vAlign w:val="center"/>
          </w:tcPr>
          <w:p w14:paraId="4A4168CC">
            <w:pPr>
              <w:jc w:val="center"/>
              <w:rPr>
                <w:rFonts w:ascii="Times New Roman" w:hAnsi="Times New Roman" w:eastAsia="宋体" w:cs="宋体"/>
                <w:color w:val="000000"/>
                <w:sz w:val="21"/>
                <w:szCs w:val="21"/>
                <w:highlight w:val="none"/>
                <w:lang w:val="en-US" w:eastAsia="zh-CN" w:bidi="ar-SA"/>
              </w:rPr>
            </w:pPr>
          </w:p>
        </w:tc>
        <w:tc>
          <w:tcPr>
            <w:tcW w:w="1113" w:type="dxa"/>
            <w:tcBorders>
              <w:tl2br w:val="nil"/>
              <w:tr2bl w:val="nil"/>
            </w:tcBorders>
            <w:vAlign w:val="center"/>
          </w:tcPr>
          <w:p w14:paraId="29649DD5">
            <w:pPr>
              <w:jc w:val="center"/>
              <w:rPr>
                <w:rFonts w:ascii="Times New Roman" w:hAnsi="Times New Roman" w:eastAsia="宋体" w:cs="宋体"/>
                <w:color w:val="000000"/>
                <w:sz w:val="21"/>
                <w:szCs w:val="21"/>
                <w:highlight w:val="none"/>
                <w:lang w:val="en-US" w:eastAsia="zh-CN" w:bidi="ar-SA"/>
              </w:rPr>
            </w:pPr>
          </w:p>
        </w:tc>
      </w:tr>
    </w:tbl>
    <w:p w14:paraId="3DE4CAB0">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84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0"/>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490" w:type="dxa"/>
          </w:tcPr>
          <w:tbl>
            <w:tblPr>
              <w:tblStyle w:val="8"/>
              <w:tblW w:w="8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48"/>
              <w:gridCol w:w="1946"/>
              <w:gridCol w:w="1800"/>
              <w:gridCol w:w="1718"/>
            </w:tblGrid>
            <w:tr w14:paraId="7C38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0" w:type="dxa"/>
                  <w:vAlign w:val="center"/>
                </w:tcPr>
                <w:p w14:paraId="037DD9F3">
                  <w:pPr>
                    <w:widowControl w:val="0"/>
                    <w:autoSpaceDE w:val="0"/>
                    <w:autoSpaceDN w:val="0"/>
                    <w:adjustRightInd w:val="0"/>
                    <w:spacing w:line="360" w:lineRule="exact"/>
                    <w:jc w:val="left"/>
                    <w:rPr>
                      <w:sz w:val="20"/>
                      <w:szCs w:val="20"/>
                    </w:rPr>
                  </w:pPr>
                  <w:bookmarkStart w:id="1" w:name="OLE_LINK6"/>
                  <w:bookmarkStart w:id="2" w:name="OLE_LINK5"/>
                  <w:r>
                    <w:rPr>
                      <w:rFonts w:hint="eastAsia" w:ascii="黑体" w:eastAsia="黑体"/>
                      <w:b/>
                      <w:bCs/>
                      <w:szCs w:val="21"/>
                      <w:lang w:val="zh-CN"/>
                    </w:rPr>
                    <w:t>单元</w:t>
                  </w:r>
                </w:p>
              </w:tc>
              <w:tc>
                <w:tcPr>
                  <w:tcW w:w="1948" w:type="dxa"/>
                </w:tcPr>
                <w:p w14:paraId="0E1EF082">
                  <w:pPr>
                    <w:widowControl w:val="0"/>
                    <w:autoSpaceDE w:val="0"/>
                    <w:autoSpaceDN w:val="0"/>
                    <w:adjustRightInd w:val="0"/>
                    <w:spacing w:line="360" w:lineRule="exact"/>
                    <w:ind w:firstLine="482" w:firstLineChars="200"/>
                    <w:jc w:val="left"/>
                    <w:rPr>
                      <w:sz w:val="20"/>
                      <w:szCs w:val="20"/>
                    </w:rPr>
                  </w:pPr>
                  <w:r>
                    <w:rPr>
                      <w:rFonts w:hint="eastAsia" w:ascii="黑体" w:eastAsia="黑体"/>
                      <w:b/>
                      <w:bCs/>
                      <w:szCs w:val="21"/>
                      <w:lang w:val="zh-CN"/>
                    </w:rPr>
                    <w:t>教学知识点</w:t>
                  </w:r>
                </w:p>
              </w:tc>
              <w:tc>
                <w:tcPr>
                  <w:tcW w:w="1946" w:type="dxa"/>
                </w:tcPr>
                <w:p w14:paraId="53FD6BAA">
                  <w:pPr>
                    <w:widowControl w:val="0"/>
                    <w:autoSpaceDE w:val="0"/>
                    <w:autoSpaceDN w:val="0"/>
                    <w:adjustRightInd w:val="0"/>
                    <w:spacing w:line="360" w:lineRule="exact"/>
                    <w:ind w:firstLine="482" w:firstLineChars="200"/>
                    <w:jc w:val="left"/>
                    <w:rPr>
                      <w:rFonts w:ascii="黑体" w:eastAsia="黑体"/>
                      <w:b/>
                      <w:bCs/>
                      <w:szCs w:val="21"/>
                      <w:lang w:val="zh-CN"/>
                    </w:rPr>
                  </w:pPr>
                  <w:r>
                    <w:rPr>
                      <w:rFonts w:hint="eastAsia" w:ascii="黑体" w:eastAsia="黑体"/>
                      <w:b/>
                      <w:bCs/>
                      <w:szCs w:val="21"/>
                      <w:lang w:val="zh-CN"/>
                    </w:rPr>
                    <w:t>能力要求</w:t>
                  </w:r>
                </w:p>
              </w:tc>
              <w:tc>
                <w:tcPr>
                  <w:tcW w:w="1800" w:type="dxa"/>
                </w:tcPr>
                <w:p w14:paraId="3C183AB1">
                  <w:pPr>
                    <w:widowControl w:val="0"/>
                    <w:autoSpaceDE w:val="0"/>
                    <w:autoSpaceDN w:val="0"/>
                    <w:adjustRightInd w:val="0"/>
                    <w:spacing w:line="360" w:lineRule="exact"/>
                    <w:ind w:firstLine="482" w:firstLineChars="200"/>
                    <w:jc w:val="left"/>
                    <w:rPr>
                      <w:rFonts w:ascii="黑体" w:eastAsia="黑体"/>
                      <w:b/>
                      <w:bCs/>
                      <w:szCs w:val="21"/>
                      <w:lang w:val="zh-CN"/>
                    </w:rPr>
                  </w:pPr>
                  <w:r>
                    <w:rPr>
                      <w:rFonts w:hint="eastAsia" w:ascii="黑体" w:eastAsia="黑体"/>
                      <w:b/>
                      <w:bCs/>
                      <w:szCs w:val="21"/>
                      <w:lang w:val="zh-CN"/>
                    </w:rPr>
                    <w:t>教学难点</w:t>
                  </w:r>
                </w:p>
              </w:tc>
              <w:tc>
                <w:tcPr>
                  <w:tcW w:w="1718" w:type="dxa"/>
                </w:tcPr>
                <w:p w14:paraId="66DA02D2">
                  <w:pPr>
                    <w:widowControl w:val="0"/>
                    <w:autoSpaceDE w:val="0"/>
                    <w:autoSpaceDN w:val="0"/>
                    <w:adjustRightInd w:val="0"/>
                    <w:spacing w:line="360" w:lineRule="exact"/>
                    <w:ind w:firstLine="482" w:firstLineChars="200"/>
                    <w:jc w:val="both"/>
                    <w:rPr>
                      <w:rFonts w:hint="default" w:ascii="黑体" w:eastAsia="黑体"/>
                      <w:b/>
                      <w:bCs/>
                      <w:szCs w:val="21"/>
                      <w:lang w:val="en-US" w:eastAsia="zh-CN"/>
                    </w:rPr>
                  </w:pPr>
                  <w:r>
                    <w:rPr>
                      <w:rFonts w:hint="eastAsia" w:ascii="黑体" w:eastAsia="黑体"/>
                      <w:b/>
                      <w:bCs/>
                      <w:szCs w:val="21"/>
                      <w:highlight w:val="none"/>
                      <w:lang w:val="en-US" w:eastAsia="zh-CN"/>
                    </w:rPr>
                    <w:t>作业</w:t>
                  </w:r>
                </w:p>
              </w:tc>
            </w:tr>
            <w:tr w14:paraId="421B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50AE832">
                  <w:pPr>
                    <w:widowControl w:val="0"/>
                    <w:snapToGrid w:val="0"/>
                    <w:spacing w:line="288" w:lineRule="auto"/>
                    <w:ind w:right="26"/>
                    <w:jc w:val="both"/>
                    <w:rPr>
                      <w:sz w:val="20"/>
                      <w:szCs w:val="20"/>
                    </w:rPr>
                  </w:pPr>
                  <w:r>
                    <w:rPr>
                      <w:rFonts w:hint="eastAsia"/>
                      <w:sz w:val="20"/>
                      <w:szCs w:val="20"/>
                    </w:rPr>
                    <w:t>第一单元 学前教育学导论</w:t>
                  </w:r>
                </w:p>
                <w:p w14:paraId="2E7A967D">
                  <w:pPr>
                    <w:widowControl w:val="0"/>
                    <w:snapToGrid w:val="0"/>
                    <w:spacing w:line="288" w:lineRule="auto"/>
                    <w:ind w:right="26"/>
                    <w:jc w:val="both"/>
                    <w:rPr>
                      <w:sz w:val="20"/>
                      <w:szCs w:val="20"/>
                    </w:rPr>
                  </w:pPr>
                </w:p>
              </w:tc>
              <w:tc>
                <w:tcPr>
                  <w:tcW w:w="1948" w:type="dxa"/>
                </w:tcPr>
                <w:p w14:paraId="2FEC0876">
                  <w:pPr>
                    <w:widowControl w:val="0"/>
                    <w:numPr>
                      <w:ilvl w:val="0"/>
                      <w:numId w:val="2"/>
                    </w:numPr>
                    <w:snapToGrid w:val="0"/>
                    <w:spacing w:line="288" w:lineRule="auto"/>
                    <w:ind w:right="26"/>
                    <w:jc w:val="both"/>
                    <w:rPr>
                      <w:sz w:val="20"/>
                      <w:szCs w:val="20"/>
                    </w:rPr>
                  </w:pPr>
                  <w:r>
                    <w:rPr>
                      <w:rFonts w:hint="eastAsia"/>
                      <w:sz w:val="20"/>
                      <w:szCs w:val="20"/>
                    </w:rPr>
                    <w:t>理解学前教育与学前教育学的含义与特点</w:t>
                  </w:r>
                </w:p>
                <w:p w14:paraId="0D0D628C">
                  <w:pPr>
                    <w:widowControl w:val="0"/>
                    <w:numPr>
                      <w:ilvl w:val="0"/>
                      <w:numId w:val="2"/>
                    </w:numPr>
                    <w:snapToGrid w:val="0"/>
                    <w:spacing w:line="288" w:lineRule="auto"/>
                    <w:ind w:right="26"/>
                    <w:jc w:val="both"/>
                    <w:rPr>
                      <w:sz w:val="20"/>
                      <w:szCs w:val="20"/>
                    </w:rPr>
                  </w:pPr>
                  <w:r>
                    <w:rPr>
                      <w:rFonts w:hint="eastAsia"/>
                      <w:sz w:val="20"/>
                      <w:szCs w:val="20"/>
                    </w:rPr>
                    <w:t>知道学前教育学的研究对象</w:t>
                  </w:r>
                </w:p>
                <w:p w14:paraId="558A59DE">
                  <w:pPr>
                    <w:widowControl w:val="0"/>
                    <w:numPr>
                      <w:ilvl w:val="0"/>
                      <w:numId w:val="2"/>
                    </w:numPr>
                    <w:snapToGrid w:val="0"/>
                    <w:spacing w:line="288" w:lineRule="auto"/>
                    <w:ind w:right="26"/>
                    <w:jc w:val="both"/>
                    <w:rPr>
                      <w:sz w:val="20"/>
                      <w:szCs w:val="20"/>
                    </w:rPr>
                  </w:pPr>
                  <w:r>
                    <w:rPr>
                      <w:rFonts w:hint="eastAsia"/>
                      <w:sz w:val="20"/>
                      <w:szCs w:val="20"/>
                    </w:rPr>
                    <w:t>分析中外学前教育学的学科发展历程</w:t>
                  </w:r>
                </w:p>
              </w:tc>
              <w:tc>
                <w:tcPr>
                  <w:tcW w:w="1946" w:type="dxa"/>
                </w:tcPr>
                <w:p w14:paraId="37A67EA7">
                  <w:pPr>
                    <w:widowControl w:val="0"/>
                    <w:numPr>
                      <w:ilvl w:val="0"/>
                      <w:numId w:val="3"/>
                    </w:numPr>
                    <w:snapToGrid w:val="0"/>
                    <w:spacing w:line="288" w:lineRule="auto"/>
                    <w:ind w:right="26"/>
                    <w:jc w:val="both"/>
                    <w:rPr>
                      <w:sz w:val="20"/>
                      <w:szCs w:val="20"/>
                    </w:rPr>
                  </w:pPr>
                  <w:r>
                    <w:rPr>
                      <w:rFonts w:hint="eastAsia"/>
                      <w:sz w:val="20"/>
                      <w:szCs w:val="20"/>
                    </w:rPr>
                    <w:t>能够判断早教机构是否属于学前教育机构</w:t>
                  </w:r>
                </w:p>
                <w:p w14:paraId="0955A0D1">
                  <w:pPr>
                    <w:widowControl w:val="0"/>
                    <w:numPr>
                      <w:ilvl w:val="0"/>
                      <w:numId w:val="3"/>
                    </w:numPr>
                    <w:snapToGrid w:val="0"/>
                    <w:spacing w:line="288" w:lineRule="auto"/>
                    <w:ind w:right="26"/>
                    <w:jc w:val="both"/>
                    <w:rPr>
                      <w:sz w:val="20"/>
                      <w:szCs w:val="20"/>
                    </w:rPr>
                  </w:pPr>
                  <w:r>
                    <w:rPr>
                      <w:rFonts w:hint="eastAsia"/>
                      <w:sz w:val="20"/>
                      <w:szCs w:val="20"/>
                    </w:rPr>
                    <w:t>能够说明学前教育学的研究对象</w:t>
                  </w:r>
                </w:p>
                <w:p w14:paraId="350724BA">
                  <w:pPr>
                    <w:widowControl w:val="0"/>
                    <w:numPr>
                      <w:ilvl w:val="0"/>
                      <w:numId w:val="3"/>
                    </w:numPr>
                    <w:snapToGrid w:val="0"/>
                    <w:spacing w:line="288" w:lineRule="auto"/>
                    <w:ind w:right="26"/>
                    <w:jc w:val="both"/>
                    <w:rPr>
                      <w:sz w:val="20"/>
                      <w:szCs w:val="20"/>
                    </w:rPr>
                  </w:pPr>
                  <w:r>
                    <w:rPr>
                      <w:rFonts w:hint="eastAsia"/>
                      <w:sz w:val="20"/>
                      <w:szCs w:val="20"/>
                    </w:rPr>
                    <w:t>能够简述中外学前教育的发展进程</w:t>
                  </w:r>
                </w:p>
              </w:tc>
              <w:tc>
                <w:tcPr>
                  <w:tcW w:w="1800" w:type="dxa"/>
                </w:tcPr>
                <w:p w14:paraId="6E18D340">
                  <w:pPr>
                    <w:widowControl w:val="0"/>
                    <w:numPr>
                      <w:ilvl w:val="0"/>
                      <w:numId w:val="4"/>
                    </w:numPr>
                    <w:snapToGrid w:val="0"/>
                    <w:spacing w:line="288" w:lineRule="auto"/>
                    <w:ind w:right="26"/>
                    <w:jc w:val="both"/>
                    <w:rPr>
                      <w:sz w:val="20"/>
                      <w:szCs w:val="20"/>
                    </w:rPr>
                  </w:pPr>
                  <w:r>
                    <w:rPr>
                      <w:rFonts w:hint="eastAsia"/>
                      <w:sz w:val="20"/>
                      <w:szCs w:val="20"/>
                    </w:rPr>
                    <w:t>针对学前教育机构的教育现象与规律，分析中外学前教育领域的经典理论与主要问题</w:t>
                  </w:r>
                </w:p>
                <w:p w14:paraId="496D3CBB">
                  <w:pPr>
                    <w:widowControl w:val="0"/>
                    <w:numPr>
                      <w:ilvl w:val="0"/>
                      <w:numId w:val="4"/>
                    </w:numPr>
                    <w:snapToGrid w:val="0"/>
                    <w:spacing w:line="288" w:lineRule="auto"/>
                    <w:ind w:right="26"/>
                    <w:jc w:val="both"/>
                    <w:rPr>
                      <w:sz w:val="20"/>
                      <w:szCs w:val="20"/>
                    </w:rPr>
                  </w:pPr>
                  <w:r>
                    <w:rPr>
                      <w:rFonts w:hint="eastAsia"/>
                      <w:sz w:val="20"/>
                      <w:szCs w:val="20"/>
                    </w:rPr>
                    <w:t>了解学前教育学的历史发展过程</w:t>
                  </w:r>
                </w:p>
              </w:tc>
              <w:tc>
                <w:tcPr>
                  <w:tcW w:w="1718" w:type="dxa"/>
                </w:tcPr>
                <w:p w14:paraId="304FEB57">
                  <w:pPr>
                    <w:widowControl w:val="0"/>
                    <w:numPr>
                      <w:ilvl w:val="0"/>
                      <w:numId w:val="0"/>
                    </w:numPr>
                    <w:snapToGrid w:val="0"/>
                    <w:spacing w:line="288" w:lineRule="auto"/>
                    <w:ind w:right="26" w:rightChars="0"/>
                    <w:jc w:val="both"/>
                    <w:rPr>
                      <w:rFonts w:hint="default" w:eastAsia="宋体"/>
                      <w:sz w:val="20"/>
                      <w:szCs w:val="20"/>
                      <w:lang w:val="en-US" w:eastAsia="zh-CN"/>
                    </w:rPr>
                  </w:pPr>
                  <w:r>
                    <w:rPr>
                      <w:rFonts w:hint="eastAsia"/>
                      <w:sz w:val="20"/>
                      <w:szCs w:val="20"/>
                      <w:lang w:val="en-US" w:eastAsia="zh-CN"/>
                    </w:rPr>
                    <w:t>列出思维导图对所学内容进行复习总结。</w:t>
                  </w:r>
                </w:p>
              </w:tc>
            </w:tr>
            <w:tr w14:paraId="395D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7EEB678">
                  <w:pPr>
                    <w:widowControl w:val="0"/>
                    <w:snapToGrid w:val="0"/>
                    <w:spacing w:line="288" w:lineRule="auto"/>
                    <w:ind w:right="26"/>
                    <w:jc w:val="both"/>
                    <w:rPr>
                      <w:sz w:val="20"/>
                      <w:szCs w:val="20"/>
                    </w:rPr>
                  </w:pPr>
                  <w:r>
                    <w:rPr>
                      <w:rFonts w:hint="eastAsia"/>
                      <w:sz w:val="20"/>
                      <w:szCs w:val="20"/>
                    </w:rPr>
                    <w:t>第二单元 学前教育学的基础</w:t>
                  </w:r>
                </w:p>
                <w:p w14:paraId="3BDADF5A">
                  <w:pPr>
                    <w:widowControl w:val="0"/>
                    <w:snapToGrid w:val="0"/>
                    <w:spacing w:line="288" w:lineRule="auto"/>
                    <w:ind w:right="26"/>
                    <w:jc w:val="both"/>
                    <w:rPr>
                      <w:sz w:val="20"/>
                      <w:szCs w:val="20"/>
                    </w:rPr>
                  </w:pPr>
                </w:p>
              </w:tc>
              <w:tc>
                <w:tcPr>
                  <w:tcW w:w="1948" w:type="dxa"/>
                </w:tcPr>
                <w:p w14:paraId="56B75DA8">
                  <w:pPr>
                    <w:widowControl w:val="0"/>
                    <w:numPr>
                      <w:ilvl w:val="0"/>
                      <w:numId w:val="5"/>
                    </w:numPr>
                    <w:snapToGrid w:val="0"/>
                    <w:spacing w:line="288" w:lineRule="auto"/>
                    <w:ind w:right="26"/>
                    <w:jc w:val="both"/>
                    <w:rPr>
                      <w:sz w:val="20"/>
                      <w:szCs w:val="20"/>
                    </w:rPr>
                  </w:pPr>
                  <w:r>
                    <w:rPr>
                      <w:rFonts w:hint="eastAsia"/>
                      <w:sz w:val="20"/>
                      <w:szCs w:val="20"/>
                    </w:rPr>
                    <w:t>理解脑科学与心理学研究对学前教育学的意义</w:t>
                  </w:r>
                </w:p>
                <w:p w14:paraId="5390C754">
                  <w:pPr>
                    <w:widowControl w:val="0"/>
                    <w:numPr>
                      <w:ilvl w:val="0"/>
                      <w:numId w:val="5"/>
                    </w:numPr>
                    <w:snapToGrid w:val="0"/>
                    <w:spacing w:line="288" w:lineRule="auto"/>
                    <w:ind w:right="26"/>
                    <w:jc w:val="both"/>
                    <w:rPr>
                      <w:sz w:val="20"/>
                      <w:szCs w:val="20"/>
                    </w:rPr>
                  </w:pPr>
                  <w:r>
                    <w:rPr>
                      <w:rFonts w:hint="eastAsia"/>
                      <w:sz w:val="20"/>
                      <w:szCs w:val="20"/>
                    </w:rPr>
                    <w:t>知道佩里学前教育项目和芝加哥亲子中心项目</w:t>
                  </w:r>
                </w:p>
                <w:p w14:paraId="743BBE6D">
                  <w:pPr>
                    <w:widowControl w:val="0"/>
                    <w:numPr>
                      <w:ilvl w:val="0"/>
                      <w:numId w:val="5"/>
                    </w:numPr>
                    <w:snapToGrid w:val="0"/>
                    <w:spacing w:line="288" w:lineRule="auto"/>
                    <w:ind w:right="26"/>
                    <w:jc w:val="both"/>
                    <w:rPr>
                      <w:sz w:val="20"/>
                      <w:szCs w:val="20"/>
                    </w:rPr>
                  </w:pPr>
                  <w:r>
                    <w:rPr>
                      <w:rFonts w:hint="eastAsia"/>
                      <w:sz w:val="20"/>
                      <w:szCs w:val="20"/>
                    </w:rPr>
                    <w:t>分析早期干预研究对学前教育学的价值</w:t>
                  </w:r>
                </w:p>
              </w:tc>
              <w:tc>
                <w:tcPr>
                  <w:tcW w:w="1946" w:type="dxa"/>
                </w:tcPr>
                <w:p w14:paraId="33053E6E">
                  <w:pPr>
                    <w:widowControl w:val="0"/>
                    <w:numPr>
                      <w:ilvl w:val="0"/>
                      <w:numId w:val="6"/>
                    </w:numPr>
                    <w:snapToGrid w:val="0"/>
                    <w:spacing w:line="288" w:lineRule="auto"/>
                    <w:ind w:right="26"/>
                    <w:jc w:val="both"/>
                    <w:rPr>
                      <w:sz w:val="20"/>
                      <w:szCs w:val="20"/>
                    </w:rPr>
                  </w:pPr>
                  <w:r>
                    <w:rPr>
                      <w:rFonts w:hint="eastAsia"/>
                      <w:sz w:val="20"/>
                      <w:szCs w:val="20"/>
                    </w:rPr>
                    <w:t>能够简述早期大脑的发展具有可塑性的原因</w:t>
                  </w:r>
                </w:p>
                <w:p w14:paraId="6B38CBEA">
                  <w:pPr>
                    <w:widowControl w:val="0"/>
                    <w:numPr>
                      <w:ilvl w:val="0"/>
                      <w:numId w:val="6"/>
                    </w:numPr>
                    <w:snapToGrid w:val="0"/>
                    <w:spacing w:line="288" w:lineRule="auto"/>
                    <w:ind w:right="26"/>
                    <w:jc w:val="both"/>
                    <w:rPr>
                      <w:sz w:val="20"/>
                      <w:szCs w:val="20"/>
                    </w:rPr>
                  </w:pPr>
                  <w:r>
                    <w:rPr>
                      <w:rFonts w:hint="eastAsia"/>
                      <w:sz w:val="20"/>
                      <w:szCs w:val="20"/>
                    </w:rPr>
                    <w:t>能够说明发展的敏感期对于我们的学前教育所产生的启示</w:t>
                  </w:r>
                </w:p>
                <w:p w14:paraId="7CF3B48F">
                  <w:pPr>
                    <w:widowControl w:val="0"/>
                    <w:numPr>
                      <w:ilvl w:val="0"/>
                      <w:numId w:val="6"/>
                    </w:numPr>
                    <w:snapToGrid w:val="0"/>
                    <w:spacing w:line="288" w:lineRule="auto"/>
                    <w:ind w:right="26"/>
                    <w:jc w:val="both"/>
                    <w:rPr>
                      <w:sz w:val="20"/>
                      <w:szCs w:val="20"/>
                    </w:rPr>
                  </w:pPr>
                  <w:r>
                    <w:rPr>
                      <w:rFonts w:hint="eastAsia"/>
                      <w:sz w:val="20"/>
                      <w:szCs w:val="20"/>
                    </w:rPr>
                    <w:t>能够表达对于“不能输在起跑线上”这个话题的看法</w:t>
                  </w:r>
                </w:p>
                <w:p w14:paraId="2C62C929">
                  <w:pPr>
                    <w:widowControl w:val="0"/>
                    <w:numPr>
                      <w:ilvl w:val="0"/>
                      <w:numId w:val="6"/>
                    </w:numPr>
                    <w:snapToGrid w:val="0"/>
                    <w:spacing w:line="288" w:lineRule="auto"/>
                    <w:ind w:right="26"/>
                    <w:jc w:val="both"/>
                    <w:rPr>
                      <w:sz w:val="20"/>
                      <w:szCs w:val="20"/>
                    </w:rPr>
                  </w:pPr>
                  <w:r>
                    <w:rPr>
                      <w:rFonts w:hint="eastAsia"/>
                      <w:sz w:val="20"/>
                      <w:szCs w:val="20"/>
                    </w:rPr>
                    <w:t>能够说明佩里学前教育项目和芝加哥亲子中心项目所具有的价值</w:t>
                  </w:r>
                </w:p>
              </w:tc>
              <w:tc>
                <w:tcPr>
                  <w:tcW w:w="1800" w:type="dxa"/>
                </w:tcPr>
                <w:p w14:paraId="64CC036F">
                  <w:pPr>
                    <w:widowControl w:val="0"/>
                    <w:numPr>
                      <w:ilvl w:val="0"/>
                      <w:numId w:val="7"/>
                    </w:numPr>
                    <w:tabs>
                      <w:tab w:val="clear" w:pos="312"/>
                    </w:tabs>
                    <w:snapToGrid w:val="0"/>
                    <w:spacing w:line="288" w:lineRule="auto"/>
                    <w:ind w:right="26"/>
                    <w:jc w:val="both"/>
                    <w:rPr>
                      <w:sz w:val="20"/>
                      <w:szCs w:val="20"/>
                    </w:rPr>
                  </w:pPr>
                  <w:r>
                    <w:rPr>
                      <w:rFonts w:hint="eastAsia"/>
                      <w:sz w:val="20"/>
                      <w:szCs w:val="20"/>
                    </w:rPr>
                    <w:t>理解儿童所处的早期环境及所接受的学前教育对于儿童发展的影响</w:t>
                  </w:r>
                </w:p>
                <w:p w14:paraId="01AC957D">
                  <w:pPr>
                    <w:widowControl w:val="0"/>
                    <w:numPr>
                      <w:ilvl w:val="0"/>
                      <w:numId w:val="7"/>
                    </w:numPr>
                    <w:tabs>
                      <w:tab w:val="clear" w:pos="312"/>
                    </w:tabs>
                    <w:snapToGrid w:val="0"/>
                    <w:spacing w:line="288" w:lineRule="auto"/>
                    <w:ind w:right="26"/>
                    <w:jc w:val="both"/>
                    <w:rPr>
                      <w:sz w:val="20"/>
                      <w:szCs w:val="20"/>
                    </w:rPr>
                  </w:pPr>
                  <w:r>
                    <w:rPr>
                      <w:rFonts w:hint="eastAsia"/>
                      <w:sz w:val="20"/>
                      <w:szCs w:val="20"/>
                    </w:rPr>
                    <w:t>能够根据佩里学前教育项目和芝加哥亲子中心项目的研究结果，分析早期教育干预对于儿童发展的影响</w:t>
                  </w:r>
                </w:p>
              </w:tc>
              <w:tc>
                <w:tcPr>
                  <w:tcW w:w="1718" w:type="dxa"/>
                </w:tcPr>
                <w:p w14:paraId="64750F60">
                  <w:pPr>
                    <w:widowControl w:val="0"/>
                    <w:numPr>
                      <w:ilvl w:val="0"/>
                      <w:numId w:val="0"/>
                    </w:numPr>
                    <w:snapToGrid w:val="0"/>
                    <w:spacing w:line="288" w:lineRule="auto"/>
                    <w:ind w:right="26" w:rightChars="0"/>
                    <w:jc w:val="both"/>
                    <w:rPr>
                      <w:rFonts w:hint="default" w:eastAsia="宋体"/>
                      <w:sz w:val="20"/>
                      <w:szCs w:val="20"/>
                      <w:lang w:val="en-US" w:eastAsia="zh-CN"/>
                    </w:rPr>
                  </w:pPr>
                  <w:r>
                    <w:rPr>
                      <w:rFonts w:hint="eastAsia"/>
                      <w:sz w:val="20"/>
                      <w:szCs w:val="20"/>
                      <w:lang w:val="en-US" w:eastAsia="zh-CN"/>
                    </w:rPr>
                    <w:t>阅读相关拓展资料，重点理解心理学理论对学前教育的启示。</w:t>
                  </w:r>
                </w:p>
              </w:tc>
            </w:tr>
            <w:tr w14:paraId="000D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7D6ED78">
                  <w:pPr>
                    <w:widowControl w:val="0"/>
                    <w:snapToGrid w:val="0"/>
                    <w:spacing w:line="288" w:lineRule="auto"/>
                    <w:ind w:right="26"/>
                    <w:jc w:val="both"/>
                    <w:rPr>
                      <w:sz w:val="20"/>
                      <w:szCs w:val="20"/>
                    </w:rPr>
                  </w:pPr>
                  <w:r>
                    <w:rPr>
                      <w:rFonts w:hint="eastAsia"/>
                      <w:sz w:val="20"/>
                      <w:szCs w:val="20"/>
                    </w:rPr>
                    <w:t>第三单元 学前教育中的经典理论</w:t>
                  </w:r>
                </w:p>
                <w:p w14:paraId="5B60B8B5">
                  <w:pPr>
                    <w:widowControl w:val="0"/>
                    <w:snapToGrid w:val="0"/>
                    <w:spacing w:line="288" w:lineRule="auto"/>
                    <w:ind w:right="26"/>
                    <w:jc w:val="both"/>
                    <w:rPr>
                      <w:sz w:val="20"/>
                      <w:szCs w:val="20"/>
                    </w:rPr>
                  </w:pPr>
                </w:p>
              </w:tc>
              <w:tc>
                <w:tcPr>
                  <w:tcW w:w="1948" w:type="dxa"/>
                </w:tcPr>
                <w:p w14:paraId="289AE6B9">
                  <w:pPr>
                    <w:widowControl w:val="0"/>
                    <w:numPr>
                      <w:ilvl w:val="0"/>
                      <w:numId w:val="8"/>
                    </w:numPr>
                    <w:snapToGrid w:val="0"/>
                    <w:spacing w:line="288" w:lineRule="auto"/>
                    <w:ind w:right="26"/>
                    <w:jc w:val="both"/>
                    <w:rPr>
                      <w:sz w:val="20"/>
                      <w:szCs w:val="20"/>
                    </w:rPr>
                  </w:pPr>
                  <w:r>
                    <w:rPr>
                      <w:rFonts w:hint="eastAsia"/>
                      <w:sz w:val="20"/>
                      <w:szCs w:val="20"/>
                    </w:rPr>
                    <w:t>知道学前教育的中外经典大师</w:t>
                  </w:r>
                </w:p>
                <w:p w14:paraId="5992216B">
                  <w:pPr>
                    <w:widowControl w:val="0"/>
                    <w:numPr>
                      <w:ilvl w:val="0"/>
                      <w:numId w:val="8"/>
                    </w:numPr>
                    <w:snapToGrid w:val="0"/>
                    <w:spacing w:line="288" w:lineRule="auto"/>
                    <w:ind w:right="26"/>
                    <w:jc w:val="both"/>
                    <w:rPr>
                      <w:sz w:val="20"/>
                      <w:szCs w:val="20"/>
                    </w:rPr>
                  </w:pPr>
                  <w:r>
                    <w:rPr>
                      <w:rFonts w:hint="eastAsia"/>
                      <w:sz w:val="20"/>
                      <w:szCs w:val="20"/>
                    </w:rPr>
                    <w:t>理解并分析中外学前教育的主要经典理论</w:t>
                  </w:r>
                </w:p>
                <w:p w14:paraId="5618FA62">
                  <w:pPr>
                    <w:widowControl w:val="0"/>
                    <w:numPr>
                      <w:ilvl w:val="0"/>
                      <w:numId w:val="8"/>
                    </w:numPr>
                    <w:snapToGrid w:val="0"/>
                    <w:spacing w:line="288" w:lineRule="auto"/>
                    <w:ind w:right="26"/>
                    <w:jc w:val="both"/>
                    <w:rPr>
                      <w:sz w:val="20"/>
                      <w:szCs w:val="20"/>
                    </w:rPr>
                  </w:pPr>
                  <w:r>
                    <w:rPr>
                      <w:rFonts w:hint="eastAsia"/>
                      <w:sz w:val="20"/>
                      <w:szCs w:val="20"/>
                    </w:rPr>
                    <w:t>理解最近发展区的启示，并运用其进行案例分析</w:t>
                  </w:r>
                </w:p>
              </w:tc>
              <w:tc>
                <w:tcPr>
                  <w:tcW w:w="1946" w:type="dxa"/>
                </w:tcPr>
                <w:p w14:paraId="174A6CC0">
                  <w:pPr>
                    <w:widowControl w:val="0"/>
                    <w:numPr>
                      <w:ilvl w:val="0"/>
                      <w:numId w:val="9"/>
                    </w:numPr>
                    <w:snapToGrid w:val="0"/>
                    <w:spacing w:line="288" w:lineRule="auto"/>
                    <w:ind w:right="26"/>
                    <w:jc w:val="both"/>
                    <w:rPr>
                      <w:sz w:val="20"/>
                      <w:szCs w:val="20"/>
                    </w:rPr>
                  </w:pPr>
                  <w:r>
                    <w:rPr>
                      <w:rFonts w:hint="eastAsia"/>
                      <w:sz w:val="20"/>
                      <w:szCs w:val="20"/>
                    </w:rPr>
                    <w:t>能够说明多元智能理论对教育者的启示</w:t>
                  </w:r>
                </w:p>
                <w:p w14:paraId="1D3AD1DA">
                  <w:pPr>
                    <w:widowControl w:val="0"/>
                    <w:numPr>
                      <w:ilvl w:val="0"/>
                      <w:numId w:val="9"/>
                    </w:numPr>
                    <w:snapToGrid w:val="0"/>
                    <w:spacing w:line="288" w:lineRule="auto"/>
                    <w:ind w:right="26"/>
                    <w:jc w:val="both"/>
                    <w:rPr>
                      <w:sz w:val="20"/>
                      <w:szCs w:val="20"/>
                    </w:rPr>
                  </w:pPr>
                  <w:r>
                    <w:rPr>
                      <w:rFonts w:hint="eastAsia"/>
                      <w:sz w:val="20"/>
                      <w:szCs w:val="20"/>
                    </w:rPr>
                    <w:t>能够清楚表达建构主义理论的教学观的具体内容</w:t>
                  </w:r>
                </w:p>
                <w:p w14:paraId="74915256">
                  <w:pPr>
                    <w:widowControl w:val="0"/>
                    <w:numPr>
                      <w:ilvl w:val="0"/>
                      <w:numId w:val="9"/>
                    </w:numPr>
                    <w:snapToGrid w:val="0"/>
                    <w:spacing w:line="288" w:lineRule="auto"/>
                    <w:ind w:right="26"/>
                    <w:jc w:val="both"/>
                    <w:rPr>
                      <w:sz w:val="20"/>
                      <w:szCs w:val="20"/>
                    </w:rPr>
                  </w:pPr>
                  <w:r>
                    <w:rPr>
                      <w:rFonts w:hint="eastAsia"/>
                      <w:sz w:val="20"/>
                      <w:szCs w:val="20"/>
                    </w:rPr>
                    <w:t>能够论述维果斯基最近发展区与幼儿园活动设计的联系</w:t>
                  </w:r>
                </w:p>
              </w:tc>
              <w:tc>
                <w:tcPr>
                  <w:tcW w:w="1800" w:type="dxa"/>
                </w:tcPr>
                <w:p w14:paraId="0610ABA6">
                  <w:pPr>
                    <w:widowControl w:val="0"/>
                    <w:numPr>
                      <w:ilvl w:val="0"/>
                      <w:numId w:val="10"/>
                    </w:numPr>
                    <w:snapToGrid w:val="0"/>
                    <w:spacing w:line="288" w:lineRule="auto"/>
                    <w:ind w:right="26"/>
                    <w:jc w:val="both"/>
                    <w:rPr>
                      <w:sz w:val="20"/>
                      <w:szCs w:val="20"/>
                    </w:rPr>
                  </w:pPr>
                  <w:r>
                    <w:rPr>
                      <w:rFonts w:hint="eastAsia"/>
                      <w:sz w:val="20"/>
                      <w:szCs w:val="20"/>
                    </w:rPr>
                    <w:t>理解福禄贝尔、蒙台梭利、杜威及陈鹤琴的主要思想及经典理论</w:t>
                  </w:r>
                </w:p>
                <w:p w14:paraId="4895C344">
                  <w:pPr>
                    <w:widowControl w:val="0"/>
                    <w:numPr>
                      <w:ilvl w:val="0"/>
                      <w:numId w:val="10"/>
                    </w:numPr>
                    <w:snapToGrid w:val="0"/>
                    <w:spacing w:line="288" w:lineRule="auto"/>
                    <w:ind w:right="26"/>
                    <w:jc w:val="both"/>
                    <w:rPr>
                      <w:sz w:val="20"/>
                      <w:szCs w:val="20"/>
                    </w:rPr>
                  </w:pPr>
                  <w:r>
                    <w:rPr>
                      <w:rFonts w:hint="eastAsia"/>
                      <w:sz w:val="20"/>
                      <w:szCs w:val="20"/>
                    </w:rPr>
                    <w:t>分析中外学前教育的主要经典理论对于学前教育发展的影响</w:t>
                  </w:r>
                </w:p>
              </w:tc>
              <w:tc>
                <w:tcPr>
                  <w:tcW w:w="1718" w:type="dxa"/>
                </w:tcPr>
                <w:p w14:paraId="0B5C1653">
                  <w:pPr>
                    <w:widowControl w:val="0"/>
                    <w:numPr>
                      <w:ilvl w:val="0"/>
                      <w:numId w:val="0"/>
                    </w:numPr>
                    <w:snapToGrid w:val="0"/>
                    <w:spacing w:line="288" w:lineRule="auto"/>
                    <w:ind w:right="26" w:rightChars="0"/>
                    <w:jc w:val="both"/>
                    <w:rPr>
                      <w:rFonts w:hint="eastAsia"/>
                      <w:sz w:val="20"/>
                      <w:szCs w:val="20"/>
                    </w:rPr>
                  </w:pPr>
                  <w:r>
                    <w:rPr>
                      <w:rFonts w:hint="eastAsia" w:ascii="Calibri" w:hAnsi="Calibri" w:eastAsia="宋体"/>
                      <w:sz w:val="20"/>
                      <w:szCs w:val="20"/>
                      <w:lang w:eastAsia="zh-CN"/>
                    </w:rPr>
                    <w:t>搜集著名学前教育家的著作并进行阅读思考</w:t>
                  </w:r>
                  <w:r>
                    <w:rPr>
                      <w:rFonts w:hint="eastAsia" w:ascii="Calibri" w:hAnsi="Calibri"/>
                      <w:sz w:val="20"/>
                      <w:szCs w:val="20"/>
                      <w:lang w:eastAsia="zh-CN"/>
                    </w:rPr>
                    <w:t>。</w:t>
                  </w:r>
                </w:p>
              </w:tc>
            </w:tr>
            <w:tr w14:paraId="476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681693D9">
                  <w:pPr>
                    <w:widowControl w:val="0"/>
                    <w:snapToGrid w:val="0"/>
                    <w:spacing w:line="288" w:lineRule="auto"/>
                    <w:ind w:right="26"/>
                    <w:jc w:val="both"/>
                    <w:rPr>
                      <w:sz w:val="20"/>
                      <w:szCs w:val="20"/>
                    </w:rPr>
                  </w:pPr>
                  <w:r>
                    <w:rPr>
                      <w:rFonts w:hint="eastAsia"/>
                      <w:sz w:val="20"/>
                      <w:szCs w:val="20"/>
                    </w:rPr>
                    <w:t>第四单元 学前儿童</w:t>
                  </w:r>
                </w:p>
                <w:p w14:paraId="4532E61D">
                  <w:pPr>
                    <w:widowControl w:val="0"/>
                    <w:snapToGrid w:val="0"/>
                    <w:spacing w:line="288" w:lineRule="auto"/>
                    <w:ind w:right="26"/>
                    <w:jc w:val="both"/>
                    <w:rPr>
                      <w:sz w:val="20"/>
                      <w:szCs w:val="20"/>
                    </w:rPr>
                  </w:pPr>
                </w:p>
              </w:tc>
              <w:tc>
                <w:tcPr>
                  <w:tcW w:w="1948" w:type="dxa"/>
                </w:tcPr>
                <w:p w14:paraId="4CB2D128">
                  <w:pPr>
                    <w:widowControl w:val="0"/>
                    <w:numPr>
                      <w:ilvl w:val="0"/>
                      <w:numId w:val="11"/>
                    </w:numPr>
                    <w:tabs>
                      <w:tab w:val="clear" w:pos="312"/>
                    </w:tabs>
                    <w:snapToGrid w:val="0"/>
                    <w:spacing w:line="288" w:lineRule="auto"/>
                    <w:ind w:right="26"/>
                    <w:jc w:val="both"/>
                    <w:rPr>
                      <w:sz w:val="20"/>
                      <w:szCs w:val="20"/>
                    </w:rPr>
                  </w:pPr>
                  <w:r>
                    <w:rPr>
                      <w:rFonts w:hint="eastAsia"/>
                      <w:sz w:val="20"/>
                      <w:szCs w:val="20"/>
                    </w:rPr>
                    <w:t>理解儿童观的含义，分析儿童观的价值取向</w:t>
                  </w:r>
                </w:p>
                <w:p w14:paraId="030ED795">
                  <w:pPr>
                    <w:widowControl w:val="0"/>
                    <w:numPr>
                      <w:ilvl w:val="0"/>
                      <w:numId w:val="11"/>
                    </w:numPr>
                    <w:tabs>
                      <w:tab w:val="clear" w:pos="312"/>
                    </w:tabs>
                    <w:snapToGrid w:val="0"/>
                    <w:spacing w:line="288" w:lineRule="auto"/>
                    <w:ind w:right="26"/>
                    <w:jc w:val="both"/>
                    <w:rPr>
                      <w:sz w:val="20"/>
                      <w:szCs w:val="20"/>
                    </w:rPr>
                  </w:pPr>
                  <w:r>
                    <w:rPr>
                      <w:rFonts w:hint="eastAsia"/>
                      <w:sz w:val="20"/>
                      <w:szCs w:val="20"/>
                    </w:rPr>
                    <w:t>理解儿童权利的含义</w:t>
                  </w:r>
                </w:p>
                <w:p w14:paraId="6B711FC1">
                  <w:pPr>
                    <w:widowControl w:val="0"/>
                    <w:numPr>
                      <w:ilvl w:val="0"/>
                      <w:numId w:val="11"/>
                    </w:numPr>
                    <w:tabs>
                      <w:tab w:val="clear" w:pos="312"/>
                    </w:tabs>
                    <w:snapToGrid w:val="0"/>
                    <w:spacing w:line="288" w:lineRule="auto"/>
                    <w:ind w:right="26"/>
                    <w:jc w:val="both"/>
                    <w:rPr>
                      <w:sz w:val="20"/>
                      <w:szCs w:val="20"/>
                    </w:rPr>
                  </w:pPr>
                  <w:r>
                    <w:rPr>
                      <w:rFonts w:hint="eastAsia"/>
                      <w:sz w:val="20"/>
                      <w:szCs w:val="20"/>
                    </w:rPr>
                    <w:t>知道儿童文化的定义</w:t>
                  </w:r>
                </w:p>
                <w:p w14:paraId="6DDC2AE5">
                  <w:pPr>
                    <w:widowControl w:val="0"/>
                    <w:numPr>
                      <w:ilvl w:val="0"/>
                      <w:numId w:val="11"/>
                    </w:numPr>
                    <w:tabs>
                      <w:tab w:val="clear" w:pos="312"/>
                    </w:tabs>
                    <w:snapToGrid w:val="0"/>
                    <w:spacing w:line="288" w:lineRule="auto"/>
                    <w:ind w:right="26"/>
                    <w:jc w:val="both"/>
                    <w:rPr>
                      <w:sz w:val="20"/>
                      <w:szCs w:val="20"/>
                    </w:rPr>
                  </w:pPr>
                  <w:r>
                    <w:rPr>
                      <w:rFonts w:hint="eastAsia"/>
                      <w:sz w:val="20"/>
                      <w:szCs w:val="20"/>
                    </w:rPr>
                    <w:t>分析儿童研究的基本内容</w:t>
                  </w:r>
                </w:p>
              </w:tc>
              <w:tc>
                <w:tcPr>
                  <w:tcW w:w="1946" w:type="dxa"/>
                </w:tcPr>
                <w:p w14:paraId="326686CF">
                  <w:pPr>
                    <w:widowControl w:val="0"/>
                    <w:numPr>
                      <w:ilvl w:val="0"/>
                      <w:numId w:val="12"/>
                    </w:numPr>
                    <w:snapToGrid w:val="0"/>
                    <w:spacing w:line="288" w:lineRule="auto"/>
                    <w:ind w:right="26"/>
                    <w:jc w:val="both"/>
                    <w:rPr>
                      <w:sz w:val="20"/>
                      <w:szCs w:val="20"/>
                    </w:rPr>
                  </w:pPr>
                  <w:r>
                    <w:rPr>
                      <w:rFonts w:hint="eastAsia"/>
                      <w:sz w:val="20"/>
                      <w:szCs w:val="20"/>
                    </w:rPr>
                    <w:t>能够表述《儿童权利公约》所规定的儿童权利的内容</w:t>
                  </w:r>
                </w:p>
                <w:p w14:paraId="224E712B">
                  <w:pPr>
                    <w:widowControl w:val="0"/>
                    <w:numPr>
                      <w:ilvl w:val="0"/>
                      <w:numId w:val="12"/>
                    </w:numPr>
                    <w:snapToGrid w:val="0"/>
                    <w:spacing w:line="288" w:lineRule="auto"/>
                    <w:ind w:right="26"/>
                    <w:jc w:val="both"/>
                    <w:rPr>
                      <w:sz w:val="20"/>
                      <w:szCs w:val="20"/>
                    </w:rPr>
                  </w:pPr>
                  <w:r>
                    <w:rPr>
                      <w:rFonts w:hint="eastAsia"/>
                      <w:sz w:val="20"/>
                      <w:szCs w:val="20"/>
                    </w:rPr>
                    <w:t>能够简要论述儿童观的3种价值取向</w:t>
                  </w:r>
                </w:p>
                <w:p w14:paraId="36583A6A">
                  <w:pPr>
                    <w:widowControl w:val="0"/>
                    <w:numPr>
                      <w:ilvl w:val="0"/>
                      <w:numId w:val="12"/>
                    </w:numPr>
                    <w:snapToGrid w:val="0"/>
                    <w:spacing w:line="288" w:lineRule="auto"/>
                    <w:ind w:right="26"/>
                    <w:jc w:val="both"/>
                    <w:rPr>
                      <w:sz w:val="20"/>
                      <w:szCs w:val="20"/>
                    </w:rPr>
                  </w:pPr>
                  <w:r>
                    <w:rPr>
                      <w:rFonts w:hint="eastAsia"/>
                      <w:sz w:val="20"/>
                      <w:szCs w:val="20"/>
                    </w:rPr>
                    <w:t>能够论述儿童文化的发生机制</w:t>
                  </w:r>
                </w:p>
                <w:p w14:paraId="71C5CC65">
                  <w:pPr>
                    <w:widowControl w:val="0"/>
                    <w:numPr>
                      <w:ilvl w:val="0"/>
                      <w:numId w:val="12"/>
                    </w:numPr>
                    <w:snapToGrid w:val="0"/>
                    <w:spacing w:line="288" w:lineRule="auto"/>
                    <w:ind w:right="26"/>
                    <w:jc w:val="both"/>
                    <w:rPr>
                      <w:sz w:val="20"/>
                      <w:szCs w:val="20"/>
                    </w:rPr>
                  </w:pPr>
                  <w:r>
                    <w:rPr>
                      <w:rFonts w:hint="eastAsia"/>
                      <w:sz w:val="20"/>
                      <w:szCs w:val="20"/>
                    </w:rPr>
                    <w:t>能够简要表明儿童研究的基本内容有哪些</w:t>
                  </w:r>
                </w:p>
              </w:tc>
              <w:tc>
                <w:tcPr>
                  <w:tcW w:w="1800" w:type="dxa"/>
                </w:tcPr>
                <w:p w14:paraId="4C3F415E">
                  <w:pPr>
                    <w:widowControl w:val="0"/>
                    <w:numPr>
                      <w:ilvl w:val="0"/>
                      <w:numId w:val="13"/>
                    </w:numPr>
                    <w:snapToGrid w:val="0"/>
                    <w:spacing w:line="288" w:lineRule="auto"/>
                    <w:ind w:right="26"/>
                    <w:jc w:val="both"/>
                    <w:rPr>
                      <w:sz w:val="20"/>
                      <w:szCs w:val="20"/>
                    </w:rPr>
                  </w:pPr>
                  <w:r>
                    <w:rPr>
                      <w:rFonts w:hint="eastAsia"/>
                      <w:sz w:val="20"/>
                      <w:szCs w:val="20"/>
                    </w:rPr>
                    <w:t>了解东西方儿童观的历史演变过程及从儿童作为国家或家庭的私有财产到儿童自身权利的确认与保护的变化</w:t>
                  </w:r>
                </w:p>
                <w:p w14:paraId="31BB8499">
                  <w:pPr>
                    <w:widowControl w:val="0"/>
                    <w:numPr>
                      <w:ilvl w:val="0"/>
                      <w:numId w:val="13"/>
                    </w:numPr>
                    <w:snapToGrid w:val="0"/>
                    <w:spacing w:line="288" w:lineRule="auto"/>
                    <w:ind w:right="26"/>
                    <w:jc w:val="both"/>
                    <w:rPr>
                      <w:sz w:val="20"/>
                      <w:szCs w:val="20"/>
                    </w:rPr>
                  </w:pPr>
                  <w:r>
                    <w:rPr>
                      <w:rFonts w:hint="eastAsia"/>
                      <w:sz w:val="20"/>
                      <w:szCs w:val="20"/>
                    </w:rPr>
                    <w:t>了解我国儿童权利所存在的问题，对从立法方面完善儿童权利提出建议</w:t>
                  </w:r>
                </w:p>
              </w:tc>
              <w:tc>
                <w:tcPr>
                  <w:tcW w:w="1718" w:type="dxa"/>
                </w:tcPr>
                <w:p w14:paraId="2987DE4C">
                  <w:pPr>
                    <w:widowControl w:val="0"/>
                    <w:numPr>
                      <w:ilvl w:val="0"/>
                      <w:numId w:val="0"/>
                    </w:numPr>
                    <w:snapToGrid w:val="0"/>
                    <w:spacing w:line="288" w:lineRule="auto"/>
                    <w:ind w:right="26" w:rightChars="0"/>
                    <w:jc w:val="both"/>
                    <w:rPr>
                      <w:rFonts w:hint="eastAsia"/>
                      <w:sz w:val="20"/>
                      <w:szCs w:val="20"/>
                    </w:rPr>
                  </w:pPr>
                  <w:r>
                    <w:rPr>
                      <w:rFonts w:hint="eastAsia" w:ascii="Calibri" w:hAnsi="Calibri" w:eastAsia="宋体"/>
                      <w:sz w:val="20"/>
                      <w:szCs w:val="20"/>
                      <w:lang w:eastAsia="zh-CN"/>
                    </w:rPr>
                    <w:t>思考儿童观的演变，掌握现代科学儿童观</w:t>
                  </w:r>
                  <w:r>
                    <w:rPr>
                      <w:rFonts w:hint="eastAsia" w:ascii="Calibri" w:hAnsi="Calibri"/>
                      <w:sz w:val="20"/>
                      <w:szCs w:val="20"/>
                      <w:lang w:val="en-US" w:eastAsia="zh-CN"/>
                    </w:rPr>
                    <w:t>的内涵，能够分析材料案例中所体现的儿童观</w:t>
                  </w:r>
                  <w:r>
                    <w:rPr>
                      <w:rFonts w:hint="eastAsia" w:ascii="Calibri" w:hAnsi="Calibri"/>
                      <w:sz w:val="20"/>
                      <w:szCs w:val="20"/>
                      <w:lang w:eastAsia="zh-CN"/>
                    </w:rPr>
                    <w:t>。</w:t>
                  </w:r>
                </w:p>
              </w:tc>
            </w:tr>
            <w:tr w14:paraId="6FF7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C21B4C4">
                  <w:pPr>
                    <w:widowControl w:val="0"/>
                    <w:snapToGrid w:val="0"/>
                    <w:spacing w:line="288" w:lineRule="auto"/>
                    <w:ind w:right="26"/>
                    <w:jc w:val="both"/>
                    <w:rPr>
                      <w:sz w:val="20"/>
                      <w:szCs w:val="20"/>
                    </w:rPr>
                  </w:pPr>
                  <w:r>
                    <w:rPr>
                      <w:rFonts w:hint="eastAsia"/>
                      <w:sz w:val="20"/>
                      <w:szCs w:val="20"/>
                    </w:rPr>
                    <w:t>第五单元 学前教师</w:t>
                  </w:r>
                </w:p>
                <w:p w14:paraId="74208DD5">
                  <w:pPr>
                    <w:widowControl w:val="0"/>
                    <w:snapToGrid w:val="0"/>
                    <w:spacing w:line="288" w:lineRule="auto"/>
                    <w:ind w:right="26"/>
                    <w:jc w:val="both"/>
                    <w:rPr>
                      <w:sz w:val="20"/>
                      <w:szCs w:val="20"/>
                    </w:rPr>
                  </w:pPr>
                </w:p>
              </w:tc>
              <w:tc>
                <w:tcPr>
                  <w:tcW w:w="1948" w:type="dxa"/>
                </w:tcPr>
                <w:p w14:paraId="1FEE11ED">
                  <w:pPr>
                    <w:widowControl w:val="0"/>
                    <w:numPr>
                      <w:ilvl w:val="0"/>
                      <w:numId w:val="14"/>
                    </w:numPr>
                    <w:snapToGrid w:val="0"/>
                    <w:spacing w:line="288" w:lineRule="auto"/>
                    <w:ind w:right="26"/>
                    <w:jc w:val="both"/>
                    <w:rPr>
                      <w:sz w:val="20"/>
                      <w:szCs w:val="20"/>
                    </w:rPr>
                  </w:pPr>
                  <w:r>
                    <w:rPr>
                      <w:rFonts w:hint="eastAsia"/>
                      <w:sz w:val="20"/>
                      <w:szCs w:val="20"/>
                    </w:rPr>
                    <w:t>知道学前教师的角色是儿童的支持者、引导者与合作者</w:t>
                  </w:r>
                </w:p>
                <w:p w14:paraId="0B327A28">
                  <w:pPr>
                    <w:widowControl w:val="0"/>
                    <w:numPr>
                      <w:ilvl w:val="0"/>
                      <w:numId w:val="14"/>
                    </w:numPr>
                    <w:snapToGrid w:val="0"/>
                    <w:spacing w:line="288" w:lineRule="auto"/>
                    <w:ind w:right="26"/>
                    <w:jc w:val="both"/>
                    <w:rPr>
                      <w:sz w:val="20"/>
                      <w:szCs w:val="20"/>
                    </w:rPr>
                  </w:pPr>
                  <w:r>
                    <w:rPr>
                      <w:rFonts w:hint="eastAsia"/>
                      <w:sz w:val="20"/>
                      <w:szCs w:val="20"/>
                    </w:rPr>
                    <w:t>理解学前教师需具备一定专业能力，达到学前教师专业标准</w:t>
                  </w:r>
                </w:p>
                <w:p w14:paraId="2A8507D4">
                  <w:pPr>
                    <w:widowControl w:val="0"/>
                    <w:numPr>
                      <w:ilvl w:val="0"/>
                      <w:numId w:val="14"/>
                    </w:numPr>
                    <w:snapToGrid w:val="0"/>
                    <w:spacing w:line="288" w:lineRule="auto"/>
                    <w:ind w:right="26"/>
                    <w:jc w:val="both"/>
                    <w:rPr>
                      <w:sz w:val="20"/>
                      <w:szCs w:val="20"/>
                    </w:rPr>
                  </w:pPr>
                  <w:r>
                    <w:rPr>
                      <w:rFonts w:hint="eastAsia"/>
                      <w:sz w:val="20"/>
                      <w:szCs w:val="20"/>
                    </w:rPr>
                    <w:t>理解并分析师幼关系是学前教育中的关键因素之一</w:t>
                  </w:r>
                </w:p>
              </w:tc>
              <w:tc>
                <w:tcPr>
                  <w:tcW w:w="1946" w:type="dxa"/>
                </w:tcPr>
                <w:p w14:paraId="4C8A2BCD">
                  <w:pPr>
                    <w:widowControl w:val="0"/>
                    <w:numPr>
                      <w:ilvl w:val="0"/>
                      <w:numId w:val="15"/>
                    </w:numPr>
                    <w:snapToGrid w:val="0"/>
                    <w:spacing w:line="288" w:lineRule="auto"/>
                    <w:ind w:right="26"/>
                    <w:jc w:val="both"/>
                    <w:rPr>
                      <w:sz w:val="20"/>
                      <w:szCs w:val="20"/>
                    </w:rPr>
                  </w:pPr>
                  <w:r>
                    <w:rPr>
                      <w:rFonts w:hint="eastAsia"/>
                      <w:sz w:val="20"/>
                      <w:szCs w:val="20"/>
                    </w:rPr>
                    <w:t>能够表述学前教师的角色特点</w:t>
                  </w:r>
                </w:p>
                <w:p w14:paraId="6BBF44DE">
                  <w:pPr>
                    <w:widowControl w:val="0"/>
                    <w:numPr>
                      <w:ilvl w:val="0"/>
                      <w:numId w:val="15"/>
                    </w:numPr>
                    <w:snapToGrid w:val="0"/>
                    <w:spacing w:line="288" w:lineRule="auto"/>
                    <w:ind w:right="26"/>
                    <w:jc w:val="both"/>
                    <w:rPr>
                      <w:sz w:val="20"/>
                      <w:szCs w:val="20"/>
                    </w:rPr>
                  </w:pPr>
                  <w:r>
                    <w:rPr>
                      <w:rFonts w:hint="eastAsia"/>
                      <w:sz w:val="20"/>
                      <w:szCs w:val="20"/>
                    </w:rPr>
                    <w:t>能够正确说明学前教师的专业化的内涵，说明学前教师专业化所包含的内容</w:t>
                  </w:r>
                </w:p>
                <w:p w14:paraId="23C1D9FB">
                  <w:pPr>
                    <w:widowControl w:val="0"/>
                    <w:numPr>
                      <w:ilvl w:val="0"/>
                      <w:numId w:val="15"/>
                    </w:numPr>
                    <w:snapToGrid w:val="0"/>
                    <w:spacing w:line="288" w:lineRule="auto"/>
                    <w:ind w:right="26"/>
                    <w:jc w:val="both"/>
                    <w:rPr>
                      <w:sz w:val="20"/>
                      <w:szCs w:val="20"/>
                    </w:rPr>
                  </w:pPr>
                  <w:r>
                    <w:rPr>
                      <w:rFonts w:hint="eastAsia"/>
                      <w:sz w:val="20"/>
                      <w:szCs w:val="20"/>
                    </w:rPr>
                    <w:t>能够简要说明学前教师的专业发展阶段的划分</w:t>
                  </w:r>
                </w:p>
                <w:p w14:paraId="5ED44A39">
                  <w:pPr>
                    <w:widowControl w:val="0"/>
                    <w:numPr>
                      <w:ilvl w:val="0"/>
                      <w:numId w:val="15"/>
                    </w:numPr>
                    <w:snapToGrid w:val="0"/>
                    <w:spacing w:line="288" w:lineRule="auto"/>
                    <w:ind w:right="26"/>
                    <w:jc w:val="both"/>
                    <w:rPr>
                      <w:sz w:val="20"/>
                      <w:szCs w:val="20"/>
                    </w:rPr>
                  </w:pPr>
                  <w:r>
                    <w:rPr>
                      <w:rFonts w:hint="eastAsia"/>
                      <w:sz w:val="20"/>
                      <w:szCs w:val="20"/>
                    </w:rPr>
                    <w:t>能够简要论述自己所认为的良好的师幼关系的形态</w:t>
                  </w:r>
                </w:p>
              </w:tc>
              <w:tc>
                <w:tcPr>
                  <w:tcW w:w="1800" w:type="dxa"/>
                </w:tcPr>
                <w:p w14:paraId="113056F5">
                  <w:pPr>
                    <w:widowControl w:val="0"/>
                    <w:numPr>
                      <w:ilvl w:val="0"/>
                      <w:numId w:val="16"/>
                    </w:numPr>
                    <w:snapToGrid w:val="0"/>
                    <w:spacing w:line="288" w:lineRule="auto"/>
                    <w:ind w:right="26"/>
                    <w:jc w:val="both"/>
                    <w:rPr>
                      <w:sz w:val="20"/>
                      <w:szCs w:val="20"/>
                    </w:rPr>
                  </w:pPr>
                  <w:r>
                    <w:rPr>
                      <w:rFonts w:hint="eastAsia"/>
                      <w:sz w:val="20"/>
                      <w:szCs w:val="20"/>
                    </w:rPr>
                    <w:t>总结学前教师应具备的专业素养要求</w:t>
                  </w:r>
                </w:p>
                <w:p w14:paraId="0684BE36">
                  <w:pPr>
                    <w:widowControl w:val="0"/>
                    <w:numPr>
                      <w:ilvl w:val="0"/>
                      <w:numId w:val="16"/>
                    </w:numPr>
                    <w:snapToGrid w:val="0"/>
                    <w:spacing w:line="288" w:lineRule="auto"/>
                    <w:ind w:right="26"/>
                    <w:jc w:val="both"/>
                    <w:rPr>
                      <w:sz w:val="20"/>
                      <w:szCs w:val="20"/>
                    </w:rPr>
                  </w:pPr>
                  <w:r>
                    <w:rPr>
                      <w:rFonts w:hint="eastAsia"/>
                      <w:sz w:val="20"/>
                      <w:szCs w:val="20"/>
                    </w:rPr>
                    <w:t>梳理学前教师的专业发展过程和阶段</w:t>
                  </w:r>
                </w:p>
                <w:p w14:paraId="2D81E2DA">
                  <w:pPr>
                    <w:widowControl w:val="0"/>
                    <w:numPr>
                      <w:ilvl w:val="0"/>
                      <w:numId w:val="16"/>
                    </w:numPr>
                    <w:snapToGrid w:val="0"/>
                    <w:spacing w:line="288" w:lineRule="auto"/>
                    <w:ind w:right="26"/>
                    <w:jc w:val="both"/>
                    <w:rPr>
                      <w:sz w:val="20"/>
                      <w:szCs w:val="20"/>
                    </w:rPr>
                  </w:pPr>
                  <w:r>
                    <w:rPr>
                      <w:rFonts w:hint="eastAsia"/>
                      <w:sz w:val="20"/>
                      <w:szCs w:val="20"/>
                    </w:rPr>
                    <w:t>总结理想的师幼关系的平等内涵和构建策略</w:t>
                  </w:r>
                </w:p>
              </w:tc>
              <w:tc>
                <w:tcPr>
                  <w:tcW w:w="1718" w:type="dxa"/>
                </w:tcPr>
                <w:p w14:paraId="7E711303">
                  <w:pPr>
                    <w:widowControl w:val="0"/>
                    <w:numPr>
                      <w:ilvl w:val="0"/>
                      <w:numId w:val="0"/>
                    </w:numPr>
                    <w:snapToGrid w:val="0"/>
                    <w:spacing w:line="288" w:lineRule="auto"/>
                    <w:ind w:right="26" w:rightChars="0"/>
                    <w:jc w:val="both"/>
                    <w:rPr>
                      <w:rFonts w:hint="eastAsia"/>
                      <w:sz w:val="20"/>
                      <w:szCs w:val="20"/>
                    </w:rPr>
                  </w:pPr>
                  <w:r>
                    <w:rPr>
                      <w:rFonts w:hint="eastAsia" w:ascii="Calibri" w:hAnsi="Calibri"/>
                      <w:sz w:val="20"/>
                      <w:szCs w:val="20"/>
                      <w:lang w:val="en-US" w:eastAsia="zh-CN"/>
                    </w:rPr>
                    <w:t>掌握科学教师观的内容，能够分析材料案例中所体现的教师观</w:t>
                  </w:r>
                  <w:r>
                    <w:rPr>
                      <w:rFonts w:hint="eastAsia" w:ascii="Calibri" w:hAnsi="Calibri"/>
                      <w:sz w:val="20"/>
                      <w:szCs w:val="20"/>
                      <w:lang w:eastAsia="zh-CN"/>
                    </w:rPr>
                    <w:t>。</w:t>
                  </w:r>
                </w:p>
              </w:tc>
            </w:tr>
            <w:tr w14:paraId="18DD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83878CD">
                  <w:pPr>
                    <w:widowControl w:val="0"/>
                    <w:snapToGrid w:val="0"/>
                    <w:spacing w:line="288" w:lineRule="auto"/>
                    <w:ind w:right="26"/>
                    <w:jc w:val="both"/>
                    <w:rPr>
                      <w:sz w:val="20"/>
                      <w:szCs w:val="20"/>
                    </w:rPr>
                  </w:pPr>
                  <w:r>
                    <w:rPr>
                      <w:rFonts w:hint="eastAsia"/>
                      <w:sz w:val="20"/>
                      <w:szCs w:val="20"/>
                    </w:rPr>
                    <w:t>第六单元 学前课程</w:t>
                  </w:r>
                </w:p>
                <w:p w14:paraId="297F5147">
                  <w:pPr>
                    <w:widowControl w:val="0"/>
                    <w:snapToGrid w:val="0"/>
                    <w:spacing w:line="288" w:lineRule="auto"/>
                    <w:ind w:right="26"/>
                    <w:jc w:val="both"/>
                    <w:rPr>
                      <w:sz w:val="20"/>
                      <w:szCs w:val="20"/>
                    </w:rPr>
                  </w:pPr>
                </w:p>
              </w:tc>
              <w:tc>
                <w:tcPr>
                  <w:tcW w:w="1948" w:type="dxa"/>
                </w:tcPr>
                <w:p w14:paraId="145DCD90">
                  <w:pPr>
                    <w:widowControl w:val="0"/>
                    <w:numPr>
                      <w:ilvl w:val="0"/>
                      <w:numId w:val="17"/>
                    </w:numPr>
                    <w:snapToGrid w:val="0"/>
                    <w:spacing w:line="288" w:lineRule="auto"/>
                    <w:ind w:right="26"/>
                    <w:jc w:val="both"/>
                    <w:rPr>
                      <w:sz w:val="20"/>
                      <w:szCs w:val="20"/>
                    </w:rPr>
                  </w:pPr>
                  <w:r>
                    <w:rPr>
                      <w:rFonts w:hint="eastAsia"/>
                      <w:sz w:val="20"/>
                      <w:szCs w:val="20"/>
                    </w:rPr>
                    <w:t>知道课程的含义及特点</w:t>
                  </w:r>
                </w:p>
                <w:p w14:paraId="6DA3CCB3">
                  <w:pPr>
                    <w:widowControl w:val="0"/>
                    <w:numPr>
                      <w:ilvl w:val="0"/>
                      <w:numId w:val="17"/>
                    </w:numPr>
                    <w:snapToGrid w:val="0"/>
                    <w:spacing w:line="288" w:lineRule="auto"/>
                    <w:ind w:right="26"/>
                    <w:jc w:val="both"/>
                    <w:rPr>
                      <w:sz w:val="20"/>
                      <w:szCs w:val="20"/>
                    </w:rPr>
                  </w:pPr>
                  <w:r>
                    <w:rPr>
                      <w:rFonts w:hint="eastAsia"/>
                      <w:sz w:val="20"/>
                      <w:szCs w:val="20"/>
                    </w:rPr>
                    <w:t>知道学前教育课程的主要类型</w:t>
                  </w:r>
                </w:p>
                <w:p w14:paraId="3FF0E27E">
                  <w:pPr>
                    <w:widowControl w:val="0"/>
                    <w:numPr>
                      <w:ilvl w:val="0"/>
                      <w:numId w:val="17"/>
                    </w:numPr>
                    <w:snapToGrid w:val="0"/>
                    <w:spacing w:line="288" w:lineRule="auto"/>
                    <w:ind w:right="26"/>
                    <w:jc w:val="both"/>
                    <w:rPr>
                      <w:sz w:val="20"/>
                      <w:szCs w:val="20"/>
                    </w:rPr>
                  </w:pPr>
                  <w:r>
                    <w:rPr>
                      <w:rFonts w:hint="eastAsia"/>
                      <w:sz w:val="20"/>
                      <w:szCs w:val="20"/>
                    </w:rPr>
                    <w:t>理解并分析学前课程的几种模式</w:t>
                  </w:r>
                </w:p>
              </w:tc>
              <w:tc>
                <w:tcPr>
                  <w:tcW w:w="1946" w:type="dxa"/>
                </w:tcPr>
                <w:p w14:paraId="172DD22B">
                  <w:pPr>
                    <w:widowControl w:val="0"/>
                    <w:numPr>
                      <w:ilvl w:val="0"/>
                      <w:numId w:val="18"/>
                    </w:numPr>
                    <w:snapToGrid w:val="0"/>
                    <w:spacing w:line="288" w:lineRule="auto"/>
                    <w:ind w:right="26"/>
                    <w:jc w:val="both"/>
                    <w:rPr>
                      <w:sz w:val="20"/>
                      <w:szCs w:val="20"/>
                    </w:rPr>
                  </w:pPr>
                  <w:r>
                    <w:rPr>
                      <w:rFonts w:hint="eastAsia"/>
                      <w:sz w:val="20"/>
                      <w:szCs w:val="20"/>
                    </w:rPr>
                    <w:t>能够正确分析“一日生活即课程”</w:t>
                  </w:r>
                </w:p>
                <w:p w14:paraId="53E47FA8">
                  <w:pPr>
                    <w:widowControl w:val="0"/>
                    <w:numPr>
                      <w:ilvl w:val="0"/>
                      <w:numId w:val="18"/>
                    </w:numPr>
                    <w:snapToGrid w:val="0"/>
                    <w:spacing w:line="288" w:lineRule="auto"/>
                    <w:ind w:right="26"/>
                    <w:jc w:val="both"/>
                    <w:rPr>
                      <w:sz w:val="20"/>
                      <w:szCs w:val="20"/>
                    </w:rPr>
                  </w:pPr>
                  <w:r>
                    <w:rPr>
                      <w:rFonts w:hint="eastAsia"/>
                      <w:sz w:val="20"/>
                      <w:szCs w:val="20"/>
                    </w:rPr>
                    <w:t>能够分析分科课程与综合课程各自的优缺点</w:t>
                  </w:r>
                </w:p>
                <w:p w14:paraId="0002272D">
                  <w:pPr>
                    <w:widowControl w:val="0"/>
                    <w:numPr>
                      <w:ilvl w:val="0"/>
                      <w:numId w:val="18"/>
                    </w:numPr>
                    <w:snapToGrid w:val="0"/>
                    <w:spacing w:line="288" w:lineRule="auto"/>
                    <w:ind w:right="26"/>
                    <w:jc w:val="both"/>
                    <w:rPr>
                      <w:sz w:val="20"/>
                      <w:szCs w:val="20"/>
                    </w:rPr>
                  </w:pPr>
                  <w:r>
                    <w:rPr>
                      <w:rFonts w:hint="eastAsia"/>
                      <w:sz w:val="20"/>
                      <w:szCs w:val="20"/>
                    </w:rPr>
                    <w:t>能够正确分析蒙台梭利课程与瑞吉欧课程的模式的异同</w:t>
                  </w:r>
                </w:p>
              </w:tc>
              <w:tc>
                <w:tcPr>
                  <w:tcW w:w="1800" w:type="dxa"/>
                </w:tcPr>
                <w:p w14:paraId="6DA5A656">
                  <w:pPr>
                    <w:widowControl w:val="0"/>
                    <w:numPr>
                      <w:ilvl w:val="0"/>
                      <w:numId w:val="19"/>
                    </w:numPr>
                    <w:snapToGrid w:val="0"/>
                    <w:spacing w:line="288" w:lineRule="auto"/>
                    <w:ind w:right="26"/>
                    <w:jc w:val="both"/>
                    <w:rPr>
                      <w:sz w:val="20"/>
                      <w:szCs w:val="20"/>
                    </w:rPr>
                  </w:pPr>
                  <w:r>
                    <w:rPr>
                      <w:rFonts w:hint="eastAsia"/>
                      <w:sz w:val="20"/>
                      <w:szCs w:val="20"/>
                    </w:rPr>
                    <w:t>理解在我国课程改革不断深化的背景下，课程格局、课程关注的重心、课程内容、课程实施途径及课程评价的变化</w:t>
                  </w:r>
                </w:p>
                <w:p w14:paraId="06EB2BE8">
                  <w:pPr>
                    <w:widowControl w:val="0"/>
                    <w:numPr>
                      <w:ilvl w:val="0"/>
                      <w:numId w:val="19"/>
                    </w:numPr>
                    <w:snapToGrid w:val="0"/>
                    <w:spacing w:line="288" w:lineRule="auto"/>
                    <w:ind w:right="26"/>
                    <w:jc w:val="both"/>
                    <w:rPr>
                      <w:sz w:val="20"/>
                      <w:szCs w:val="20"/>
                    </w:rPr>
                  </w:pPr>
                  <w:r>
                    <w:rPr>
                      <w:rFonts w:hint="eastAsia"/>
                      <w:sz w:val="20"/>
                      <w:szCs w:val="20"/>
                    </w:rPr>
                    <w:t>了解瑞吉欧课程、高瞻课程、发展适宜课程、蒙台梭利课程及五指活动课程的特点</w:t>
                  </w:r>
                </w:p>
              </w:tc>
              <w:tc>
                <w:tcPr>
                  <w:tcW w:w="1718" w:type="dxa"/>
                </w:tcPr>
                <w:p w14:paraId="1EFD65F3">
                  <w:pPr>
                    <w:widowControl w:val="0"/>
                    <w:numPr>
                      <w:ilvl w:val="0"/>
                      <w:numId w:val="0"/>
                    </w:numPr>
                    <w:snapToGrid w:val="0"/>
                    <w:spacing w:line="288" w:lineRule="auto"/>
                    <w:ind w:right="26" w:rightChars="0"/>
                    <w:jc w:val="both"/>
                    <w:rPr>
                      <w:rFonts w:hint="default" w:eastAsia="宋体"/>
                      <w:sz w:val="20"/>
                      <w:szCs w:val="20"/>
                      <w:lang w:val="en-US" w:eastAsia="zh-CN"/>
                    </w:rPr>
                  </w:pPr>
                  <w:r>
                    <w:rPr>
                      <w:rFonts w:hint="eastAsia"/>
                      <w:sz w:val="20"/>
                      <w:szCs w:val="20"/>
                      <w:lang w:val="en-US" w:eastAsia="zh-CN"/>
                    </w:rPr>
                    <w:t>复习所学内容，深入理解掌握几种典型的学前课程模式。</w:t>
                  </w:r>
                </w:p>
              </w:tc>
            </w:tr>
            <w:tr w14:paraId="38AE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7C6B58D">
                  <w:pPr>
                    <w:widowControl w:val="0"/>
                    <w:snapToGrid w:val="0"/>
                    <w:spacing w:line="288" w:lineRule="auto"/>
                    <w:ind w:right="26"/>
                    <w:jc w:val="both"/>
                    <w:rPr>
                      <w:sz w:val="20"/>
                      <w:szCs w:val="20"/>
                    </w:rPr>
                  </w:pPr>
                  <w:r>
                    <w:rPr>
                      <w:rFonts w:hint="eastAsia"/>
                      <w:sz w:val="20"/>
                      <w:szCs w:val="20"/>
                    </w:rPr>
                    <w:t>第七单元 学前游戏活动</w:t>
                  </w:r>
                </w:p>
                <w:p w14:paraId="0D2F9999">
                  <w:pPr>
                    <w:widowControl w:val="0"/>
                    <w:snapToGrid w:val="0"/>
                    <w:spacing w:line="288" w:lineRule="auto"/>
                    <w:ind w:right="26"/>
                    <w:jc w:val="both"/>
                    <w:rPr>
                      <w:sz w:val="20"/>
                      <w:szCs w:val="20"/>
                    </w:rPr>
                  </w:pPr>
                </w:p>
              </w:tc>
              <w:tc>
                <w:tcPr>
                  <w:tcW w:w="1948" w:type="dxa"/>
                </w:tcPr>
                <w:p w14:paraId="76243EF9">
                  <w:pPr>
                    <w:widowControl w:val="0"/>
                    <w:numPr>
                      <w:ilvl w:val="0"/>
                      <w:numId w:val="20"/>
                    </w:numPr>
                    <w:snapToGrid w:val="0"/>
                    <w:spacing w:line="288" w:lineRule="auto"/>
                    <w:ind w:right="26"/>
                    <w:jc w:val="both"/>
                    <w:rPr>
                      <w:sz w:val="20"/>
                      <w:szCs w:val="20"/>
                    </w:rPr>
                  </w:pPr>
                  <w:r>
                    <w:rPr>
                      <w:rFonts w:hint="eastAsia"/>
                      <w:sz w:val="20"/>
                      <w:szCs w:val="20"/>
                    </w:rPr>
                    <w:t>知道儿童游戏的价值，理解儿童游戏的特点</w:t>
                  </w:r>
                </w:p>
                <w:p w14:paraId="6790BFBB">
                  <w:pPr>
                    <w:widowControl w:val="0"/>
                    <w:numPr>
                      <w:ilvl w:val="0"/>
                      <w:numId w:val="20"/>
                    </w:numPr>
                    <w:snapToGrid w:val="0"/>
                    <w:spacing w:line="288" w:lineRule="auto"/>
                    <w:ind w:right="26"/>
                    <w:jc w:val="both"/>
                    <w:rPr>
                      <w:sz w:val="20"/>
                      <w:szCs w:val="20"/>
                    </w:rPr>
                  </w:pPr>
                  <w:r>
                    <w:rPr>
                      <w:rFonts w:hint="eastAsia"/>
                      <w:sz w:val="20"/>
                      <w:szCs w:val="20"/>
                    </w:rPr>
                    <w:t>理解经典游戏理论及现代游戏理论</w:t>
                  </w:r>
                </w:p>
                <w:p w14:paraId="37184AB7">
                  <w:pPr>
                    <w:widowControl w:val="0"/>
                    <w:numPr>
                      <w:ilvl w:val="0"/>
                      <w:numId w:val="20"/>
                    </w:numPr>
                    <w:snapToGrid w:val="0"/>
                    <w:spacing w:line="288" w:lineRule="auto"/>
                    <w:ind w:right="26"/>
                    <w:jc w:val="both"/>
                    <w:rPr>
                      <w:sz w:val="20"/>
                      <w:szCs w:val="20"/>
                    </w:rPr>
                  </w:pPr>
                  <w:r>
                    <w:rPr>
                      <w:rFonts w:hint="eastAsia"/>
                      <w:sz w:val="20"/>
                      <w:szCs w:val="20"/>
                    </w:rPr>
                    <w:t>理解并分析幼儿园游戏分类，运用指导原则对于幼儿的游戏进行恰当干预</w:t>
                  </w:r>
                </w:p>
              </w:tc>
              <w:tc>
                <w:tcPr>
                  <w:tcW w:w="1946" w:type="dxa"/>
                </w:tcPr>
                <w:p w14:paraId="39F729E5">
                  <w:pPr>
                    <w:widowControl w:val="0"/>
                    <w:numPr>
                      <w:ilvl w:val="0"/>
                      <w:numId w:val="21"/>
                    </w:numPr>
                    <w:snapToGrid w:val="0"/>
                    <w:spacing w:line="288" w:lineRule="auto"/>
                    <w:ind w:right="26"/>
                    <w:jc w:val="both"/>
                    <w:rPr>
                      <w:sz w:val="20"/>
                      <w:szCs w:val="20"/>
                    </w:rPr>
                  </w:pPr>
                  <w:r>
                    <w:rPr>
                      <w:rFonts w:hint="eastAsia"/>
                      <w:sz w:val="20"/>
                      <w:szCs w:val="20"/>
                    </w:rPr>
                    <w:t>能够说明游戏对于儿童发展的重要作用</w:t>
                  </w:r>
                </w:p>
                <w:p w14:paraId="5A0F00BE">
                  <w:pPr>
                    <w:widowControl w:val="0"/>
                    <w:numPr>
                      <w:ilvl w:val="0"/>
                      <w:numId w:val="21"/>
                    </w:numPr>
                    <w:snapToGrid w:val="0"/>
                    <w:spacing w:line="288" w:lineRule="auto"/>
                    <w:ind w:right="26"/>
                    <w:jc w:val="both"/>
                    <w:rPr>
                      <w:sz w:val="20"/>
                      <w:szCs w:val="20"/>
                    </w:rPr>
                  </w:pPr>
                  <w:r>
                    <w:rPr>
                      <w:rFonts w:hint="eastAsia"/>
                      <w:sz w:val="20"/>
                      <w:szCs w:val="20"/>
                    </w:rPr>
                    <w:t>能够分析在幼儿园所看的儿童游戏及教师指导，并正确判断是否符合游戏的特点和游戏的指导原则</w:t>
                  </w:r>
                </w:p>
                <w:p w14:paraId="0C9C6EF7">
                  <w:pPr>
                    <w:widowControl w:val="0"/>
                    <w:numPr>
                      <w:ilvl w:val="0"/>
                      <w:numId w:val="21"/>
                    </w:numPr>
                    <w:snapToGrid w:val="0"/>
                    <w:spacing w:line="288" w:lineRule="auto"/>
                    <w:ind w:right="26"/>
                    <w:jc w:val="both"/>
                    <w:rPr>
                      <w:sz w:val="20"/>
                      <w:szCs w:val="20"/>
                    </w:rPr>
                  </w:pPr>
                  <w:r>
                    <w:rPr>
                      <w:rFonts w:hint="eastAsia"/>
                      <w:sz w:val="20"/>
                      <w:szCs w:val="20"/>
                    </w:rPr>
                    <w:t>能够分析游戏案例具有的作用及功能</w:t>
                  </w:r>
                </w:p>
              </w:tc>
              <w:tc>
                <w:tcPr>
                  <w:tcW w:w="1800" w:type="dxa"/>
                </w:tcPr>
                <w:p w14:paraId="6859A975">
                  <w:pPr>
                    <w:widowControl w:val="0"/>
                    <w:numPr>
                      <w:ilvl w:val="0"/>
                      <w:numId w:val="22"/>
                    </w:numPr>
                    <w:snapToGrid w:val="0"/>
                    <w:spacing w:line="288" w:lineRule="auto"/>
                    <w:ind w:right="26"/>
                    <w:jc w:val="both"/>
                    <w:rPr>
                      <w:sz w:val="20"/>
                      <w:szCs w:val="20"/>
                    </w:rPr>
                  </w:pPr>
                  <w:r>
                    <w:rPr>
                      <w:rFonts w:hint="eastAsia"/>
                      <w:sz w:val="20"/>
                      <w:szCs w:val="20"/>
                    </w:rPr>
                    <w:t>理解游戏对于学前儿童发展的重要意义与价值</w:t>
                  </w:r>
                </w:p>
                <w:p w14:paraId="52C6E264">
                  <w:pPr>
                    <w:widowControl w:val="0"/>
                    <w:numPr>
                      <w:ilvl w:val="0"/>
                      <w:numId w:val="22"/>
                    </w:numPr>
                    <w:snapToGrid w:val="0"/>
                    <w:spacing w:line="288" w:lineRule="auto"/>
                    <w:ind w:right="26"/>
                    <w:jc w:val="both"/>
                    <w:rPr>
                      <w:sz w:val="20"/>
                      <w:szCs w:val="20"/>
                    </w:rPr>
                  </w:pPr>
                  <w:r>
                    <w:rPr>
                      <w:rFonts w:hint="eastAsia"/>
                      <w:sz w:val="20"/>
                      <w:szCs w:val="20"/>
                    </w:rPr>
                    <w:t>能够遵循适当的指导原则，运用恰当的干预形式与干预时机，对于学前儿童的各种游戏进行指导</w:t>
                  </w:r>
                </w:p>
              </w:tc>
              <w:tc>
                <w:tcPr>
                  <w:tcW w:w="1718" w:type="dxa"/>
                </w:tcPr>
                <w:p w14:paraId="6FC7C621">
                  <w:pPr>
                    <w:widowControl w:val="0"/>
                    <w:numPr>
                      <w:ilvl w:val="0"/>
                      <w:numId w:val="0"/>
                    </w:numPr>
                    <w:snapToGrid w:val="0"/>
                    <w:spacing w:line="288" w:lineRule="auto"/>
                    <w:ind w:right="26" w:rightChars="0"/>
                    <w:jc w:val="both"/>
                    <w:rPr>
                      <w:rFonts w:hint="eastAsia"/>
                      <w:sz w:val="20"/>
                      <w:szCs w:val="20"/>
                    </w:rPr>
                  </w:pPr>
                  <w:r>
                    <w:rPr>
                      <w:rFonts w:hint="eastAsia" w:ascii="Calibri" w:hAnsi="Calibri" w:eastAsia="宋体"/>
                      <w:sz w:val="20"/>
                      <w:szCs w:val="20"/>
                      <w:lang w:eastAsia="zh-CN"/>
                    </w:rPr>
                    <w:t>收集各类幼儿园游戏，并思考幼儿教师如何进行游戏指导</w:t>
                  </w:r>
                  <w:r>
                    <w:rPr>
                      <w:rFonts w:hint="eastAsia" w:ascii="Calibri" w:hAnsi="Calibri"/>
                      <w:sz w:val="20"/>
                      <w:szCs w:val="20"/>
                      <w:lang w:eastAsia="zh-CN"/>
                    </w:rPr>
                    <w:t>。</w:t>
                  </w:r>
                </w:p>
              </w:tc>
            </w:tr>
            <w:tr w14:paraId="537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9065B80">
                  <w:pPr>
                    <w:widowControl w:val="0"/>
                    <w:snapToGrid w:val="0"/>
                    <w:spacing w:line="288" w:lineRule="auto"/>
                    <w:ind w:right="26"/>
                    <w:jc w:val="both"/>
                    <w:rPr>
                      <w:sz w:val="20"/>
                      <w:szCs w:val="20"/>
                    </w:rPr>
                  </w:pPr>
                  <w:r>
                    <w:rPr>
                      <w:rFonts w:hint="eastAsia"/>
                      <w:sz w:val="20"/>
                      <w:szCs w:val="20"/>
                    </w:rPr>
                    <w:t>第八单元 学前教学活动</w:t>
                  </w:r>
                </w:p>
                <w:p w14:paraId="53F0F984">
                  <w:pPr>
                    <w:widowControl w:val="0"/>
                    <w:snapToGrid w:val="0"/>
                    <w:spacing w:line="288" w:lineRule="auto"/>
                    <w:ind w:right="26"/>
                    <w:jc w:val="both"/>
                    <w:rPr>
                      <w:sz w:val="20"/>
                      <w:szCs w:val="20"/>
                    </w:rPr>
                  </w:pPr>
                </w:p>
              </w:tc>
              <w:tc>
                <w:tcPr>
                  <w:tcW w:w="1948" w:type="dxa"/>
                </w:tcPr>
                <w:p w14:paraId="5EA129BF">
                  <w:pPr>
                    <w:widowControl w:val="0"/>
                    <w:numPr>
                      <w:ilvl w:val="0"/>
                      <w:numId w:val="23"/>
                    </w:numPr>
                    <w:snapToGrid w:val="0"/>
                    <w:spacing w:line="288" w:lineRule="auto"/>
                    <w:ind w:right="26"/>
                    <w:jc w:val="both"/>
                    <w:rPr>
                      <w:sz w:val="20"/>
                      <w:szCs w:val="20"/>
                    </w:rPr>
                  </w:pPr>
                  <w:r>
                    <w:rPr>
                      <w:rFonts w:hint="eastAsia"/>
                      <w:sz w:val="20"/>
                      <w:szCs w:val="20"/>
                    </w:rPr>
                    <w:t>知道学前教育活动的含义及特点</w:t>
                  </w:r>
                </w:p>
                <w:p w14:paraId="67CB7AB2">
                  <w:pPr>
                    <w:widowControl w:val="0"/>
                    <w:numPr>
                      <w:ilvl w:val="0"/>
                      <w:numId w:val="23"/>
                    </w:numPr>
                    <w:snapToGrid w:val="0"/>
                    <w:spacing w:line="288" w:lineRule="auto"/>
                    <w:ind w:right="26"/>
                    <w:jc w:val="both"/>
                    <w:rPr>
                      <w:sz w:val="20"/>
                      <w:szCs w:val="20"/>
                    </w:rPr>
                  </w:pPr>
                  <w:r>
                    <w:rPr>
                      <w:rFonts w:hint="eastAsia"/>
                      <w:sz w:val="20"/>
                      <w:szCs w:val="20"/>
                    </w:rPr>
                    <w:t>理解学前教育活动设计的具体内容</w:t>
                  </w:r>
                </w:p>
                <w:p w14:paraId="042EF79A">
                  <w:pPr>
                    <w:widowControl w:val="0"/>
                    <w:numPr>
                      <w:ilvl w:val="0"/>
                      <w:numId w:val="23"/>
                    </w:numPr>
                    <w:snapToGrid w:val="0"/>
                    <w:spacing w:line="288" w:lineRule="auto"/>
                    <w:ind w:right="26"/>
                    <w:jc w:val="both"/>
                    <w:rPr>
                      <w:sz w:val="20"/>
                      <w:szCs w:val="20"/>
                    </w:rPr>
                  </w:pPr>
                  <w:r>
                    <w:rPr>
                      <w:rFonts w:hint="eastAsia"/>
                      <w:sz w:val="20"/>
                      <w:szCs w:val="20"/>
                    </w:rPr>
                    <w:t>分析学前教学活动评价的内容及类型</w:t>
                  </w:r>
                </w:p>
              </w:tc>
              <w:tc>
                <w:tcPr>
                  <w:tcW w:w="1946" w:type="dxa"/>
                </w:tcPr>
                <w:p w14:paraId="18DD88DE">
                  <w:pPr>
                    <w:widowControl w:val="0"/>
                    <w:numPr>
                      <w:ilvl w:val="0"/>
                      <w:numId w:val="24"/>
                    </w:numPr>
                    <w:snapToGrid w:val="0"/>
                    <w:spacing w:line="288" w:lineRule="auto"/>
                    <w:ind w:right="26"/>
                    <w:jc w:val="both"/>
                    <w:rPr>
                      <w:sz w:val="20"/>
                      <w:szCs w:val="20"/>
                    </w:rPr>
                  </w:pPr>
                  <w:r>
                    <w:rPr>
                      <w:rFonts w:hint="eastAsia"/>
                      <w:sz w:val="20"/>
                      <w:szCs w:val="20"/>
                    </w:rPr>
                    <w:t>能够正确理解学前教学活动的特点</w:t>
                  </w:r>
                </w:p>
                <w:p w14:paraId="05D86FCA">
                  <w:pPr>
                    <w:widowControl w:val="0"/>
                    <w:numPr>
                      <w:ilvl w:val="0"/>
                      <w:numId w:val="24"/>
                    </w:numPr>
                    <w:snapToGrid w:val="0"/>
                    <w:spacing w:line="288" w:lineRule="auto"/>
                    <w:ind w:right="26"/>
                    <w:jc w:val="both"/>
                    <w:rPr>
                      <w:sz w:val="20"/>
                      <w:szCs w:val="20"/>
                    </w:rPr>
                  </w:pPr>
                  <w:r>
                    <w:rPr>
                      <w:rFonts w:hint="eastAsia"/>
                      <w:sz w:val="20"/>
                      <w:szCs w:val="20"/>
                    </w:rPr>
                    <w:t>能够说明学前教学活动设计的具体内容</w:t>
                  </w:r>
                </w:p>
                <w:p w14:paraId="5B454244">
                  <w:pPr>
                    <w:widowControl w:val="0"/>
                    <w:numPr>
                      <w:ilvl w:val="0"/>
                      <w:numId w:val="24"/>
                    </w:numPr>
                    <w:snapToGrid w:val="0"/>
                    <w:spacing w:line="288" w:lineRule="auto"/>
                    <w:ind w:right="26"/>
                    <w:jc w:val="both"/>
                    <w:rPr>
                      <w:sz w:val="20"/>
                      <w:szCs w:val="20"/>
                    </w:rPr>
                  </w:pPr>
                  <w:r>
                    <w:rPr>
                      <w:rFonts w:hint="eastAsia"/>
                      <w:sz w:val="20"/>
                      <w:szCs w:val="20"/>
                    </w:rPr>
                    <w:t>能够论述学前教学活动设计的重点和难点</w:t>
                  </w:r>
                </w:p>
                <w:p w14:paraId="0B0C1927">
                  <w:pPr>
                    <w:widowControl w:val="0"/>
                    <w:numPr>
                      <w:ilvl w:val="0"/>
                      <w:numId w:val="24"/>
                    </w:numPr>
                    <w:snapToGrid w:val="0"/>
                    <w:spacing w:line="288" w:lineRule="auto"/>
                    <w:ind w:right="26"/>
                    <w:jc w:val="both"/>
                    <w:rPr>
                      <w:sz w:val="20"/>
                      <w:szCs w:val="20"/>
                    </w:rPr>
                  </w:pPr>
                  <w:r>
                    <w:rPr>
                      <w:rFonts w:hint="eastAsia"/>
                      <w:sz w:val="20"/>
                      <w:szCs w:val="20"/>
                    </w:rPr>
                    <w:t>能够简要说明学前教学活动评价的类型</w:t>
                  </w:r>
                </w:p>
              </w:tc>
              <w:tc>
                <w:tcPr>
                  <w:tcW w:w="1800" w:type="dxa"/>
                </w:tcPr>
                <w:p w14:paraId="6A2D969A">
                  <w:pPr>
                    <w:widowControl w:val="0"/>
                    <w:numPr>
                      <w:ilvl w:val="0"/>
                      <w:numId w:val="25"/>
                    </w:numPr>
                    <w:snapToGrid w:val="0"/>
                    <w:spacing w:line="288" w:lineRule="auto"/>
                    <w:ind w:right="26"/>
                    <w:jc w:val="both"/>
                    <w:rPr>
                      <w:sz w:val="20"/>
                      <w:szCs w:val="20"/>
                    </w:rPr>
                  </w:pPr>
                  <w:r>
                    <w:rPr>
                      <w:rFonts w:hint="eastAsia"/>
                      <w:sz w:val="20"/>
                      <w:szCs w:val="20"/>
                    </w:rPr>
                    <w:t>依据对学前教学活动特点的概述，总结学前教学活动设计的具体内容</w:t>
                  </w:r>
                </w:p>
                <w:p w14:paraId="71F77CF1">
                  <w:pPr>
                    <w:widowControl w:val="0"/>
                    <w:numPr>
                      <w:ilvl w:val="0"/>
                      <w:numId w:val="25"/>
                    </w:numPr>
                    <w:snapToGrid w:val="0"/>
                    <w:spacing w:line="288" w:lineRule="auto"/>
                    <w:ind w:right="26"/>
                    <w:jc w:val="both"/>
                    <w:rPr>
                      <w:sz w:val="20"/>
                      <w:szCs w:val="20"/>
                    </w:rPr>
                  </w:pPr>
                  <w:r>
                    <w:rPr>
                      <w:rFonts w:hint="eastAsia"/>
                      <w:sz w:val="20"/>
                      <w:szCs w:val="20"/>
                    </w:rPr>
                    <w:t>理解学前教学活动对于调控教师教学工作及保证儿童教学活动质量的价值</w:t>
                  </w:r>
                </w:p>
              </w:tc>
              <w:tc>
                <w:tcPr>
                  <w:tcW w:w="1718" w:type="dxa"/>
                </w:tcPr>
                <w:p w14:paraId="209E746E">
                  <w:pPr>
                    <w:widowControl w:val="0"/>
                    <w:numPr>
                      <w:ilvl w:val="0"/>
                      <w:numId w:val="0"/>
                    </w:numPr>
                    <w:snapToGrid w:val="0"/>
                    <w:spacing w:line="288" w:lineRule="auto"/>
                    <w:ind w:right="26" w:rightChars="0"/>
                    <w:jc w:val="both"/>
                    <w:rPr>
                      <w:rFonts w:hint="default" w:eastAsia="宋体"/>
                      <w:sz w:val="20"/>
                      <w:szCs w:val="20"/>
                      <w:lang w:val="en-US" w:eastAsia="zh-CN"/>
                    </w:rPr>
                  </w:pPr>
                  <w:r>
                    <w:rPr>
                      <w:rFonts w:hint="eastAsia"/>
                      <w:sz w:val="20"/>
                      <w:szCs w:val="20"/>
                      <w:lang w:val="en-US" w:eastAsia="zh-CN"/>
                    </w:rPr>
                    <w:t>搜集一份学前教育活动设计方案，根据所学内容进行分析。</w:t>
                  </w:r>
                </w:p>
              </w:tc>
            </w:tr>
            <w:tr w14:paraId="3D5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89F4BB9">
                  <w:pPr>
                    <w:widowControl w:val="0"/>
                    <w:snapToGrid w:val="0"/>
                    <w:spacing w:line="288" w:lineRule="auto"/>
                    <w:ind w:right="26"/>
                    <w:jc w:val="both"/>
                    <w:rPr>
                      <w:sz w:val="20"/>
                      <w:szCs w:val="20"/>
                    </w:rPr>
                  </w:pPr>
                  <w:r>
                    <w:rPr>
                      <w:rFonts w:hint="eastAsia"/>
                      <w:sz w:val="20"/>
                      <w:szCs w:val="20"/>
                    </w:rPr>
                    <w:t>第九单元 学前教育环境</w:t>
                  </w:r>
                </w:p>
                <w:p w14:paraId="1228FCD5">
                  <w:pPr>
                    <w:widowControl w:val="0"/>
                    <w:snapToGrid w:val="0"/>
                    <w:spacing w:line="288" w:lineRule="auto"/>
                    <w:ind w:right="26"/>
                    <w:jc w:val="both"/>
                    <w:rPr>
                      <w:sz w:val="20"/>
                      <w:szCs w:val="20"/>
                    </w:rPr>
                  </w:pPr>
                </w:p>
              </w:tc>
              <w:tc>
                <w:tcPr>
                  <w:tcW w:w="1948" w:type="dxa"/>
                </w:tcPr>
                <w:p w14:paraId="49783E56">
                  <w:pPr>
                    <w:widowControl w:val="0"/>
                    <w:numPr>
                      <w:ilvl w:val="0"/>
                      <w:numId w:val="26"/>
                    </w:numPr>
                    <w:snapToGrid w:val="0"/>
                    <w:spacing w:line="288" w:lineRule="auto"/>
                    <w:ind w:right="26"/>
                    <w:jc w:val="both"/>
                    <w:rPr>
                      <w:sz w:val="20"/>
                      <w:szCs w:val="20"/>
                    </w:rPr>
                  </w:pPr>
                  <w:r>
                    <w:rPr>
                      <w:rFonts w:hint="eastAsia"/>
                      <w:sz w:val="20"/>
                      <w:szCs w:val="20"/>
                    </w:rPr>
                    <w:t>知道学前教育环境的含义</w:t>
                  </w:r>
                </w:p>
                <w:p w14:paraId="24FC439C">
                  <w:pPr>
                    <w:widowControl w:val="0"/>
                    <w:numPr>
                      <w:ilvl w:val="0"/>
                      <w:numId w:val="26"/>
                    </w:numPr>
                    <w:snapToGrid w:val="0"/>
                    <w:spacing w:line="288" w:lineRule="auto"/>
                    <w:ind w:right="26"/>
                    <w:jc w:val="both"/>
                    <w:rPr>
                      <w:sz w:val="20"/>
                      <w:szCs w:val="20"/>
                    </w:rPr>
                  </w:pPr>
                  <w:r>
                    <w:rPr>
                      <w:rFonts w:hint="eastAsia"/>
                      <w:sz w:val="20"/>
                      <w:szCs w:val="20"/>
                    </w:rPr>
                    <w:t>理解学前教育环境的创设原则</w:t>
                  </w:r>
                </w:p>
                <w:p w14:paraId="7CBA6D64">
                  <w:pPr>
                    <w:widowControl w:val="0"/>
                    <w:numPr>
                      <w:ilvl w:val="0"/>
                      <w:numId w:val="26"/>
                    </w:numPr>
                    <w:snapToGrid w:val="0"/>
                    <w:spacing w:line="288" w:lineRule="auto"/>
                    <w:ind w:right="26"/>
                    <w:jc w:val="both"/>
                    <w:rPr>
                      <w:sz w:val="20"/>
                      <w:szCs w:val="20"/>
                    </w:rPr>
                  </w:pPr>
                  <w:r>
                    <w:rPr>
                      <w:rFonts w:hint="eastAsia"/>
                      <w:sz w:val="20"/>
                      <w:szCs w:val="20"/>
                    </w:rPr>
                    <w:t>分析学前教育环境的价值</w:t>
                  </w:r>
                </w:p>
                <w:p w14:paraId="17039E99">
                  <w:pPr>
                    <w:widowControl w:val="0"/>
                    <w:numPr>
                      <w:ilvl w:val="0"/>
                      <w:numId w:val="26"/>
                    </w:numPr>
                    <w:snapToGrid w:val="0"/>
                    <w:spacing w:line="288" w:lineRule="auto"/>
                    <w:ind w:right="26"/>
                    <w:jc w:val="both"/>
                    <w:rPr>
                      <w:sz w:val="20"/>
                      <w:szCs w:val="20"/>
                    </w:rPr>
                  </w:pPr>
                  <w:r>
                    <w:rPr>
                      <w:rFonts w:hint="eastAsia"/>
                      <w:sz w:val="20"/>
                      <w:szCs w:val="20"/>
                    </w:rPr>
                    <w:t>知道学前教育环境的评价</w:t>
                  </w:r>
                </w:p>
              </w:tc>
              <w:tc>
                <w:tcPr>
                  <w:tcW w:w="1946" w:type="dxa"/>
                </w:tcPr>
                <w:p w14:paraId="00E8246F">
                  <w:pPr>
                    <w:widowControl w:val="0"/>
                    <w:numPr>
                      <w:ilvl w:val="0"/>
                      <w:numId w:val="27"/>
                    </w:numPr>
                    <w:snapToGrid w:val="0"/>
                    <w:spacing w:line="288" w:lineRule="auto"/>
                    <w:ind w:right="26"/>
                    <w:jc w:val="both"/>
                    <w:rPr>
                      <w:sz w:val="20"/>
                      <w:szCs w:val="20"/>
                    </w:rPr>
                  </w:pPr>
                  <w:r>
                    <w:rPr>
                      <w:rFonts w:hint="eastAsia"/>
                      <w:sz w:val="20"/>
                      <w:szCs w:val="20"/>
                    </w:rPr>
                    <w:t>能够分析环境对儿童发展的影响</w:t>
                  </w:r>
                </w:p>
                <w:p w14:paraId="64CA696C">
                  <w:pPr>
                    <w:widowControl w:val="0"/>
                    <w:numPr>
                      <w:ilvl w:val="0"/>
                      <w:numId w:val="27"/>
                    </w:numPr>
                    <w:snapToGrid w:val="0"/>
                    <w:spacing w:line="288" w:lineRule="auto"/>
                    <w:ind w:right="26"/>
                    <w:jc w:val="both"/>
                    <w:rPr>
                      <w:sz w:val="20"/>
                      <w:szCs w:val="20"/>
                    </w:rPr>
                  </w:pPr>
                  <w:r>
                    <w:rPr>
                      <w:rFonts w:hint="eastAsia"/>
                      <w:sz w:val="20"/>
                      <w:szCs w:val="20"/>
                    </w:rPr>
                    <w:t>能够说明影响学前教育环境的因素</w:t>
                  </w:r>
                </w:p>
                <w:p w14:paraId="443B4FCB">
                  <w:pPr>
                    <w:widowControl w:val="0"/>
                    <w:numPr>
                      <w:ilvl w:val="0"/>
                      <w:numId w:val="27"/>
                    </w:numPr>
                    <w:snapToGrid w:val="0"/>
                    <w:spacing w:line="288" w:lineRule="auto"/>
                    <w:ind w:right="26"/>
                    <w:jc w:val="both"/>
                    <w:rPr>
                      <w:sz w:val="20"/>
                      <w:szCs w:val="20"/>
                    </w:rPr>
                  </w:pPr>
                  <w:r>
                    <w:rPr>
                      <w:rFonts w:hint="eastAsia"/>
                      <w:sz w:val="20"/>
                      <w:szCs w:val="20"/>
                    </w:rPr>
                    <w:t>能够简要论述教师设计、创设好的学前教育环境的手段</w:t>
                  </w:r>
                </w:p>
                <w:p w14:paraId="3270F1D8">
                  <w:pPr>
                    <w:widowControl w:val="0"/>
                    <w:snapToGrid w:val="0"/>
                    <w:spacing w:line="288" w:lineRule="auto"/>
                    <w:ind w:right="26"/>
                    <w:jc w:val="both"/>
                    <w:rPr>
                      <w:sz w:val="20"/>
                      <w:szCs w:val="20"/>
                    </w:rPr>
                  </w:pPr>
                </w:p>
              </w:tc>
              <w:tc>
                <w:tcPr>
                  <w:tcW w:w="1800" w:type="dxa"/>
                </w:tcPr>
                <w:p w14:paraId="31FAAFCE">
                  <w:pPr>
                    <w:widowControl w:val="0"/>
                    <w:numPr>
                      <w:ilvl w:val="0"/>
                      <w:numId w:val="28"/>
                    </w:numPr>
                    <w:snapToGrid w:val="0"/>
                    <w:spacing w:line="288" w:lineRule="auto"/>
                    <w:ind w:right="26"/>
                    <w:jc w:val="both"/>
                    <w:rPr>
                      <w:sz w:val="20"/>
                      <w:szCs w:val="20"/>
                    </w:rPr>
                  </w:pPr>
                  <w:r>
                    <w:rPr>
                      <w:rFonts w:hint="eastAsia"/>
                      <w:sz w:val="20"/>
                      <w:szCs w:val="20"/>
                    </w:rPr>
                    <w:t>理解环境是重要的学前教育资源和儿童发展条件</w:t>
                  </w:r>
                </w:p>
                <w:p w14:paraId="79373E7C">
                  <w:pPr>
                    <w:widowControl w:val="0"/>
                    <w:numPr>
                      <w:ilvl w:val="0"/>
                      <w:numId w:val="28"/>
                    </w:numPr>
                    <w:snapToGrid w:val="0"/>
                    <w:spacing w:line="288" w:lineRule="auto"/>
                    <w:ind w:right="26"/>
                    <w:jc w:val="both"/>
                    <w:rPr>
                      <w:sz w:val="20"/>
                      <w:szCs w:val="20"/>
                    </w:rPr>
                  </w:pPr>
                  <w:r>
                    <w:rPr>
                      <w:rFonts w:hint="eastAsia"/>
                      <w:sz w:val="20"/>
                      <w:szCs w:val="20"/>
                    </w:rPr>
                    <w:t>分析创设适宜儿童学习与发展的环境的价值及策略</w:t>
                  </w:r>
                </w:p>
              </w:tc>
              <w:tc>
                <w:tcPr>
                  <w:tcW w:w="1718" w:type="dxa"/>
                </w:tcPr>
                <w:p w14:paraId="770B03CA">
                  <w:pPr>
                    <w:widowControl w:val="0"/>
                    <w:numPr>
                      <w:ilvl w:val="0"/>
                      <w:numId w:val="0"/>
                    </w:numPr>
                    <w:snapToGrid w:val="0"/>
                    <w:spacing w:line="288" w:lineRule="auto"/>
                    <w:ind w:right="26" w:rightChars="0"/>
                    <w:jc w:val="both"/>
                    <w:rPr>
                      <w:rFonts w:hint="default" w:eastAsia="宋体"/>
                      <w:sz w:val="20"/>
                      <w:szCs w:val="20"/>
                      <w:lang w:val="en-US" w:eastAsia="zh-CN"/>
                    </w:rPr>
                  </w:pPr>
                  <w:r>
                    <w:rPr>
                      <w:rFonts w:hint="eastAsia"/>
                      <w:sz w:val="20"/>
                      <w:szCs w:val="20"/>
                      <w:lang w:val="en-US" w:eastAsia="zh-CN"/>
                    </w:rPr>
                    <w:t>结合幼儿园环境创设图片分析其中体现的环创原则。</w:t>
                  </w:r>
                </w:p>
              </w:tc>
            </w:tr>
            <w:tr w14:paraId="08C7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BC7E419">
                  <w:pPr>
                    <w:widowControl w:val="0"/>
                    <w:snapToGrid w:val="0"/>
                    <w:spacing w:line="288" w:lineRule="auto"/>
                    <w:ind w:right="26"/>
                    <w:jc w:val="both"/>
                    <w:rPr>
                      <w:sz w:val="20"/>
                      <w:szCs w:val="20"/>
                    </w:rPr>
                  </w:pPr>
                  <w:r>
                    <w:rPr>
                      <w:rFonts w:hint="eastAsia"/>
                      <w:sz w:val="20"/>
                      <w:szCs w:val="20"/>
                    </w:rPr>
                    <w:t>第十单元 学前教育中的合作与衔接</w:t>
                  </w:r>
                </w:p>
                <w:p w14:paraId="280474C7">
                  <w:pPr>
                    <w:widowControl w:val="0"/>
                    <w:snapToGrid w:val="0"/>
                    <w:spacing w:line="288" w:lineRule="auto"/>
                    <w:ind w:right="26"/>
                    <w:jc w:val="both"/>
                    <w:rPr>
                      <w:sz w:val="20"/>
                      <w:szCs w:val="20"/>
                    </w:rPr>
                  </w:pPr>
                </w:p>
              </w:tc>
              <w:tc>
                <w:tcPr>
                  <w:tcW w:w="1948" w:type="dxa"/>
                </w:tcPr>
                <w:p w14:paraId="4E00B109">
                  <w:pPr>
                    <w:widowControl w:val="0"/>
                    <w:numPr>
                      <w:ilvl w:val="0"/>
                      <w:numId w:val="29"/>
                    </w:numPr>
                    <w:snapToGrid w:val="0"/>
                    <w:spacing w:line="288" w:lineRule="auto"/>
                    <w:ind w:right="26"/>
                    <w:jc w:val="both"/>
                    <w:rPr>
                      <w:sz w:val="20"/>
                      <w:szCs w:val="20"/>
                    </w:rPr>
                  </w:pPr>
                  <w:r>
                    <w:rPr>
                      <w:rFonts w:hint="eastAsia"/>
                      <w:sz w:val="20"/>
                      <w:szCs w:val="20"/>
                    </w:rPr>
                    <w:t>知道家园合作的意义与方法</w:t>
                  </w:r>
                </w:p>
                <w:p w14:paraId="0B948FB2">
                  <w:pPr>
                    <w:widowControl w:val="0"/>
                    <w:numPr>
                      <w:ilvl w:val="0"/>
                      <w:numId w:val="29"/>
                    </w:numPr>
                    <w:snapToGrid w:val="0"/>
                    <w:spacing w:line="288" w:lineRule="auto"/>
                    <w:ind w:right="26"/>
                    <w:jc w:val="both"/>
                    <w:rPr>
                      <w:sz w:val="20"/>
                      <w:szCs w:val="20"/>
                    </w:rPr>
                  </w:pPr>
                  <w:r>
                    <w:rPr>
                      <w:rFonts w:hint="eastAsia"/>
                      <w:sz w:val="20"/>
                      <w:szCs w:val="20"/>
                    </w:rPr>
                    <w:t>分析幼儿园与小学衔接存在的主要问题与策略</w:t>
                  </w:r>
                </w:p>
              </w:tc>
              <w:tc>
                <w:tcPr>
                  <w:tcW w:w="1946" w:type="dxa"/>
                </w:tcPr>
                <w:p w14:paraId="5D5968F1">
                  <w:pPr>
                    <w:widowControl w:val="0"/>
                    <w:numPr>
                      <w:ilvl w:val="0"/>
                      <w:numId w:val="30"/>
                    </w:numPr>
                    <w:snapToGrid w:val="0"/>
                    <w:spacing w:line="288" w:lineRule="auto"/>
                    <w:ind w:right="26"/>
                    <w:jc w:val="both"/>
                    <w:rPr>
                      <w:sz w:val="20"/>
                      <w:szCs w:val="20"/>
                    </w:rPr>
                  </w:pPr>
                  <w:r>
                    <w:rPr>
                      <w:rFonts w:hint="eastAsia"/>
                      <w:sz w:val="20"/>
                      <w:szCs w:val="20"/>
                    </w:rPr>
                    <w:t>能够论述幼儿园与家庭获得意义与方法</w:t>
                  </w:r>
                </w:p>
                <w:p w14:paraId="4A1BD81E">
                  <w:pPr>
                    <w:widowControl w:val="0"/>
                    <w:numPr>
                      <w:ilvl w:val="0"/>
                      <w:numId w:val="30"/>
                    </w:numPr>
                    <w:snapToGrid w:val="0"/>
                    <w:spacing w:line="288" w:lineRule="auto"/>
                    <w:ind w:right="26"/>
                    <w:jc w:val="both"/>
                    <w:rPr>
                      <w:sz w:val="20"/>
                      <w:szCs w:val="20"/>
                    </w:rPr>
                  </w:pPr>
                  <w:r>
                    <w:rPr>
                      <w:rFonts w:hint="eastAsia"/>
                      <w:sz w:val="20"/>
                      <w:szCs w:val="20"/>
                    </w:rPr>
                    <w:t>能够正确分析与解读幼儿园与社区合作共育的方法</w:t>
                  </w:r>
                </w:p>
                <w:p w14:paraId="293EC653">
                  <w:pPr>
                    <w:widowControl w:val="0"/>
                    <w:numPr>
                      <w:ilvl w:val="0"/>
                      <w:numId w:val="30"/>
                    </w:numPr>
                    <w:snapToGrid w:val="0"/>
                    <w:spacing w:line="288" w:lineRule="auto"/>
                    <w:ind w:right="26"/>
                    <w:jc w:val="both"/>
                    <w:rPr>
                      <w:sz w:val="20"/>
                      <w:szCs w:val="20"/>
                    </w:rPr>
                  </w:pPr>
                  <w:r>
                    <w:rPr>
                      <w:rFonts w:hint="eastAsia"/>
                      <w:sz w:val="20"/>
                      <w:szCs w:val="20"/>
                    </w:rPr>
                    <w:t>能够分析幼儿园幼小衔接工作的具体措施与错误做法</w:t>
                  </w:r>
                </w:p>
              </w:tc>
              <w:tc>
                <w:tcPr>
                  <w:tcW w:w="1800" w:type="dxa"/>
                </w:tcPr>
                <w:p w14:paraId="684B264E">
                  <w:pPr>
                    <w:widowControl w:val="0"/>
                    <w:numPr>
                      <w:ilvl w:val="0"/>
                      <w:numId w:val="31"/>
                    </w:numPr>
                    <w:snapToGrid w:val="0"/>
                    <w:spacing w:line="288" w:lineRule="auto"/>
                    <w:ind w:right="26"/>
                    <w:jc w:val="both"/>
                    <w:rPr>
                      <w:sz w:val="20"/>
                      <w:szCs w:val="20"/>
                    </w:rPr>
                  </w:pPr>
                  <w:r>
                    <w:rPr>
                      <w:rFonts w:hint="eastAsia"/>
                      <w:sz w:val="20"/>
                      <w:szCs w:val="20"/>
                    </w:rPr>
                    <w:t>理解幼儿园和家庭两者教育协调、合作的重要意义</w:t>
                  </w:r>
                </w:p>
                <w:p w14:paraId="26097B78">
                  <w:pPr>
                    <w:widowControl w:val="0"/>
                    <w:numPr>
                      <w:ilvl w:val="0"/>
                      <w:numId w:val="31"/>
                    </w:numPr>
                    <w:snapToGrid w:val="0"/>
                    <w:spacing w:line="288" w:lineRule="auto"/>
                    <w:ind w:right="26"/>
                    <w:jc w:val="both"/>
                    <w:rPr>
                      <w:sz w:val="20"/>
                      <w:szCs w:val="20"/>
                    </w:rPr>
                  </w:pPr>
                  <w:r>
                    <w:rPr>
                      <w:rFonts w:hint="eastAsia"/>
                      <w:sz w:val="20"/>
                      <w:szCs w:val="20"/>
                    </w:rPr>
                    <w:t>分析学前教育中家园合作可采用的具体方法</w:t>
                  </w:r>
                </w:p>
              </w:tc>
              <w:tc>
                <w:tcPr>
                  <w:tcW w:w="1718" w:type="dxa"/>
                </w:tcPr>
                <w:p w14:paraId="464EC4C7">
                  <w:pPr>
                    <w:widowControl w:val="0"/>
                    <w:numPr>
                      <w:ilvl w:val="0"/>
                      <w:numId w:val="0"/>
                    </w:numPr>
                    <w:snapToGrid w:val="0"/>
                    <w:spacing w:line="288" w:lineRule="auto"/>
                    <w:ind w:right="26" w:rightChars="0"/>
                    <w:jc w:val="both"/>
                    <w:rPr>
                      <w:rFonts w:hint="eastAsia"/>
                      <w:sz w:val="20"/>
                      <w:szCs w:val="20"/>
                    </w:rPr>
                  </w:pPr>
                  <w:r>
                    <w:rPr>
                      <w:rFonts w:hint="eastAsia" w:ascii="Calibri" w:hAnsi="Calibri"/>
                      <w:sz w:val="20"/>
                      <w:szCs w:val="20"/>
                      <w:lang w:val="en-US" w:eastAsia="zh-CN"/>
                    </w:rPr>
                    <w:t>总结</w:t>
                  </w:r>
                  <w:r>
                    <w:rPr>
                      <w:rFonts w:hint="eastAsia" w:ascii="Calibri" w:hAnsi="Calibri" w:eastAsia="宋体"/>
                      <w:sz w:val="20"/>
                      <w:szCs w:val="20"/>
                      <w:lang w:eastAsia="zh-CN"/>
                    </w:rPr>
                    <w:t>复习</w:t>
                  </w:r>
                </w:p>
              </w:tc>
            </w:tr>
          </w:tbl>
          <w:p w14:paraId="66AAA043">
            <w:pPr>
              <w:pStyle w:val="14"/>
              <w:widowControl w:val="0"/>
              <w:jc w:val="left"/>
              <w:rPr>
                <w:rFonts w:ascii="仿宋" w:hAnsi="仿宋" w:eastAsia="仿宋" w:cs="仿宋"/>
              </w:rPr>
            </w:pPr>
          </w:p>
        </w:tc>
      </w:tr>
      <w:bookmarkEnd w:id="1"/>
      <w:bookmarkEnd w:id="2"/>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159"/>
        <w:gridCol w:w="2796"/>
        <w:gridCol w:w="1862"/>
        <w:gridCol w:w="1659"/>
      </w:tblGrid>
      <w:tr w14:paraId="220A6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2159" w:type="dxa"/>
            <w:tcBorders>
              <w:tl2br w:val="nil"/>
              <w:tr2bl w:val="nil"/>
            </w:tcBorders>
            <w:vAlign w:val="center"/>
          </w:tcPr>
          <w:p w14:paraId="1047EB9E">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教学单元</w:t>
            </w:r>
          </w:p>
        </w:tc>
        <w:tc>
          <w:tcPr>
            <w:tcW w:w="2796" w:type="dxa"/>
            <w:tcBorders>
              <w:tl2br w:val="nil"/>
              <w:tr2bl w:val="nil"/>
            </w:tcBorders>
            <w:vAlign w:val="center"/>
          </w:tcPr>
          <w:p w14:paraId="3226C472">
            <w:pPr>
              <w:pStyle w:val="13"/>
              <w:widowControl w:val="0"/>
              <w:rPr>
                <w:szCs w:val="21"/>
                <w:highlight w:val="none"/>
              </w:rPr>
            </w:pPr>
            <w:r>
              <w:rPr>
                <w:rFonts w:hint="eastAsia" w:ascii="黑体" w:hAnsi="黑体"/>
                <w:szCs w:val="21"/>
                <w:highlight w:val="none"/>
              </w:rPr>
              <w:t>教与学方式</w:t>
            </w:r>
          </w:p>
        </w:tc>
        <w:tc>
          <w:tcPr>
            <w:tcW w:w="1862" w:type="dxa"/>
            <w:tcBorders>
              <w:tl2br w:val="nil"/>
              <w:tr2bl w:val="nil"/>
            </w:tcBorders>
            <w:vAlign w:val="center"/>
          </w:tcPr>
          <w:p w14:paraId="24EA7652">
            <w:pPr>
              <w:pStyle w:val="13"/>
              <w:widowControl w:val="0"/>
              <w:rPr>
                <w:rFonts w:ascii="黑体" w:hAnsi="黑体"/>
                <w:szCs w:val="21"/>
                <w:highlight w:val="none"/>
              </w:rPr>
            </w:pPr>
            <w:r>
              <w:rPr>
                <w:rFonts w:hint="eastAsia" w:ascii="黑体" w:hAnsi="黑体"/>
                <w:szCs w:val="21"/>
                <w:highlight w:val="none"/>
              </w:rPr>
              <w:t>考核方式</w:t>
            </w:r>
          </w:p>
        </w:tc>
        <w:tc>
          <w:tcPr>
            <w:tcW w:w="1659" w:type="dxa"/>
            <w:tcBorders>
              <w:tl2br w:val="nil"/>
              <w:tr2bl w:val="nil"/>
            </w:tcBorders>
            <w:vAlign w:val="center"/>
          </w:tcPr>
          <w:p w14:paraId="144B1E29">
            <w:pPr>
              <w:pStyle w:val="13"/>
              <w:widowControl w:val="0"/>
              <w:rPr>
                <w:rFonts w:ascii="黑体" w:hAnsi="黑体"/>
                <w:szCs w:val="21"/>
                <w:highlight w:val="none"/>
              </w:rPr>
            </w:pPr>
            <w:r>
              <w:rPr>
                <w:rFonts w:hint="eastAsia" w:ascii="黑体" w:hAnsi="黑体"/>
                <w:szCs w:val="21"/>
                <w:highlight w:val="none"/>
              </w:rPr>
              <w:t>学时</w:t>
            </w:r>
            <w:r>
              <w:rPr>
                <w:rFonts w:hint="eastAsia" w:ascii="黑体" w:hAnsi="黑体"/>
                <w:bCs w:val="0"/>
                <w:szCs w:val="21"/>
                <w:highlight w:val="none"/>
              </w:rPr>
              <w:t>分配</w:t>
            </w:r>
          </w:p>
        </w:tc>
      </w:tr>
      <w:tr w14:paraId="56130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3EF6BE0D">
            <w:pPr>
              <w:widowControl w:val="0"/>
              <w:snapToGrid w:val="0"/>
              <w:jc w:val="left"/>
              <w:rPr>
                <w:rFonts w:ascii="Times New Roman" w:hAnsi="Times New Roman"/>
                <w:bCs/>
                <w:sz w:val="21"/>
                <w:szCs w:val="21"/>
                <w:highlight w:val="none"/>
              </w:rPr>
            </w:pPr>
            <w:r>
              <w:rPr>
                <w:rFonts w:hint="eastAsia" w:ascii="Calibri" w:hAnsi="Calibri" w:cs="Times New Roman"/>
                <w:kern w:val="2"/>
                <w:sz w:val="21"/>
                <w:szCs w:val="21"/>
                <w:highlight w:val="none"/>
              </w:rPr>
              <w:t>第一单元 学前教育学导论</w:t>
            </w:r>
          </w:p>
        </w:tc>
        <w:tc>
          <w:tcPr>
            <w:tcW w:w="2796" w:type="dxa"/>
            <w:tcBorders>
              <w:tl2br w:val="nil"/>
              <w:tr2bl w:val="nil"/>
            </w:tcBorders>
            <w:vAlign w:val="center"/>
          </w:tcPr>
          <w:p w14:paraId="1AE5D317">
            <w:pPr>
              <w:widowControl w:val="0"/>
              <w:jc w:val="center"/>
              <w:rPr>
                <w:color w:val="000000"/>
                <w:sz w:val="20"/>
                <w:szCs w:val="20"/>
                <w:highlight w:val="none"/>
              </w:rPr>
            </w:pPr>
            <w:r>
              <w:rPr>
                <w:rFonts w:hint="eastAsia" w:ascii="Times New Roman" w:hAnsi="Times New Roman"/>
                <w:bCs/>
                <w:sz w:val="21"/>
                <w:szCs w:val="21"/>
                <w:highlight w:val="none"/>
              </w:rPr>
              <w:t>课堂讲授、自主阅读</w:t>
            </w:r>
          </w:p>
        </w:tc>
        <w:tc>
          <w:tcPr>
            <w:tcW w:w="1862" w:type="dxa"/>
            <w:tcBorders>
              <w:tl2br w:val="nil"/>
              <w:tr2bl w:val="nil"/>
            </w:tcBorders>
            <w:vAlign w:val="center"/>
          </w:tcPr>
          <w:p w14:paraId="1671CBB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tc>
        <w:tc>
          <w:tcPr>
            <w:tcW w:w="1659" w:type="dxa"/>
            <w:tcBorders>
              <w:tl2br w:val="nil"/>
              <w:tr2bl w:val="nil"/>
            </w:tcBorders>
            <w:vAlign w:val="center"/>
          </w:tcPr>
          <w:p w14:paraId="7DDFCF1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2</w:t>
            </w:r>
          </w:p>
        </w:tc>
      </w:tr>
      <w:tr w14:paraId="13ACC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63" w:hRule="atLeast"/>
          <w:jc w:val="center"/>
        </w:trPr>
        <w:tc>
          <w:tcPr>
            <w:tcW w:w="2159" w:type="dxa"/>
            <w:tcBorders>
              <w:tl2br w:val="nil"/>
              <w:tr2bl w:val="nil"/>
            </w:tcBorders>
            <w:vAlign w:val="center"/>
          </w:tcPr>
          <w:p w14:paraId="336D78AA">
            <w:pPr>
              <w:widowControl w:val="0"/>
              <w:snapToGrid w:val="0"/>
              <w:jc w:val="left"/>
              <w:rPr>
                <w:rFonts w:ascii="Times New Roman" w:hAnsi="Times New Roman"/>
                <w:bCs/>
                <w:sz w:val="21"/>
                <w:szCs w:val="21"/>
                <w:highlight w:val="none"/>
              </w:rPr>
            </w:pPr>
            <w:r>
              <w:rPr>
                <w:rFonts w:hint="eastAsia" w:ascii="Times New Roman" w:hAnsi="Times New Roman"/>
                <w:bCs/>
                <w:sz w:val="21"/>
                <w:szCs w:val="21"/>
                <w:highlight w:val="none"/>
              </w:rPr>
              <w:t>第二单元</w:t>
            </w:r>
            <w:r>
              <w:rPr>
                <w:rFonts w:ascii="Times New Roman" w:hAnsi="Times New Roman"/>
                <w:bCs/>
                <w:sz w:val="21"/>
                <w:szCs w:val="21"/>
                <w:highlight w:val="none"/>
              </w:rPr>
              <w:t xml:space="preserve"> 学前教育学的基础</w:t>
            </w:r>
          </w:p>
        </w:tc>
        <w:tc>
          <w:tcPr>
            <w:tcW w:w="2796" w:type="dxa"/>
            <w:tcBorders>
              <w:tl2br w:val="nil"/>
              <w:tr2bl w:val="nil"/>
            </w:tcBorders>
            <w:vAlign w:val="center"/>
          </w:tcPr>
          <w:p w14:paraId="09BAD965">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课下自学、小组讨论</w:t>
            </w:r>
          </w:p>
        </w:tc>
        <w:tc>
          <w:tcPr>
            <w:tcW w:w="1862" w:type="dxa"/>
            <w:tcBorders>
              <w:tl2br w:val="nil"/>
              <w:tr2bl w:val="nil"/>
            </w:tcBorders>
            <w:vAlign w:val="center"/>
          </w:tcPr>
          <w:p w14:paraId="6456A219">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tc>
        <w:tc>
          <w:tcPr>
            <w:tcW w:w="1659" w:type="dxa"/>
            <w:tcBorders>
              <w:tl2br w:val="nil"/>
              <w:tr2bl w:val="nil"/>
            </w:tcBorders>
            <w:vAlign w:val="center"/>
          </w:tcPr>
          <w:p w14:paraId="60329DAE">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2</w:t>
            </w:r>
          </w:p>
        </w:tc>
      </w:tr>
      <w:tr w14:paraId="4251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87" w:hRule="atLeast"/>
          <w:jc w:val="center"/>
        </w:trPr>
        <w:tc>
          <w:tcPr>
            <w:tcW w:w="2159" w:type="dxa"/>
            <w:tcBorders>
              <w:tl2br w:val="nil"/>
              <w:tr2bl w:val="nil"/>
            </w:tcBorders>
            <w:vAlign w:val="center"/>
          </w:tcPr>
          <w:p w14:paraId="6658EB62">
            <w:pPr>
              <w:widowControl w:val="0"/>
              <w:snapToGrid w:val="0"/>
              <w:jc w:val="left"/>
              <w:rPr>
                <w:rFonts w:ascii="Times New Roman" w:hAnsi="Times New Roman"/>
                <w:bCs/>
                <w:sz w:val="21"/>
                <w:szCs w:val="21"/>
                <w:highlight w:val="none"/>
              </w:rPr>
            </w:pPr>
            <w:r>
              <w:rPr>
                <w:rFonts w:hint="eastAsia" w:ascii="Times New Roman" w:hAnsi="Times New Roman"/>
                <w:bCs/>
                <w:sz w:val="21"/>
                <w:szCs w:val="21"/>
                <w:highlight w:val="none"/>
              </w:rPr>
              <w:t>第三单元</w:t>
            </w:r>
            <w:r>
              <w:rPr>
                <w:rFonts w:ascii="Times New Roman" w:hAnsi="Times New Roman"/>
                <w:bCs/>
                <w:sz w:val="21"/>
                <w:szCs w:val="21"/>
                <w:highlight w:val="none"/>
              </w:rPr>
              <w:t xml:space="preserve"> 学前教育中的经典理论</w:t>
            </w:r>
          </w:p>
        </w:tc>
        <w:tc>
          <w:tcPr>
            <w:tcW w:w="2796" w:type="dxa"/>
            <w:tcBorders>
              <w:tl2br w:val="nil"/>
              <w:tr2bl w:val="nil"/>
            </w:tcBorders>
            <w:vAlign w:val="center"/>
          </w:tcPr>
          <w:p w14:paraId="7C4AF4A7">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课堂讲授、自主阅读</w:t>
            </w:r>
          </w:p>
        </w:tc>
        <w:tc>
          <w:tcPr>
            <w:tcW w:w="1862" w:type="dxa"/>
            <w:tcBorders>
              <w:tl2br w:val="nil"/>
              <w:tr2bl w:val="nil"/>
            </w:tcBorders>
            <w:vAlign w:val="center"/>
          </w:tcPr>
          <w:p w14:paraId="054C380B">
            <w:pPr>
              <w:widowControl w:val="0"/>
              <w:snapToGrid w:val="0"/>
              <w:jc w:val="center"/>
              <w:rPr>
                <w:rFonts w:hint="default"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tc>
        <w:tc>
          <w:tcPr>
            <w:tcW w:w="1659" w:type="dxa"/>
            <w:tcBorders>
              <w:tl2br w:val="nil"/>
              <w:tr2bl w:val="nil"/>
            </w:tcBorders>
            <w:vAlign w:val="center"/>
          </w:tcPr>
          <w:p w14:paraId="629893A4">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13517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039357E5">
            <w:pPr>
              <w:widowControl w:val="0"/>
              <w:snapToGrid w:val="0"/>
              <w:jc w:val="both"/>
              <w:rPr>
                <w:rFonts w:ascii="Times New Roman" w:hAnsi="Times New Roman"/>
                <w:bCs/>
                <w:sz w:val="21"/>
                <w:szCs w:val="21"/>
                <w:highlight w:val="none"/>
              </w:rPr>
            </w:pPr>
            <w:r>
              <w:rPr>
                <w:rFonts w:hint="eastAsia" w:ascii="Times New Roman" w:hAnsi="Times New Roman"/>
                <w:bCs/>
                <w:sz w:val="21"/>
                <w:szCs w:val="21"/>
                <w:highlight w:val="none"/>
              </w:rPr>
              <w:t>第四单元</w:t>
            </w:r>
            <w:r>
              <w:rPr>
                <w:rFonts w:ascii="Times New Roman" w:hAnsi="Times New Roman"/>
                <w:bCs/>
                <w:sz w:val="21"/>
                <w:szCs w:val="21"/>
                <w:highlight w:val="none"/>
              </w:rPr>
              <w:t xml:space="preserve"> 学前儿童</w:t>
            </w:r>
          </w:p>
        </w:tc>
        <w:tc>
          <w:tcPr>
            <w:tcW w:w="2796" w:type="dxa"/>
            <w:tcBorders>
              <w:tl2br w:val="nil"/>
              <w:tr2bl w:val="nil"/>
            </w:tcBorders>
            <w:vAlign w:val="center"/>
          </w:tcPr>
          <w:p w14:paraId="469FA6A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75C888C3">
            <w:pPr>
              <w:widowControl w:val="0"/>
              <w:snapToGrid w:val="0"/>
              <w:jc w:val="both"/>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课后作业、</w:t>
            </w:r>
            <w:r>
              <w:rPr>
                <w:rFonts w:hint="eastAsia" w:ascii="Times New Roman" w:hAnsi="Times New Roman"/>
                <w:bCs/>
                <w:sz w:val="21"/>
                <w:szCs w:val="21"/>
                <w:highlight w:val="none"/>
              </w:rPr>
              <w:t>平时表现</w:t>
            </w:r>
          </w:p>
        </w:tc>
        <w:tc>
          <w:tcPr>
            <w:tcW w:w="1659" w:type="dxa"/>
            <w:tcBorders>
              <w:tl2br w:val="nil"/>
              <w:tr2bl w:val="nil"/>
            </w:tcBorders>
            <w:vAlign w:val="center"/>
          </w:tcPr>
          <w:p w14:paraId="2933A0F8">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5F4D9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57A8DB1B">
            <w:pPr>
              <w:widowControl w:val="0"/>
              <w:snapToGrid w:val="0"/>
              <w:jc w:val="left"/>
              <w:rPr>
                <w:rFonts w:ascii="Times New Roman" w:hAnsi="Times New Roman"/>
                <w:bCs/>
                <w:sz w:val="21"/>
                <w:szCs w:val="21"/>
                <w:highlight w:val="none"/>
              </w:rPr>
            </w:pPr>
            <w:r>
              <w:rPr>
                <w:rFonts w:hint="eastAsia"/>
                <w:bCs/>
                <w:sz w:val="21"/>
                <w:szCs w:val="21"/>
                <w:highlight w:val="none"/>
              </w:rPr>
              <w:t>第五单元</w:t>
            </w:r>
            <w:r>
              <w:rPr>
                <w:bCs/>
                <w:sz w:val="21"/>
                <w:szCs w:val="21"/>
                <w:highlight w:val="none"/>
              </w:rPr>
              <w:t xml:space="preserve"> 学前教师</w:t>
            </w:r>
          </w:p>
        </w:tc>
        <w:tc>
          <w:tcPr>
            <w:tcW w:w="2796" w:type="dxa"/>
            <w:tcBorders>
              <w:tl2br w:val="nil"/>
              <w:tr2bl w:val="nil"/>
            </w:tcBorders>
            <w:vAlign w:val="center"/>
          </w:tcPr>
          <w:p w14:paraId="03EA90AD">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58BCE59C">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课后作业、</w:t>
            </w:r>
            <w:r>
              <w:rPr>
                <w:rFonts w:hint="eastAsia" w:ascii="Times New Roman" w:hAnsi="Times New Roman"/>
                <w:bCs/>
                <w:sz w:val="21"/>
                <w:szCs w:val="21"/>
                <w:highlight w:val="none"/>
              </w:rPr>
              <w:t>平时表现</w:t>
            </w:r>
          </w:p>
        </w:tc>
        <w:tc>
          <w:tcPr>
            <w:tcW w:w="1659" w:type="dxa"/>
            <w:tcBorders>
              <w:tl2br w:val="nil"/>
              <w:tr2bl w:val="nil"/>
            </w:tcBorders>
            <w:vAlign w:val="center"/>
          </w:tcPr>
          <w:p w14:paraId="61C1645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393A1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558C5BFA">
            <w:pPr>
              <w:pStyle w:val="14"/>
              <w:widowControl w:val="0"/>
              <w:jc w:val="left"/>
              <w:rPr>
                <w:rFonts w:ascii="宋体" w:hAnsi="宋体"/>
                <w:bCs/>
                <w:highlight w:val="none"/>
              </w:rPr>
            </w:pPr>
            <w:r>
              <w:rPr>
                <w:rFonts w:hint="eastAsia" w:ascii="宋体" w:hAnsi="宋体"/>
                <w:bCs/>
                <w:highlight w:val="none"/>
              </w:rPr>
              <w:t>第六单元</w:t>
            </w:r>
            <w:r>
              <w:rPr>
                <w:rFonts w:ascii="宋体" w:hAnsi="宋体"/>
                <w:bCs/>
                <w:highlight w:val="none"/>
              </w:rPr>
              <w:t xml:space="preserve"> 学前课程</w:t>
            </w:r>
          </w:p>
        </w:tc>
        <w:tc>
          <w:tcPr>
            <w:tcW w:w="2796" w:type="dxa"/>
            <w:tcBorders>
              <w:tl2br w:val="nil"/>
              <w:tr2bl w:val="nil"/>
            </w:tcBorders>
            <w:vAlign w:val="center"/>
          </w:tcPr>
          <w:p w14:paraId="04B167D5">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42FD0715">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p w14:paraId="24E8F9F9">
            <w:pPr>
              <w:widowControl w:val="0"/>
              <w:snapToGrid w:val="0"/>
              <w:jc w:val="center"/>
              <w:rPr>
                <w:rFonts w:hint="default"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读书报告</w:t>
            </w:r>
          </w:p>
        </w:tc>
        <w:tc>
          <w:tcPr>
            <w:tcW w:w="1659" w:type="dxa"/>
            <w:tcBorders>
              <w:tl2br w:val="nil"/>
              <w:tr2bl w:val="nil"/>
            </w:tcBorders>
            <w:vAlign w:val="center"/>
          </w:tcPr>
          <w:p w14:paraId="18CA83A6">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007C7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451079D1">
            <w:pPr>
              <w:pStyle w:val="14"/>
              <w:widowControl w:val="0"/>
              <w:jc w:val="left"/>
              <w:rPr>
                <w:rFonts w:ascii="宋体" w:hAnsi="宋体"/>
                <w:bCs/>
                <w:highlight w:val="none"/>
              </w:rPr>
            </w:pPr>
            <w:r>
              <w:rPr>
                <w:rFonts w:hint="eastAsia" w:ascii="宋体" w:hAnsi="宋体"/>
                <w:bCs/>
                <w:highlight w:val="none"/>
              </w:rPr>
              <w:t>第七单元</w:t>
            </w:r>
            <w:r>
              <w:rPr>
                <w:rFonts w:ascii="宋体" w:hAnsi="宋体"/>
                <w:bCs/>
                <w:highlight w:val="none"/>
              </w:rPr>
              <w:t xml:space="preserve"> 学前游戏活动</w:t>
            </w:r>
          </w:p>
        </w:tc>
        <w:tc>
          <w:tcPr>
            <w:tcW w:w="2796" w:type="dxa"/>
            <w:tcBorders>
              <w:tl2br w:val="nil"/>
              <w:tr2bl w:val="nil"/>
            </w:tcBorders>
            <w:vAlign w:val="center"/>
          </w:tcPr>
          <w:p w14:paraId="241E272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案例分析、小组讨论</w:t>
            </w:r>
          </w:p>
        </w:tc>
        <w:tc>
          <w:tcPr>
            <w:tcW w:w="1862" w:type="dxa"/>
            <w:tcBorders>
              <w:tl2br w:val="nil"/>
              <w:tr2bl w:val="nil"/>
            </w:tcBorders>
            <w:vAlign w:val="center"/>
          </w:tcPr>
          <w:p w14:paraId="00C32659">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p w14:paraId="33D025E2">
            <w:pPr>
              <w:widowControl w:val="0"/>
              <w:snapToGrid w:val="0"/>
              <w:jc w:val="center"/>
              <w:rPr>
                <w:rFonts w:hint="default"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读书报告</w:t>
            </w:r>
          </w:p>
        </w:tc>
        <w:tc>
          <w:tcPr>
            <w:tcW w:w="1659" w:type="dxa"/>
            <w:tcBorders>
              <w:tl2br w:val="nil"/>
              <w:tr2bl w:val="nil"/>
            </w:tcBorders>
            <w:vAlign w:val="center"/>
          </w:tcPr>
          <w:p w14:paraId="534A2378">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61064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497F2EB1">
            <w:pPr>
              <w:pStyle w:val="14"/>
              <w:widowControl w:val="0"/>
              <w:jc w:val="left"/>
              <w:rPr>
                <w:rFonts w:ascii="宋体" w:hAnsi="宋体"/>
                <w:bCs/>
                <w:highlight w:val="none"/>
              </w:rPr>
            </w:pPr>
            <w:r>
              <w:rPr>
                <w:rFonts w:hint="eastAsia" w:ascii="宋体" w:hAnsi="宋体"/>
                <w:bCs/>
                <w:highlight w:val="none"/>
              </w:rPr>
              <w:t>第八单元</w:t>
            </w:r>
            <w:r>
              <w:rPr>
                <w:rFonts w:ascii="宋体" w:hAnsi="宋体"/>
                <w:bCs/>
                <w:highlight w:val="none"/>
              </w:rPr>
              <w:t xml:space="preserve"> 学前教学活动</w:t>
            </w:r>
          </w:p>
        </w:tc>
        <w:tc>
          <w:tcPr>
            <w:tcW w:w="2796" w:type="dxa"/>
            <w:tcBorders>
              <w:tl2br w:val="nil"/>
              <w:tr2bl w:val="nil"/>
            </w:tcBorders>
            <w:vAlign w:val="center"/>
          </w:tcPr>
          <w:p w14:paraId="2F2F1DB5">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1A199065">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p w14:paraId="3D9387B0">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读书报告</w:t>
            </w:r>
          </w:p>
        </w:tc>
        <w:tc>
          <w:tcPr>
            <w:tcW w:w="1659" w:type="dxa"/>
            <w:tcBorders>
              <w:tl2br w:val="nil"/>
              <w:tr2bl w:val="nil"/>
            </w:tcBorders>
            <w:vAlign w:val="center"/>
          </w:tcPr>
          <w:p w14:paraId="5FC94A18">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4</w:t>
            </w:r>
          </w:p>
        </w:tc>
      </w:tr>
      <w:tr w14:paraId="086C3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23F3D50D">
            <w:pPr>
              <w:pStyle w:val="14"/>
              <w:widowControl w:val="0"/>
              <w:jc w:val="left"/>
              <w:rPr>
                <w:rFonts w:ascii="宋体" w:hAnsi="宋体"/>
                <w:bCs/>
                <w:highlight w:val="none"/>
              </w:rPr>
            </w:pPr>
            <w:r>
              <w:rPr>
                <w:rFonts w:hint="eastAsia" w:ascii="宋体" w:hAnsi="宋体"/>
                <w:bCs/>
                <w:highlight w:val="none"/>
              </w:rPr>
              <w:t>第九单元</w:t>
            </w:r>
            <w:r>
              <w:rPr>
                <w:rFonts w:ascii="宋体" w:hAnsi="宋体"/>
                <w:bCs/>
                <w:highlight w:val="none"/>
              </w:rPr>
              <w:t xml:space="preserve"> 学前教育环境</w:t>
            </w:r>
          </w:p>
        </w:tc>
        <w:tc>
          <w:tcPr>
            <w:tcW w:w="2796" w:type="dxa"/>
            <w:tcBorders>
              <w:tl2br w:val="nil"/>
              <w:tr2bl w:val="nil"/>
            </w:tcBorders>
            <w:vAlign w:val="center"/>
          </w:tcPr>
          <w:p w14:paraId="5C41138F">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0AC84450">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p w14:paraId="40F0806F">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读书报告</w:t>
            </w:r>
          </w:p>
        </w:tc>
        <w:tc>
          <w:tcPr>
            <w:tcW w:w="1659" w:type="dxa"/>
            <w:tcBorders>
              <w:tl2br w:val="nil"/>
              <w:tr2bl w:val="nil"/>
            </w:tcBorders>
            <w:vAlign w:val="center"/>
          </w:tcPr>
          <w:p w14:paraId="38A31AE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2</w:t>
            </w:r>
          </w:p>
        </w:tc>
      </w:tr>
      <w:tr w14:paraId="6E90B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59" w:type="dxa"/>
            <w:tcBorders>
              <w:tl2br w:val="nil"/>
              <w:tr2bl w:val="nil"/>
            </w:tcBorders>
            <w:vAlign w:val="center"/>
          </w:tcPr>
          <w:p w14:paraId="654A4AA6">
            <w:pPr>
              <w:pStyle w:val="14"/>
              <w:widowControl w:val="0"/>
              <w:jc w:val="left"/>
              <w:rPr>
                <w:rFonts w:ascii="宋体" w:hAnsi="宋体"/>
                <w:bCs/>
                <w:highlight w:val="none"/>
              </w:rPr>
            </w:pPr>
            <w:r>
              <w:rPr>
                <w:rFonts w:hint="eastAsia" w:ascii="宋体" w:hAnsi="宋体"/>
                <w:bCs/>
                <w:highlight w:val="none"/>
              </w:rPr>
              <w:t>第十单元</w:t>
            </w:r>
            <w:r>
              <w:rPr>
                <w:rFonts w:ascii="宋体" w:hAnsi="宋体"/>
                <w:bCs/>
                <w:highlight w:val="none"/>
              </w:rPr>
              <w:t xml:space="preserve"> 学前教育中的合作与衔接</w:t>
            </w:r>
          </w:p>
        </w:tc>
        <w:tc>
          <w:tcPr>
            <w:tcW w:w="2796" w:type="dxa"/>
            <w:tcBorders>
              <w:tl2br w:val="nil"/>
              <w:tr2bl w:val="nil"/>
            </w:tcBorders>
            <w:vAlign w:val="center"/>
          </w:tcPr>
          <w:p w14:paraId="6E1EA2A9">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课堂讲授、案例分析</w:t>
            </w:r>
          </w:p>
        </w:tc>
        <w:tc>
          <w:tcPr>
            <w:tcW w:w="1862" w:type="dxa"/>
            <w:tcBorders>
              <w:tl2br w:val="nil"/>
              <w:tr2bl w:val="nil"/>
            </w:tcBorders>
            <w:vAlign w:val="center"/>
          </w:tcPr>
          <w:p w14:paraId="17EBE423">
            <w:pPr>
              <w:widowControl w:val="0"/>
              <w:snapToGrid w:val="0"/>
              <w:jc w:val="center"/>
              <w:rPr>
                <w:rFonts w:hint="eastAsia" w:ascii="Times New Roman" w:hAnsi="Times New Roman"/>
                <w:bCs/>
                <w:sz w:val="21"/>
                <w:szCs w:val="21"/>
                <w:highlight w:val="none"/>
              </w:rPr>
            </w:pPr>
            <w:r>
              <w:rPr>
                <w:rFonts w:hint="eastAsia" w:ascii="Times New Roman" w:hAnsi="Times New Roman"/>
                <w:bCs/>
                <w:sz w:val="21"/>
                <w:szCs w:val="21"/>
                <w:highlight w:val="none"/>
                <w:lang w:val="en-US" w:eastAsia="zh-CN"/>
              </w:rPr>
              <w:t>期末闭卷</w:t>
            </w:r>
            <w:r>
              <w:rPr>
                <w:rFonts w:hint="eastAsia" w:ascii="Times New Roman" w:hAnsi="Times New Roman"/>
                <w:bCs/>
                <w:sz w:val="21"/>
                <w:szCs w:val="21"/>
                <w:highlight w:val="none"/>
              </w:rPr>
              <w:t>考试</w:t>
            </w:r>
          </w:p>
          <w:p w14:paraId="1E5B236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读书报告</w:t>
            </w:r>
          </w:p>
        </w:tc>
        <w:tc>
          <w:tcPr>
            <w:tcW w:w="1659" w:type="dxa"/>
            <w:tcBorders>
              <w:tl2br w:val="nil"/>
              <w:tr2bl w:val="nil"/>
            </w:tcBorders>
            <w:vAlign w:val="center"/>
          </w:tcPr>
          <w:p w14:paraId="17AD737D">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2</w:t>
            </w:r>
            <w:bookmarkStart w:id="5" w:name="_GoBack"/>
            <w:bookmarkEnd w:id="5"/>
          </w:p>
        </w:tc>
      </w:tr>
      <w:tr w14:paraId="34816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817" w:type="dxa"/>
            <w:gridSpan w:val="3"/>
            <w:tcBorders>
              <w:tl2br w:val="nil"/>
              <w:tr2bl w:val="nil"/>
            </w:tcBorders>
            <w:vAlign w:val="center"/>
          </w:tcPr>
          <w:p w14:paraId="4994175A">
            <w:pPr>
              <w:pStyle w:val="13"/>
              <w:widowControl w:val="0"/>
              <w:rPr>
                <w:highlight w:val="none"/>
              </w:rPr>
            </w:pPr>
            <w:r>
              <w:rPr>
                <w:rFonts w:hint="eastAsia"/>
                <w:highlight w:val="none"/>
              </w:rPr>
              <w:t>合计</w:t>
            </w:r>
          </w:p>
        </w:tc>
        <w:tc>
          <w:tcPr>
            <w:tcW w:w="1659" w:type="dxa"/>
            <w:tcBorders>
              <w:tl2br w:val="nil"/>
              <w:tr2bl w:val="nil"/>
            </w:tcBorders>
            <w:vAlign w:val="center"/>
          </w:tcPr>
          <w:p w14:paraId="1554EAD2">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32</w:t>
            </w:r>
          </w:p>
        </w:tc>
      </w:tr>
    </w:tbl>
    <w:p w14:paraId="4A6079A1">
      <w:pPr>
        <w:pStyle w:val="16"/>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4ABFA898">
            <w:pPr>
              <w:pStyle w:val="14"/>
              <w:widowControl w:val="0"/>
              <w:jc w:val="left"/>
            </w:pPr>
          </w:p>
          <w:p w14:paraId="023DE443">
            <w:pPr>
              <w:pStyle w:val="14"/>
              <w:widowControl w:val="0"/>
              <w:ind w:firstLine="420" w:firstLineChars="200"/>
              <w:jc w:val="left"/>
              <w:rPr>
                <w:rFonts w:hint="eastAsia"/>
              </w:rPr>
            </w:pPr>
            <w:r>
              <w:rPr>
                <w:rFonts w:hint="eastAsia"/>
              </w:rPr>
              <w:t>结合学前教育学课程特点，将教书（即显性的专业课程教育）和育人（即隐性的课程思政教育）两条线索有机融合，实现知识、能力和素质三位一体的人才培养目标。</w:t>
            </w:r>
          </w:p>
          <w:p w14:paraId="5A1D022B">
            <w:pPr>
              <w:pStyle w:val="14"/>
              <w:widowControl w:val="0"/>
              <w:ind w:firstLine="420" w:firstLineChars="200"/>
              <w:jc w:val="left"/>
              <w:rPr>
                <w:rFonts w:hint="eastAsia"/>
                <w:lang w:eastAsia="zh-CN"/>
              </w:rPr>
            </w:pPr>
            <w:r>
              <w:rPr>
                <w:rFonts w:hint="eastAsia"/>
              </w:rPr>
              <w:t>梳理教材内容，将本课程内容分为三个专题，分别是学前教育的基本理论（第一、二、三单元）、学前教育的基本要素（第四、五单元）和学前教育的组织实施（第六至第十单元）。在课程实践过程中，将树立文化自信、立足本土、辩证思考、传承我国老一辈学前教育家高尚的教育情怀与先进的教育理念等思政元素融入学前教育基本理论专题；将“以幼儿为本”理念、教师职业理念、教师职业道德、教师职业精神等元素融入学前教育基本要素专题；将传承传统文化、培养创新精神、立足我国学前教育实情、建设本土化科学化的学前课程等思政元素融入学前教育组织实施专题</w:t>
            </w:r>
            <w:r>
              <w:rPr>
                <w:rFonts w:hint="eastAsia"/>
                <w:lang w:eastAsia="zh-CN"/>
              </w:rPr>
              <w:t>。</w:t>
            </w:r>
          </w:p>
          <w:p w14:paraId="19AABCEB">
            <w:pPr>
              <w:pStyle w:val="14"/>
              <w:widowControl w:val="0"/>
              <w:ind w:firstLine="420" w:firstLineChars="200"/>
              <w:jc w:val="left"/>
              <w:rPr>
                <w:rFonts w:hint="eastAsia"/>
                <w:lang w:eastAsia="zh-CN"/>
              </w:rPr>
            </w:pPr>
          </w:p>
        </w:tc>
      </w:tr>
    </w:tbl>
    <w:p w14:paraId="5647AE0C">
      <w:pPr>
        <w:pStyle w:val="16"/>
        <w:spacing w:before="326" w:beforeLines="100" w:line="360" w:lineRule="auto"/>
        <w:rPr>
          <w:rFonts w:hint="eastAsia"/>
        </w:rPr>
      </w:pPr>
      <w:r>
        <w:rPr>
          <w:rFonts w:hint="eastAsia" w:ascii="黑体" w:hAnsi="宋体"/>
        </w:rPr>
        <w:t>五、</w:t>
      </w:r>
      <w:r>
        <w:rPr>
          <w:rFonts w:hint="eastAsia" w:ascii="黑体" w:hAnsi="宋体"/>
          <w:highlight w:val="none"/>
        </w:rPr>
        <w:t>课程</w:t>
      </w:r>
      <w:r>
        <w:rPr>
          <w:rFonts w:hint="eastAsia" w:ascii="黑体" w:hAnsi="宋体"/>
          <w:highlight w:val="none"/>
          <w:lang w:val="en-US" w:eastAsia="zh-CN"/>
        </w:rPr>
        <w:t>考核</w:t>
      </w:r>
    </w:p>
    <w:p w14:paraId="7C81DE41">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50357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4F61BBD7">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课程目标</w:t>
            </w:r>
          </w:p>
        </w:tc>
        <w:tc>
          <w:tcPr>
            <w:tcW w:w="2551" w:type="dxa"/>
            <w:tcBorders>
              <w:tl2br w:val="nil"/>
              <w:tr2bl w:val="nil"/>
            </w:tcBorders>
            <w:shd w:val="clear" w:color="auto" w:fill="auto"/>
            <w:vAlign w:val="center"/>
          </w:tcPr>
          <w:p w14:paraId="4C30AAA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考核内容</w:t>
            </w:r>
          </w:p>
        </w:tc>
        <w:tc>
          <w:tcPr>
            <w:tcW w:w="2268" w:type="dxa"/>
            <w:tcBorders>
              <w:tl2br w:val="nil"/>
              <w:tr2bl w:val="nil"/>
            </w:tcBorders>
            <w:shd w:val="clear" w:color="auto" w:fill="auto"/>
            <w:vAlign w:val="center"/>
          </w:tcPr>
          <w:p w14:paraId="7E7A524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考核方式</w:t>
            </w:r>
          </w:p>
        </w:tc>
        <w:tc>
          <w:tcPr>
            <w:tcW w:w="1610" w:type="dxa"/>
            <w:tcBorders>
              <w:tl2br w:val="nil"/>
              <w:tr2bl w:val="nil"/>
            </w:tcBorders>
            <w:shd w:val="clear" w:color="auto" w:fill="auto"/>
            <w:vAlign w:val="center"/>
          </w:tcPr>
          <w:p w14:paraId="2F56E4FC">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占比</w:t>
            </w:r>
          </w:p>
        </w:tc>
      </w:tr>
      <w:tr w14:paraId="6FB4B0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7C49A6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r>
              <w:rPr>
                <w:rFonts w:hint="eastAsia" w:cs="宋体"/>
                <w:b/>
                <w:bCs/>
                <w:color w:val="000000"/>
                <w:sz w:val="21"/>
                <w:szCs w:val="21"/>
                <w:highlight w:val="none"/>
                <w:lang w:val="en-US" w:eastAsia="zh-CN" w:bidi="ar-SA"/>
              </w:rPr>
              <w:t>、2</w:t>
            </w:r>
          </w:p>
        </w:tc>
        <w:tc>
          <w:tcPr>
            <w:tcW w:w="2551" w:type="dxa"/>
            <w:tcBorders>
              <w:tl2br w:val="nil"/>
              <w:tr2bl w:val="nil"/>
            </w:tcBorders>
            <w:shd w:val="clear" w:color="auto" w:fill="auto"/>
            <w:vAlign w:val="center"/>
          </w:tcPr>
          <w:p w14:paraId="63A3FA63">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auto"/>
                <w:sz w:val="21"/>
                <w:szCs w:val="21"/>
                <w:highlight w:val="none"/>
                <w:lang w:val="en-US" w:eastAsia="zh-CN" w:bidi="ar-SA"/>
              </w:rPr>
              <w:t>学前教育基本理论、</w:t>
            </w:r>
            <w:r>
              <w:rPr>
                <w:rFonts w:hint="eastAsia" w:ascii="宋体" w:hAnsi="宋体" w:eastAsia="宋体" w:cs="宋体"/>
                <w:bCs/>
                <w:color w:val="000000"/>
                <w:sz w:val="21"/>
                <w:szCs w:val="21"/>
                <w:highlight w:val="none"/>
                <w:lang w:val="en-US" w:eastAsia="zh-CN" w:bidi="ar-SA"/>
              </w:rPr>
              <w:t>学前教育基本知识</w:t>
            </w:r>
            <w:r>
              <w:rPr>
                <w:rFonts w:hint="eastAsia" w:cs="宋体"/>
                <w:bCs/>
                <w:color w:val="000000"/>
                <w:sz w:val="21"/>
                <w:szCs w:val="21"/>
                <w:highlight w:val="none"/>
                <w:lang w:val="en-US" w:eastAsia="zh-CN" w:bidi="ar-SA"/>
              </w:rPr>
              <w:t>（</w:t>
            </w:r>
            <w:r>
              <w:rPr>
                <w:rFonts w:hint="eastAsia" w:ascii="宋体" w:hAnsi="宋体" w:eastAsia="宋体" w:cs="宋体"/>
                <w:bCs/>
                <w:color w:val="000000"/>
                <w:sz w:val="21"/>
                <w:szCs w:val="21"/>
                <w:highlight w:val="none"/>
                <w:lang w:val="en-US" w:eastAsia="zh-CN" w:bidi="ar-SA"/>
              </w:rPr>
              <w:t>课程、游戏、教学、环境创设、家园合作和幼小衔接</w:t>
            </w:r>
            <w:r>
              <w:rPr>
                <w:rFonts w:hint="eastAsia" w:cs="宋体"/>
                <w:bCs/>
                <w:color w:val="000000"/>
                <w:sz w:val="21"/>
                <w:szCs w:val="21"/>
                <w:highlight w:val="none"/>
                <w:lang w:val="en-US" w:eastAsia="zh-CN" w:bidi="ar-SA"/>
              </w:rPr>
              <w:t>等）</w:t>
            </w:r>
          </w:p>
        </w:tc>
        <w:tc>
          <w:tcPr>
            <w:tcW w:w="2268" w:type="dxa"/>
            <w:tcBorders>
              <w:tl2br w:val="nil"/>
              <w:tr2bl w:val="nil"/>
            </w:tcBorders>
            <w:shd w:val="clear" w:color="auto" w:fill="auto"/>
            <w:vAlign w:val="center"/>
          </w:tcPr>
          <w:p w14:paraId="7CBC0DCF">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1A41245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45</w:t>
            </w:r>
            <w:r>
              <w:rPr>
                <w:rFonts w:hint="eastAsia" w:ascii="宋体" w:hAnsi="宋体" w:eastAsia="宋体" w:cs="宋体"/>
                <w:b w:val="0"/>
                <w:bCs w:val="0"/>
                <w:color w:val="000000"/>
                <w:sz w:val="21"/>
                <w:szCs w:val="21"/>
                <w:highlight w:val="none"/>
                <w:lang w:val="en-US" w:eastAsia="zh-CN" w:bidi="ar-SA"/>
              </w:rPr>
              <w:t>%</w:t>
            </w:r>
          </w:p>
        </w:tc>
      </w:tr>
      <w:tr w14:paraId="0AAC17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05D67A60">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0FB4AD2D">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auto"/>
                <w:sz w:val="21"/>
                <w:szCs w:val="21"/>
                <w:highlight w:val="none"/>
                <w:lang w:val="en-US" w:eastAsia="zh-CN" w:bidi="ar-SA"/>
              </w:rPr>
              <w:t>运用所学理论分析学前教育相关问题</w:t>
            </w:r>
          </w:p>
        </w:tc>
        <w:tc>
          <w:tcPr>
            <w:tcW w:w="2268" w:type="dxa"/>
            <w:tcBorders>
              <w:tl2br w:val="nil"/>
              <w:tr2bl w:val="nil"/>
            </w:tcBorders>
            <w:shd w:val="clear" w:color="auto" w:fill="auto"/>
            <w:vAlign w:val="center"/>
          </w:tcPr>
          <w:p w14:paraId="6FC7A7F6">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auto"/>
                <w:sz w:val="21"/>
                <w:szCs w:val="21"/>
                <w:highlight w:val="none"/>
                <w:lang w:val="en-US" w:eastAsia="zh-CN" w:bidi="ar-SA"/>
              </w:rPr>
              <w:t>读书报告</w:t>
            </w:r>
          </w:p>
        </w:tc>
        <w:tc>
          <w:tcPr>
            <w:tcW w:w="1610" w:type="dxa"/>
            <w:tcBorders>
              <w:tl2br w:val="nil"/>
              <w:tr2bl w:val="nil"/>
            </w:tcBorders>
            <w:shd w:val="clear" w:color="auto" w:fill="auto"/>
            <w:vAlign w:val="center"/>
          </w:tcPr>
          <w:p w14:paraId="077A51C5">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15</w:t>
            </w:r>
            <w:r>
              <w:rPr>
                <w:rFonts w:hint="eastAsia" w:ascii="宋体" w:hAnsi="宋体" w:eastAsia="宋体" w:cs="宋体"/>
                <w:b w:val="0"/>
                <w:bCs w:val="0"/>
                <w:color w:val="000000"/>
                <w:sz w:val="21"/>
                <w:szCs w:val="21"/>
                <w:highlight w:val="none"/>
                <w:lang w:val="en-US" w:eastAsia="zh-CN" w:bidi="ar-SA"/>
              </w:rPr>
              <w:t>%</w:t>
            </w:r>
          </w:p>
        </w:tc>
      </w:tr>
      <w:tr w14:paraId="491BBA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048B3A19">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0B276C48">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科学的儿童观、教育观，尊重幼儿、关爱幼儿</w:t>
            </w:r>
            <w:r>
              <w:rPr>
                <w:rFonts w:hint="eastAsia" w:cs="宋体"/>
                <w:b w:val="0"/>
                <w:bCs w:val="0"/>
                <w:color w:val="000000"/>
                <w:sz w:val="21"/>
                <w:szCs w:val="21"/>
                <w:highlight w:val="none"/>
                <w:lang w:val="en-US" w:eastAsia="zh-CN" w:bidi="ar-SA"/>
              </w:rPr>
              <w:t>。</w:t>
            </w:r>
          </w:p>
        </w:tc>
        <w:tc>
          <w:tcPr>
            <w:tcW w:w="2268" w:type="dxa"/>
            <w:tcBorders>
              <w:tl2br w:val="nil"/>
              <w:tr2bl w:val="nil"/>
            </w:tcBorders>
            <w:shd w:val="clear" w:color="auto" w:fill="auto"/>
            <w:vAlign w:val="center"/>
          </w:tcPr>
          <w:p w14:paraId="7CD2AA12">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平时表现</w:t>
            </w:r>
          </w:p>
          <w:p w14:paraId="671CDD49">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0E74948D">
            <w:pPr>
              <w:widowControl w:val="0"/>
              <w:spacing w:line="36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28D63D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3A49B1B1">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5</w:t>
            </w:r>
          </w:p>
        </w:tc>
        <w:tc>
          <w:tcPr>
            <w:tcW w:w="2551" w:type="dxa"/>
            <w:tcBorders>
              <w:tl2br w:val="nil"/>
              <w:tr2bl w:val="nil"/>
            </w:tcBorders>
            <w:shd w:val="clear" w:color="auto" w:fill="auto"/>
            <w:vAlign w:val="center"/>
          </w:tcPr>
          <w:p w14:paraId="13E8193A">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正确的教师观，认识学前教师工作的意义，形成专业认同。</w:t>
            </w:r>
          </w:p>
        </w:tc>
        <w:tc>
          <w:tcPr>
            <w:tcW w:w="2268" w:type="dxa"/>
            <w:tcBorders>
              <w:tl2br w:val="nil"/>
              <w:tr2bl w:val="nil"/>
            </w:tcBorders>
            <w:shd w:val="clear" w:color="auto" w:fill="auto"/>
            <w:vAlign w:val="center"/>
          </w:tcPr>
          <w:p w14:paraId="354F687C">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平时表现</w:t>
            </w:r>
          </w:p>
          <w:p w14:paraId="5BF3ED03">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669CDA71">
            <w:pPr>
              <w:widowControl w:val="0"/>
              <w:spacing w:line="36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bl>
    <w:p w14:paraId="03208AA6">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06"/>
        <w:gridCol w:w="1686"/>
        <w:gridCol w:w="1608"/>
        <w:gridCol w:w="1613"/>
        <w:gridCol w:w="1580"/>
      </w:tblGrid>
      <w:tr w14:paraId="04AAF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8" w:type="pct"/>
            <w:vMerge w:val="restart"/>
            <w:vAlign w:val="center"/>
          </w:tcPr>
          <w:p w14:paraId="242BAD2C">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EEADFC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CA7D020">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805" w:type="pct"/>
            <w:gridSpan w:val="4"/>
            <w:vAlign w:val="center"/>
          </w:tcPr>
          <w:p w14:paraId="5029CCB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4C314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8" w:type="pct"/>
            <w:vMerge w:val="continue"/>
          </w:tcPr>
          <w:p w14:paraId="4B9BF9F2">
            <w:pPr>
              <w:pStyle w:val="16"/>
              <w:widowControl w:val="0"/>
              <w:jc w:val="both"/>
              <w:rPr>
                <w:rFonts w:hint="eastAsia" w:ascii="黑体" w:hAnsi="黑体"/>
                <w:bCs/>
                <w:sz w:val="21"/>
                <w:szCs w:val="21"/>
              </w:rPr>
            </w:pPr>
          </w:p>
        </w:tc>
        <w:tc>
          <w:tcPr>
            <w:tcW w:w="766" w:type="pct"/>
            <w:vMerge w:val="continue"/>
          </w:tcPr>
          <w:p w14:paraId="72145EFD">
            <w:pPr>
              <w:pStyle w:val="16"/>
              <w:widowControl w:val="0"/>
              <w:jc w:val="both"/>
              <w:rPr>
                <w:rFonts w:hint="eastAsia" w:ascii="黑体" w:hAnsi="黑体"/>
                <w:bCs/>
                <w:sz w:val="21"/>
                <w:szCs w:val="21"/>
              </w:rPr>
            </w:pPr>
          </w:p>
        </w:tc>
        <w:tc>
          <w:tcPr>
            <w:tcW w:w="989" w:type="pct"/>
            <w:vAlign w:val="center"/>
          </w:tcPr>
          <w:p w14:paraId="4D97541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73F2B6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5689D3F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6141F4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5CC9066F">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FDF3BA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26" w:type="pct"/>
            <w:vAlign w:val="center"/>
          </w:tcPr>
          <w:p w14:paraId="0DA5414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431E835">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9869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14:paraId="6769F910">
            <w:pPr>
              <w:widowControl w:val="0"/>
              <w:snapToGrid w:val="0"/>
              <w:jc w:val="both"/>
              <w:rPr>
                <w:rFonts w:hint="default" w:ascii="Arial" w:hAnsi="Arial" w:eastAsia="黑体" w:cs="Arial"/>
                <w:bCs/>
                <w:sz w:val="21"/>
                <w:szCs w:val="21"/>
                <w:lang w:val="en-US" w:eastAsia="zh-CN"/>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w:t>
            </w:r>
          </w:p>
        </w:tc>
        <w:tc>
          <w:tcPr>
            <w:tcW w:w="766" w:type="pct"/>
          </w:tcPr>
          <w:p w14:paraId="3D7405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cs="宋体"/>
                <w:color w:val="000000"/>
                <w:sz w:val="21"/>
                <w:szCs w:val="21"/>
                <w:lang w:val="en-US" w:eastAsia="zh-CN" w:bidi="ar-SA"/>
              </w:rPr>
            </w:pPr>
            <w:r>
              <w:rPr>
                <w:rFonts w:ascii="Times New Roman" w:hAnsi="Times New Roman" w:eastAsia="宋体" w:cs="宋体"/>
                <w:color w:val="000000"/>
                <w:sz w:val="21"/>
                <w:szCs w:val="21"/>
                <w:lang w:val="en-US" w:eastAsia="zh-CN" w:bidi="ar-SA"/>
              </w:rPr>
              <w:t>采用</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w:t>
            </w:r>
            <w:r>
              <w:rPr>
                <w:rFonts w:hint="eastAsia" w:ascii="Times New Roman" w:hAnsi="Times New Roman" w:cs="宋体"/>
                <w:color w:val="000000"/>
                <w:sz w:val="21"/>
                <w:szCs w:val="21"/>
                <w:lang w:val="en-US" w:eastAsia="zh-CN" w:bidi="ar-SA"/>
              </w:rPr>
              <w:t>进行考核。</w:t>
            </w:r>
            <w:r>
              <w:rPr>
                <w:rFonts w:ascii="Times New Roman" w:hAnsi="Times New Roman" w:eastAsia="宋体" w:cs="宋体"/>
                <w:color w:val="000000"/>
                <w:sz w:val="21"/>
                <w:szCs w:val="21"/>
                <w:lang w:val="en-US" w:eastAsia="zh-CN" w:bidi="ar-SA"/>
              </w:rPr>
              <w:t>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与运用</w:t>
            </w:r>
            <w:r>
              <w:rPr>
                <w:rFonts w:hint="eastAsia" w:ascii="Times New Roman" w:hAnsi="Times New Roman" w:eastAsia="宋体" w:cs="宋体"/>
                <w:color w:val="000000"/>
                <w:sz w:val="21"/>
                <w:szCs w:val="21"/>
                <w:lang w:val="en-US" w:eastAsia="zh-CN" w:bidi="ar-SA"/>
              </w:rPr>
              <w:t>，题型多样，主要有单选题、</w:t>
            </w:r>
            <w:r>
              <w:rPr>
                <w:rFonts w:hint="eastAsia" w:ascii="Times New Roman" w:hAnsi="Times New Roman" w:cs="宋体"/>
                <w:color w:val="000000"/>
                <w:sz w:val="21"/>
                <w:szCs w:val="21"/>
                <w:lang w:val="en-US" w:eastAsia="zh-CN" w:bidi="ar-SA"/>
              </w:rPr>
              <w:t>填空题、名词解释题、</w:t>
            </w:r>
            <w:r>
              <w:rPr>
                <w:rFonts w:hint="eastAsia" w:ascii="Times New Roman" w:hAnsi="Times New Roman" w:eastAsia="宋体" w:cs="宋体"/>
                <w:color w:val="000000"/>
                <w:sz w:val="21"/>
                <w:szCs w:val="21"/>
                <w:lang w:val="en-US" w:eastAsia="zh-CN" w:bidi="ar-SA"/>
              </w:rPr>
              <w:t>简答题、论述题、</w:t>
            </w:r>
            <w:r>
              <w:rPr>
                <w:rFonts w:hint="eastAsia" w:ascii="Times New Roman" w:hAnsi="Times New Roman" w:cs="宋体"/>
                <w:color w:val="000000"/>
                <w:sz w:val="21"/>
                <w:szCs w:val="21"/>
                <w:lang w:val="en-US" w:eastAsia="zh-CN" w:bidi="ar-SA"/>
              </w:rPr>
              <w:t>材料分析</w:t>
            </w:r>
            <w:r>
              <w:rPr>
                <w:rFonts w:hint="eastAsia" w:ascii="Times New Roman" w:hAnsi="Times New Roman" w:eastAsia="宋体" w:cs="宋体"/>
                <w:color w:val="000000"/>
                <w:sz w:val="21"/>
                <w:szCs w:val="21"/>
                <w:lang w:val="en-US" w:eastAsia="zh-CN" w:bidi="ar-SA"/>
              </w:rPr>
              <w:t>题。</w:t>
            </w:r>
          </w:p>
        </w:tc>
        <w:tc>
          <w:tcPr>
            <w:tcW w:w="989" w:type="pct"/>
          </w:tcPr>
          <w:p w14:paraId="6623B10F">
            <w:pPr>
              <w:pStyle w:val="14"/>
              <w:widowControl w:val="0"/>
              <w:jc w:val="both"/>
              <w:rPr>
                <w:rFonts w:hint="eastAsia" w:eastAsia="宋体"/>
                <w:lang w:val="en-US" w:eastAsia="zh-CN"/>
              </w:rPr>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对学前教育相关</w:t>
            </w:r>
            <w:r>
              <w:rPr>
                <w:rFonts w:hint="eastAsia" w:ascii="Times New Roman" w:hAnsi="Times New Roman" w:cs="宋体"/>
                <w:color w:val="000000"/>
                <w:sz w:val="21"/>
                <w:szCs w:val="21"/>
                <w:lang w:val="en-US" w:eastAsia="zh-CN" w:bidi="ar-SA"/>
              </w:rPr>
              <w:t>概念、理论</w:t>
            </w:r>
            <w:r>
              <w:rPr>
                <w:rFonts w:hint="eastAsia" w:cs="宋体"/>
                <w:color w:val="000000"/>
                <w:sz w:val="21"/>
                <w:szCs w:val="21"/>
                <w:lang w:val="en-US" w:eastAsia="zh-CN" w:bidi="ar-SA"/>
              </w:rPr>
              <w:t>理解</w:t>
            </w:r>
            <w:r>
              <w:rPr>
                <w:rFonts w:hint="eastAsia" w:ascii="Times New Roman" w:hAnsi="Times New Roman" w:cs="宋体"/>
                <w:color w:val="000000"/>
                <w:sz w:val="21"/>
                <w:szCs w:val="21"/>
                <w:lang w:val="en-US" w:eastAsia="zh-CN" w:bidi="ar-SA"/>
              </w:rPr>
              <w:t>准确，填空、选择、名词解释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正确率≥90%</w:t>
            </w:r>
            <w:r>
              <w:rPr>
                <w:rFonts w:hint="eastAsia" w:ascii="Times New Roman" w:hAnsi="Times New Roman" w:cs="宋体"/>
                <w:color w:val="000000"/>
                <w:sz w:val="21"/>
                <w:szCs w:val="21"/>
                <w:lang w:val="en-US" w:eastAsia="zh-CN" w:bidi="ar-SA"/>
              </w:rPr>
              <w:t>。综合运用（简答题、论述题）方面，要点完整，逻辑清晰，能结合实例</w:t>
            </w:r>
            <w:r>
              <w:rPr>
                <w:rFonts w:hint="eastAsia" w:cs="宋体"/>
                <w:color w:val="000000"/>
                <w:sz w:val="21"/>
                <w:szCs w:val="21"/>
                <w:lang w:val="en-US" w:eastAsia="zh-CN" w:bidi="ar-SA"/>
              </w:rPr>
              <w:t>对学前教育问题</w:t>
            </w:r>
            <w:r>
              <w:rPr>
                <w:rFonts w:hint="eastAsia" w:ascii="Times New Roman" w:hAnsi="Times New Roman" w:cs="宋体"/>
                <w:color w:val="000000"/>
                <w:sz w:val="21"/>
                <w:szCs w:val="21"/>
                <w:lang w:val="en-US" w:eastAsia="zh-CN" w:bidi="ar-SA"/>
              </w:rPr>
              <w:t>进行分析。创新思考（材料分析题）方面，材料分析切中要</w:t>
            </w:r>
            <w:r>
              <w:rPr>
                <w:rFonts w:hint="eastAsia" w:cs="宋体"/>
                <w:color w:val="000000"/>
                <w:sz w:val="21"/>
                <w:szCs w:val="21"/>
                <w:lang w:val="en-US" w:eastAsia="zh-CN" w:bidi="ar-SA"/>
              </w:rPr>
              <w:t>点</w:t>
            </w:r>
            <w:r>
              <w:rPr>
                <w:rFonts w:hint="eastAsia" w:ascii="Times New Roman" w:hAnsi="Times New Roman" w:cs="宋体"/>
                <w:color w:val="000000"/>
                <w:sz w:val="21"/>
                <w:szCs w:val="21"/>
                <w:lang w:val="en-US" w:eastAsia="zh-CN" w:bidi="ar-SA"/>
              </w:rPr>
              <w:t>，</w:t>
            </w:r>
            <w:r>
              <w:rPr>
                <w:rFonts w:hint="eastAsia" w:cs="宋体"/>
                <w:color w:val="000000"/>
                <w:sz w:val="21"/>
                <w:szCs w:val="21"/>
                <w:lang w:val="en-US" w:eastAsia="zh-CN" w:bidi="ar-SA"/>
              </w:rPr>
              <w:t>分析有理有据，</w:t>
            </w:r>
            <w:r>
              <w:rPr>
                <w:rFonts w:hint="eastAsia" w:ascii="Times New Roman" w:hAnsi="Times New Roman" w:cs="宋体"/>
                <w:color w:val="000000"/>
                <w:sz w:val="21"/>
                <w:szCs w:val="21"/>
                <w:lang w:val="en-US" w:eastAsia="zh-CN" w:bidi="ar-SA"/>
              </w:rPr>
              <w:t>观点</w:t>
            </w:r>
            <w:r>
              <w:rPr>
                <w:rFonts w:hint="eastAsia" w:cs="宋体"/>
                <w:color w:val="000000"/>
                <w:sz w:val="21"/>
                <w:szCs w:val="21"/>
                <w:lang w:val="en-US" w:eastAsia="zh-CN" w:bidi="ar-SA"/>
              </w:rPr>
              <w:t>科学</w:t>
            </w:r>
            <w:r>
              <w:rPr>
                <w:rFonts w:hint="eastAsia" w:ascii="Times New Roman" w:hAnsi="Times New Roman" w:cs="宋体"/>
                <w:color w:val="000000"/>
                <w:sz w:val="21"/>
                <w:szCs w:val="21"/>
                <w:lang w:val="en-US" w:eastAsia="zh-CN" w:bidi="ar-SA"/>
              </w:rPr>
              <w:t>。</w:t>
            </w:r>
          </w:p>
        </w:tc>
        <w:tc>
          <w:tcPr>
            <w:tcW w:w="943" w:type="pct"/>
          </w:tcPr>
          <w:p w14:paraId="7B90105A">
            <w:pPr>
              <w:pStyle w:val="14"/>
              <w:widowControl w:val="0"/>
              <w:jc w:val="both"/>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对学前教育</w:t>
            </w:r>
            <w:r>
              <w:rPr>
                <w:rFonts w:hint="eastAsia" w:ascii="Times New Roman" w:hAnsi="Times New Roman" w:cs="宋体"/>
                <w:color w:val="000000"/>
                <w:sz w:val="21"/>
                <w:szCs w:val="21"/>
                <w:lang w:val="en-US" w:eastAsia="zh-CN" w:bidi="ar-SA"/>
              </w:rPr>
              <w:t>关键概念</w:t>
            </w:r>
            <w:r>
              <w:rPr>
                <w:rFonts w:hint="eastAsia" w:cs="宋体"/>
                <w:color w:val="000000"/>
                <w:sz w:val="21"/>
                <w:szCs w:val="21"/>
                <w:lang w:val="en-US" w:eastAsia="zh-CN" w:bidi="ar-SA"/>
              </w:rPr>
              <w:t>理解</w:t>
            </w:r>
            <w:r>
              <w:rPr>
                <w:rFonts w:hint="eastAsia" w:ascii="Times New Roman" w:hAnsi="Times New Roman" w:cs="宋体"/>
                <w:color w:val="000000"/>
                <w:sz w:val="21"/>
                <w:szCs w:val="21"/>
                <w:lang w:val="en-US" w:eastAsia="zh-CN" w:bidi="ar-SA"/>
              </w:rPr>
              <w:t>正确，填空、选择、名词解释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的正确率</w:t>
            </w:r>
            <w:r>
              <w:rPr>
                <w:rFonts w:hint="eastAsia"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80%左右</w:t>
            </w:r>
            <w:r>
              <w:rPr>
                <w:rFonts w:hint="eastAsia" w:ascii="Times New Roman" w:hAnsi="Times New Roman" w:cs="宋体"/>
                <w:color w:val="000000"/>
                <w:sz w:val="21"/>
                <w:szCs w:val="21"/>
                <w:lang w:val="en-US" w:eastAsia="zh-CN" w:bidi="ar-SA"/>
              </w:rPr>
              <w:t>。综合运用（简答题、论述题）方面，要点较全，逻辑基本</w:t>
            </w:r>
            <w:r>
              <w:rPr>
                <w:rFonts w:hint="eastAsia" w:cs="宋体"/>
                <w:color w:val="000000"/>
                <w:sz w:val="21"/>
                <w:szCs w:val="21"/>
                <w:lang w:val="en-US" w:eastAsia="zh-CN" w:bidi="ar-SA"/>
              </w:rPr>
              <w:t>清晰</w:t>
            </w:r>
            <w:r>
              <w:rPr>
                <w:rFonts w:hint="eastAsia" w:ascii="Times New Roman" w:hAnsi="Times New Roman" w:cs="宋体"/>
                <w:color w:val="000000"/>
                <w:sz w:val="21"/>
                <w:szCs w:val="21"/>
                <w:lang w:val="en-US" w:eastAsia="zh-CN" w:bidi="ar-SA"/>
              </w:rPr>
              <w:t>，实例一般。创新思考（材料分析题）方面，能运用理论分析材料，观点合理。</w:t>
            </w:r>
          </w:p>
        </w:tc>
        <w:tc>
          <w:tcPr>
            <w:tcW w:w="946" w:type="pct"/>
          </w:tcPr>
          <w:p w14:paraId="7EBA0F14">
            <w:pPr>
              <w:pStyle w:val="14"/>
              <w:widowControl w:val="0"/>
              <w:jc w:val="both"/>
            </w:pPr>
            <w:r>
              <w:rPr>
                <w:rFonts w:hint="eastAsia" w:ascii="Times New Roman" w:hAnsi="Times New Roman" w:cs="宋体"/>
                <w:color w:val="000000"/>
                <w:sz w:val="21"/>
                <w:szCs w:val="21"/>
                <w:lang w:val="en-US" w:eastAsia="zh-CN" w:bidi="ar-SA"/>
              </w:rPr>
              <w:t>基础</w:t>
            </w:r>
            <w:r>
              <w:rPr>
                <w:rFonts w:hint="eastAsia"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掌握（单选题、填空题、名词解释题）方面，</w:t>
            </w:r>
            <w:r>
              <w:rPr>
                <w:rFonts w:hint="eastAsia" w:cs="宋体"/>
                <w:color w:val="000000"/>
                <w:sz w:val="21"/>
                <w:szCs w:val="21"/>
                <w:lang w:val="en-US" w:eastAsia="zh-CN" w:bidi="ar-SA"/>
              </w:rPr>
              <w:t>学前教育相关</w:t>
            </w:r>
            <w:r>
              <w:rPr>
                <w:rFonts w:hint="eastAsia" w:ascii="Times New Roman" w:hAnsi="Times New Roman" w:cs="宋体"/>
                <w:color w:val="000000"/>
                <w:sz w:val="21"/>
                <w:szCs w:val="21"/>
                <w:lang w:val="en-US" w:eastAsia="zh-CN" w:bidi="ar-SA"/>
              </w:rPr>
              <w:t>概念模糊，填空、选择、名词解释</w:t>
            </w:r>
            <w:r>
              <w:rPr>
                <w:rFonts w:hint="eastAsia" w:cs="宋体"/>
                <w:color w:val="000000"/>
                <w:sz w:val="21"/>
                <w:szCs w:val="21"/>
                <w:lang w:val="en-US" w:eastAsia="zh-CN" w:bidi="ar-SA"/>
              </w:rPr>
              <w:t>题</w:t>
            </w:r>
            <w:r>
              <w:rPr>
                <w:rFonts w:hint="eastAsia" w:ascii="Times New Roman" w:hAnsi="Times New Roman" w:eastAsia="宋体" w:cs="宋体"/>
                <w:color w:val="000000"/>
                <w:sz w:val="21"/>
                <w:szCs w:val="21"/>
                <w:lang w:val="en-US" w:eastAsia="zh-CN" w:bidi="ar-SA"/>
              </w:rPr>
              <w:t>的正确率</w:t>
            </w:r>
            <w:r>
              <w:rPr>
                <w:rFonts w:hint="eastAsia"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60%—70%左右</w:t>
            </w:r>
            <w:r>
              <w:rPr>
                <w:rFonts w:hint="eastAsia" w:cs="宋体"/>
                <w:color w:val="000000"/>
                <w:sz w:val="21"/>
                <w:szCs w:val="21"/>
                <w:lang w:val="en-US" w:eastAsia="zh-CN" w:bidi="ar-SA"/>
              </w:rPr>
              <w:t>。</w:t>
            </w:r>
            <w:r>
              <w:rPr>
                <w:rFonts w:hint="eastAsia" w:ascii="Times New Roman" w:hAnsi="Times New Roman" w:cs="宋体"/>
                <w:color w:val="000000"/>
                <w:sz w:val="21"/>
                <w:szCs w:val="21"/>
                <w:lang w:val="en-US" w:eastAsia="zh-CN" w:bidi="ar-SA"/>
              </w:rPr>
              <w:t>综合运用（简答题、论述题）方面，要点缺漏，实例单薄。创新思考（材料分析题）方面，分析停留在表面，理论与材料结合生硬。</w:t>
            </w:r>
          </w:p>
        </w:tc>
        <w:tc>
          <w:tcPr>
            <w:tcW w:w="926" w:type="pct"/>
          </w:tcPr>
          <w:p w14:paraId="4FEBEB27">
            <w:pPr>
              <w:pStyle w:val="6"/>
              <w:widowControl/>
              <w:shd w:val="clear" w:color="auto" w:fill="FFFFFF"/>
              <w:jc w:val="both"/>
              <w:rPr>
                <w:rFonts w:hint="eastAsia"/>
                <w:sz w:val="21"/>
                <w:szCs w:val="21"/>
              </w:rPr>
            </w:pPr>
            <w:r>
              <w:rPr>
                <w:rFonts w:hint="eastAsia" w:ascii="Times New Roman" w:hAnsi="Times New Roman" w:cs="宋体"/>
                <w:color w:val="000000"/>
                <w:sz w:val="21"/>
                <w:szCs w:val="21"/>
                <w:lang w:val="en-US" w:eastAsia="zh-CN" w:bidi="ar-SA"/>
              </w:rPr>
              <w:t>基础知识掌握（单选题、填空题、名</w:t>
            </w:r>
            <w:r>
              <w:rPr>
                <w:rFonts w:hint="eastAsia" w:ascii="Times New Roman" w:hAnsi="Times New Roman" w:eastAsia="宋体" w:cs="宋体"/>
                <w:color w:val="000000"/>
                <w:sz w:val="21"/>
                <w:szCs w:val="21"/>
                <w:lang w:val="en-US" w:eastAsia="zh-CN" w:bidi="ar-SA"/>
              </w:rPr>
              <w:t>词解释题）方面，</w:t>
            </w:r>
            <w:r>
              <w:rPr>
                <w:rFonts w:hint="eastAsia" w:cs="宋体"/>
                <w:color w:val="000000"/>
                <w:sz w:val="21"/>
                <w:szCs w:val="21"/>
                <w:lang w:val="en-US" w:eastAsia="zh-CN" w:bidi="ar-SA"/>
              </w:rPr>
              <w:t>学前教育相关</w:t>
            </w:r>
            <w:r>
              <w:rPr>
                <w:rFonts w:hint="eastAsia" w:ascii="Times New Roman" w:hAnsi="Times New Roman" w:eastAsia="宋体" w:cs="宋体"/>
                <w:color w:val="000000"/>
                <w:sz w:val="21"/>
                <w:szCs w:val="21"/>
                <w:lang w:val="en-US" w:eastAsia="zh-CN" w:bidi="ar-SA"/>
              </w:rPr>
              <w:t>概念错误多，填空、选择、名词解释</w:t>
            </w:r>
            <w:r>
              <w:rPr>
                <w:rFonts w:hint="eastAsia" w:ascii="Times New Roman" w:hAnsi="Times New Roman" w:cs="宋体"/>
                <w:color w:val="000000"/>
                <w:sz w:val="21"/>
                <w:szCs w:val="21"/>
                <w:lang w:val="en-US" w:eastAsia="zh-CN" w:bidi="ar-SA"/>
              </w:rPr>
              <w:t>题的</w:t>
            </w:r>
            <w:r>
              <w:rPr>
                <w:rFonts w:hint="eastAsia" w:ascii="Times New Roman" w:hAnsi="Times New Roman" w:eastAsia="宋体" w:cs="宋体"/>
                <w:color w:val="000000"/>
                <w:sz w:val="21"/>
                <w:szCs w:val="21"/>
                <w:lang w:val="en-US" w:eastAsia="zh-CN" w:bidi="ar-SA"/>
              </w:rPr>
              <w:t>正确率＜60%。综合运用（简答题、论述题）方面，要点严重缺失，条理混乱。创新思考（材料分析题）方面，无法运用理论，分析偏离材料或空白。</w:t>
            </w:r>
          </w:p>
        </w:tc>
      </w:tr>
      <w:tr w14:paraId="518CF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8" w:type="pct"/>
            <w:vAlign w:val="center"/>
          </w:tcPr>
          <w:p w14:paraId="0693C5E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766" w:type="pct"/>
            <w:vAlign w:val="center"/>
          </w:tcPr>
          <w:p w14:paraId="32120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r>
              <w:rPr>
                <w:rFonts w:hint="eastAsia" w:cs="黑体"/>
                <w:color w:val="000000"/>
                <w:sz w:val="21"/>
                <w:szCs w:val="21"/>
                <w:lang w:val="en-US" w:eastAsia="zh-CN"/>
              </w:rPr>
              <w:t>通过读书报告进行考核。</w:t>
            </w:r>
            <w:r>
              <w:rPr>
                <w:rFonts w:hint="eastAsia" w:ascii="Helvetica" w:hAnsi="Helvetica" w:cs="Helvetica" w:eastAsiaTheme="minorEastAsia"/>
                <w:color w:val="000000"/>
                <w:sz w:val="21"/>
                <w:szCs w:val="21"/>
                <w:lang w:val="en-US" w:eastAsia="zh-CN"/>
              </w:rPr>
              <w:t>主要考查学生阅读与分析应用能力，包括阅读书籍的相关性</w:t>
            </w:r>
            <w:r>
              <w:rPr>
                <w:rFonts w:hint="eastAsia" w:ascii="Helvetica" w:hAnsi="Helvetica" w:cs="Helvetica" w:eastAsiaTheme="minorEastAsia"/>
                <w:color w:val="000000"/>
                <w:sz w:val="21"/>
                <w:szCs w:val="21"/>
              </w:rPr>
              <w:t>、读书报告字数、内容、上交时间等方面</w:t>
            </w:r>
            <w:r>
              <w:rPr>
                <w:rFonts w:hint="eastAsia" w:ascii="Helvetica" w:hAnsi="Helvetica" w:cs="Helvetica" w:eastAsiaTheme="minorEastAsia"/>
                <w:color w:val="000000"/>
                <w:sz w:val="21"/>
                <w:szCs w:val="21"/>
                <w:lang w:eastAsia="zh-CN"/>
              </w:rPr>
              <w:t>。</w:t>
            </w:r>
          </w:p>
        </w:tc>
        <w:tc>
          <w:tcPr>
            <w:tcW w:w="989" w:type="pct"/>
            <w:vAlign w:val="top"/>
          </w:tcPr>
          <w:p w14:paraId="33797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Helvetica" w:hAnsi="Helvetica" w:cs="Helvetica" w:eastAsiaTheme="minorEastAsia"/>
                <w:color w:val="000000"/>
                <w:sz w:val="21"/>
                <w:szCs w:val="21"/>
              </w:rPr>
              <w:t>能在规定时间</w:t>
            </w:r>
            <w:r>
              <w:rPr>
                <w:rFonts w:hint="eastAsia" w:cs="黑体"/>
                <w:color w:val="000000"/>
                <w:sz w:val="21"/>
                <w:szCs w:val="21"/>
              </w:rPr>
              <w:t>内</w:t>
            </w:r>
            <w:r>
              <w:rPr>
                <w:rFonts w:hint="eastAsia" w:ascii="Helvetica" w:hAnsi="Helvetica" w:cs="Helvetica" w:eastAsiaTheme="minorEastAsia"/>
                <w:color w:val="000000"/>
                <w:sz w:val="21"/>
                <w:szCs w:val="21"/>
              </w:rPr>
              <w:t>上交读书报告，态度认真；书面整洁，格式规范美观；读书报告所选书籍合适，与学前教育专业密切相关；字数符合要求，</w:t>
            </w:r>
            <w:r>
              <w:rPr>
                <w:rFonts w:hint="eastAsia" w:cs="黑体"/>
                <w:color w:val="000000"/>
                <w:sz w:val="21"/>
                <w:szCs w:val="21"/>
              </w:rPr>
              <w:t>1500</w:t>
            </w:r>
            <w:r>
              <w:rPr>
                <w:rFonts w:hint="eastAsia" w:ascii="Helvetica" w:hAnsi="Helvetica" w:cs="Helvetica" w:eastAsiaTheme="minorEastAsia"/>
                <w:color w:val="000000"/>
                <w:sz w:val="21"/>
                <w:szCs w:val="21"/>
              </w:rPr>
              <w:t>字以上；能够很好地将课程所学运用到读书报告的撰写中，积极思考并表达自己的观点。</w:t>
            </w:r>
          </w:p>
        </w:tc>
        <w:tc>
          <w:tcPr>
            <w:tcW w:w="943" w:type="pct"/>
            <w:vAlign w:val="top"/>
          </w:tcPr>
          <w:p w14:paraId="1FB37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rPr>
              <w:t>在规定时间内上交读书报告，态度</w:t>
            </w:r>
            <w:r>
              <w:rPr>
                <w:rFonts w:hint="eastAsia" w:cs="黑体"/>
                <w:color w:val="000000"/>
                <w:sz w:val="21"/>
                <w:szCs w:val="21"/>
                <w:lang w:val="en-US" w:eastAsia="zh-CN"/>
              </w:rPr>
              <w:t>较</w:t>
            </w:r>
            <w:r>
              <w:rPr>
                <w:rFonts w:hint="eastAsia" w:cs="黑体"/>
                <w:color w:val="000000"/>
                <w:sz w:val="21"/>
                <w:szCs w:val="21"/>
              </w:rPr>
              <w:t>认真；书面整洁，格式规范；所选择的阅读书目与学前专业相关，字数在1300字左右；在读书报告的撰写中能够体现课程所学理论，能够尝试思考和表达自己的观点。</w:t>
            </w:r>
          </w:p>
        </w:tc>
        <w:tc>
          <w:tcPr>
            <w:tcW w:w="946" w:type="pct"/>
            <w:vAlign w:val="top"/>
          </w:tcPr>
          <w:p w14:paraId="4EC48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rPr>
              <w:t>能卡点上交读书报告，态度欠认真；书面较整洁，格式基本规范；读书报告书籍选择与学前专业</w:t>
            </w:r>
            <w:r>
              <w:rPr>
                <w:rFonts w:hint="eastAsia" w:cs="黑体"/>
                <w:color w:val="000000"/>
                <w:sz w:val="21"/>
                <w:szCs w:val="21"/>
                <w:lang w:val="en-US" w:eastAsia="zh-CN"/>
              </w:rPr>
              <w:t>关联度较小</w:t>
            </w:r>
            <w:r>
              <w:rPr>
                <w:rFonts w:hint="eastAsia" w:cs="黑体"/>
                <w:color w:val="000000"/>
                <w:sz w:val="21"/>
                <w:szCs w:val="21"/>
              </w:rPr>
              <w:t>，字数在1</w:t>
            </w:r>
            <w:r>
              <w:rPr>
                <w:rFonts w:hint="eastAsia" w:cs="黑体"/>
                <w:color w:val="000000"/>
                <w:sz w:val="21"/>
                <w:szCs w:val="21"/>
                <w:lang w:val="en-US" w:eastAsia="zh-CN"/>
              </w:rPr>
              <w:t>1</w:t>
            </w:r>
            <w:r>
              <w:rPr>
                <w:rFonts w:hint="eastAsia" w:cs="黑体"/>
                <w:color w:val="000000"/>
                <w:sz w:val="21"/>
                <w:szCs w:val="21"/>
              </w:rPr>
              <w:t>00字左右；在读书报告的撰写中较少体现课程所学理论，但有自己的思考和观点。</w:t>
            </w:r>
          </w:p>
        </w:tc>
        <w:tc>
          <w:tcPr>
            <w:tcW w:w="926" w:type="pct"/>
            <w:vAlign w:val="top"/>
          </w:tcPr>
          <w:p w14:paraId="43F53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黑体"/>
                <w:color w:val="000000"/>
                <w:sz w:val="21"/>
                <w:szCs w:val="21"/>
              </w:rPr>
              <w:t>未能按时上交读书报告，在课代表或教师提醒下能够及时进行补交；书面欠整洁，格式欠</w:t>
            </w:r>
            <w:r>
              <w:rPr>
                <w:rFonts w:hint="eastAsia" w:cs="黑体"/>
                <w:color w:val="000000"/>
                <w:sz w:val="21"/>
                <w:szCs w:val="21"/>
                <w:lang w:val="en-US" w:eastAsia="zh-CN"/>
              </w:rPr>
              <w:t>规范</w:t>
            </w:r>
            <w:r>
              <w:rPr>
                <w:rFonts w:hint="eastAsia" w:cs="黑体"/>
                <w:color w:val="000000"/>
                <w:sz w:val="21"/>
                <w:szCs w:val="21"/>
              </w:rPr>
              <w:t>；读书报告书籍选择与学前教育专业</w:t>
            </w:r>
            <w:r>
              <w:rPr>
                <w:rFonts w:hint="eastAsia" w:cs="黑体"/>
                <w:color w:val="000000"/>
                <w:sz w:val="21"/>
                <w:szCs w:val="21"/>
                <w:lang w:val="en-US" w:eastAsia="zh-CN"/>
              </w:rPr>
              <w:t>无关</w:t>
            </w:r>
            <w:r>
              <w:rPr>
                <w:rFonts w:hint="eastAsia" w:cs="黑体"/>
                <w:color w:val="000000"/>
                <w:sz w:val="21"/>
                <w:szCs w:val="21"/>
              </w:rPr>
              <w:t>，字数不符合要求，</w:t>
            </w:r>
            <w:r>
              <w:rPr>
                <w:rFonts w:hint="eastAsia" w:cs="黑体"/>
                <w:color w:val="000000"/>
                <w:sz w:val="21"/>
                <w:szCs w:val="21"/>
                <w:lang w:val="en-US" w:eastAsia="zh-CN"/>
              </w:rPr>
              <w:t>在</w:t>
            </w:r>
            <w:r>
              <w:rPr>
                <w:rFonts w:hint="eastAsia" w:cs="黑体"/>
                <w:color w:val="000000"/>
                <w:sz w:val="21"/>
                <w:szCs w:val="21"/>
              </w:rPr>
              <w:t>1000字以下；不能将课程所学理论运用到读书报告的撰写中</w:t>
            </w:r>
            <w:r>
              <w:rPr>
                <w:rFonts w:hint="eastAsia" w:cs="黑体"/>
                <w:color w:val="000000"/>
                <w:sz w:val="21"/>
                <w:szCs w:val="21"/>
                <w:lang w:eastAsia="zh-CN"/>
              </w:rPr>
              <w:t>，</w:t>
            </w:r>
            <w:r>
              <w:rPr>
                <w:rFonts w:hint="eastAsia" w:cs="黑体"/>
                <w:color w:val="000000"/>
                <w:sz w:val="21"/>
                <w:szCs w:val="21"/>
                <w:lang w:val="en-US" w:eastAsia="zh-CN"/>
              </w:rPr>
              <w:t>也</w:t>
            </w:r>
            <w:r>
              <w:rPr>
                <w:rFonts w:hint="eastAsia" w:cs="黑体"/>
                <w:color w:val="000000"/>
                <w:sz w:val="21"/>
                <w:szCs w:val="21"/>
              </w:rPr>
              <w:t>没有自己的思考和观点。</w:t>
            </w:r>
          </w:p>
        </w:tc>
      </w:tr>
      <w:tr w14:paraId="0F501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8" w:type="pct"/>
            <w:vMerge w:val="restart"/>
            <w:vAlign w:val="center"/>
          </w:tcPr>
          <w:p w14:paraId="6CCC6794">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4、5</w:t>
            </w:r>
          </w:p>
        </w:tc>
        <w:tc>
          <w:tcPr>
            <w:tcW w:w="766" w:type="pct"/>
            <w:vMerge w:val="restart"/>
            <w:vAlign w:val="center"/>
          </w:tcPr>
          <w:p w14:paraId="4FB606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lang w:val="en-US" w:eastAsia="zh-CN"/>
              </w:rPr>
            </w:pPr>
            <w:r>
              <w:rPr>
                <w:rFonts w:hint="eastAsia" w:ascii="宋体" w:eastAsia="宋体"/>
                <w:sz w:val="21"/>
                <w:szCs w:val="21"/>
                <w:lang w:val="en-US" w:eastAsia="zh-CN"/>
              </w:rPr>
              <w:t>通过</w:t>
            </w:r>
            <w:r>
              <w:rPr>
                <w:rFonts w:hint="eastAsia"/>
                <w:sz w:val="21"/>
                <w:szCs w:val="21"/>
                <w:lang w:val="en-US" w:eastAsia="zh-CN"/>
              </w:rPr>
              <w:t>课后作业和</w:t>
            </w:r>
            <w:r>
              <w:rPr>
                <w:rFonts w:hint="eastAsia"/>
                <w:sz w:val="21"/>
                <w:szCs w:val="21"/>
              </w:rPr>
              <w:t>平时</w:t>
            </w:r>
            <w:r>
              <w:rPr>
                <w:sz w:val="21"/>
                <w:szCs w:val="21"/>
              </w:rPr>
              <w:t>表现</w:t>
            </w:r>
            <w:r>
              <w:rPr>
                <w:rFonts w:hint="eastAsia" w:ascii="宋体" w:eastAsia="宋体"/>
                <w:sz w:val="21"/>
                <w:szCs w:val="21"/>
                <w:lang w:val="en-US" w:eastAsia="zh-CN"/>
              </w:rPr>
              <w:t>进行考核</w:t>
            </w:r>
            <w:r>
              <w:rPr>
                <w:rFonts w:hint="eastAsia"/>
                <w:sz w:val="21"/>
                <w:szCs w:val="21"/>
                <w:lang w:val="en-US" w:eastAsia="zh-CN"/>
              </w:rPr>
              <w:t>。</w:t>
            </w:r>
          </w:p>
          <w:p w14:paraId="484841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sz w:val="21"/>
                <w:szCs w:val="21"/>
                <w:highlight w:val="none"/>
                <w:lang w:eastAsia="zh-CN"/>
              </w:rPr>
            </w:pPr>
            <w:r>
              <w:rPr>
                <w:rFonts w:hint="eastAsia" w:ascii="Times New Roman" w:hAnsi="Times New Roman" w:cs="宋体"/>
                <w:color w:val="000000"/>
                <w:sz w:val="21"/>
                <w:szCs w:val="21"/>
                <w:lang w:val="en-US" w:eastAsia="zh-CN" w:bidi="ar-SA"/>
              </w:rPr>
              <w:t>课后作业</w:t>
            </w:r>
            <w:r>
              <w:rPr>
                <w:sz w:val="21"/>
                <w:szCs w:val="21"/>
                <w:highlight w:val="none"/>
              </w:rPr>
              <w:t>主要考查同学们</w:t>
            </w:r>
            <w:r>
              <w:rPr>
                <w:rFonts w:hint="eastAsia"/>
                <w:sz w:val="21"/>
                <w:szCs w:val="21"/>
                <w:highlight w:val="none"/>
              </w:rPr>
              <w:t>作业的完成情况</w:t>
            </w:r>
            <w:r>
              <w:rPr>
                <w:rFonts w:hint="eastAsia" w:eastAsia="宋体"/>
                <w:sz w:val="21"/>
                <w:szCs w:val="21"/>
                <w:highlight w:val="none"/>
                <w:lang w:eastAsia="zh-CN"/>
              </w:rPr>
              <w:t>，</w:t>
            </w:r>
            <w:r>
              <w:rPr>
                <w:rFonts w:hint="eastAsia" w:ascii="宋体" w:eastAsia="宋体"/>
                <w:sz w:val="21"/>
                <w:szCs w:val="21"/>
                <w:highlight w:val="none"/>
                <w:lang w:val="en-US" w:eastAsia="zh-CN"/>
              </w:rPr>
              <w:t>包括</w:t>
            </w:r>
            <w:r>
              <w:rPr>
                <w:rFonts w:hint="eastAsia"/>
                <w:sz w:val="21"/>
                <w:szCs w:val="21"/>
                <w:highlight w:val="none"/>
              </w:rPr>
              <w:t>作业上交时间</w:t>
            </w:r>
            <w:r>
              <w:rPr>
                <w:rFonts w:hint="eastAsia" w:eastAsia="宋体"/>
                <w:sz w:val="21"/>
                <w:szCs w:val="21"/>
                <w:highlight w:val="none"/>
                <w:lang w:eastAsia="zh-CN"/>
              </w:rPr>
              <w:t>、</w:t>
            </w:r>
            <w:r>
              <w:rPr>
                <w:rFonts w:hint="eastAsia"/>
                <w:sz w:val="21"/>
                <w:szCs w:val="21"/>
                <w:highlight w:val="none"/>
              </w:rPr>
              <w:t>作业</w:t>
            </w:r>
            <w:r>
              <w:rPr>
                <w:rFonts w:hint="eastAsia" w:ascii="宋体" w:eastAsia="宋体"/>
                <w:sz w:val="21"/>
                <w:szCs w:val="21"/>
                <w:highlight w:val="none"/>
                <w:lang w:val="en-US" w:eastAsia="zh-CN"/>
              </w:rPr>
              <w:t>规范</w:t>
            </w:r>
            <w:r>
              <w:rPr>
                <w:rFonts w:hint="eastAsia"/>
                <w:sz w:val="21"/>
                <w:szCs w:val="21"/>
                <w:highlight w:val="none"/>
              </w:rPr>
              <w:t>、</w:t>
            </w:r>
            <w:r>
              <w:rPr>
                <w:rFonts w:hint="eastAsia" w:ascii="宋体" w:eastAsia="宋体"/>
                <w:sz w:val="21"/>
                <w:szCs w:val="21"/>
                <w:highlight w:val="none"/>
                <w:lang w:val="en-US" w:eastAsia="zh-CN"/>
              </w:rPr>
              <w:t>作业</w:t>
            </w:r>
            <w:r>
              <w:rPr>
                <w:rFonts w:hint="eastAsia"/>
                <w:sz w:val="21"/>
                <w:szCs w:val="21"/>
                <w:highlight w:val="none"/>
              </w:rPr>
              <w:t>内容等方面</w:t>
            </w:r>
            <w:r>
              <w:rPr>
                <w:rFonts w:hint="eastAsia" w:eastAsia="宋体"/>
                <w:sz w:val="21"/>
                <w:szCs w:val="21"/>
                <w:highlight w:val="none"/>
                <w:lang w:eastAsia="zh-CN"/>
              </w:rPr>
              <w:t>。</w:t>
            </w:r>
          </w:p>
          <w:p w14:paraId="73D2E2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平时</w:t>
            </w:r>
            <w:r>
              <w:rPr>
                <w:sz w:val="21"/>
                <w:szCs w:val="21"/>
              </w:rPr>
              <w:t>表现有三个部分组成，即课堂考勤、课堂纪律、课堂</w:t>
            </w:r>
            <w:r>
              <w:rPr>
                <w:rFonts w:hint="eastAsia" w:ascii="宋体" w:eastAsia="宋体"/>
                <w:sz w:val="21"/>
                <w:szCs w:val="21"/>
                <w:lang w:val="en-US" w:eastAsia="zh-CN"/>
              </w:rPr>
              <w:t>参与</w:t>
            </w:r>
            <w:r>
              <w:rPr>
                <w:sz w:val="21"/>
                <w:szCs w:val="21"/>
              </w:rPr>
              <w:t>积极性</w:t>
            </w:r>
            <w:r>
              <w:rPr>
                <w:rFonts w:hint="eastAsia"/>
                <w:sz w:val="21"/>
                <w:szCs w:val="21"/>
              </w:rPr>
              <w:t>。</w:t>
            </w:r>
          </w:p>
          <w:p w14:paraId="42E26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sz w:val="21"/>
                <w:szCs w:val="21"/>
                <w:highlight w:val="none"/>
                <w:lang w:eastAsia="zh-CN"/>
              </w:rPr>
            </w:pPr>
          </w:p>
        </w:tc>
        <w:tc>
          <w:tcPr>
            <w:tcW w:w="989" w:type="pct"/>
            <w:vAlign w:val="top"/>
          </w:tcPr>
          <w:p w14:paraId="5488A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sz w:val="21"/>
                <w:szCs w:val="21"/>
                <w:highlight w:val="none"/>
              </w:rPr>
              <w:t>能在规定时间</w:t>
            </w:r>
            <w:r>
              <w:rPr>
                <w:rFonts w:hint="eastAsia" w:ascii="宋体" w:eastAsia="宋体"/>
                <w:sz w:val="21"/>
                <w:szCs w:val="21"/>
                <w:highlight w:val="none"/>
                <w:lang w:val="en-US" w:eastAsia="zh-CN"/>
              </w:rPr>
              <w:t>内</w:t>
            </w:r>
            <w:r>
              <w:rPr>
                <w:rFonts w:hint="eastAsia"/>
                <w:sz w:val="21"/>
                <w:szCs w:val="21"/>
                <w:highlight w:val="none"/>
              </w:rPr>
              <w:t>上交作业，态度认真，按质按量完成作业。作业</w:t>
            </w:r>
            <w:r>
              <w:rPr>
                <w:rFonts w:hint="eastAsia" w:ascii="宋体" w:eastAsia="宋体"/>
                <w:sz w:val="21"/>
                <w:szCs w:val="21"/>
                <w:highlight w:val="none"/>
                <w:lang w:val="en-US" w:eastAsia="zh-CN"/>
              </w:rPr>
              <w:t>内容</w:t>
            </w:r>
            <w:r>
              <w:rPr>
                <w:rFonts w:hint="eastAsia"/>
                <w:sz w:val="21"/>
                <w:szCs w:val="21"/>
                <w:highlight w:val="none"/>
              </w:rPr>
              <w:t>条理清晰，格式规范美观。作业符合要求，内容全面具体，能够尝试表达自己的观点和想法。在完成作业的过程中能够</w:t>
            </w:r>
            <w:r>
              <w:rPr>
                <w:rFonts w:hint="eastAsia" w:ascii="宋体" w:eastAsia="宋体"/>
                <w:sz w:val="21"/>
                <w:szCs w:val="21"/>
                <w:highlight w:val="none"/>
                <w:lang w:val="en-US" w:eastAsia="zh-CN"/>
              </w:rPr>
              <w:t>充分运用</w:t>
            </w:r>
            <w:r>
              <w:rPr>
                <w:rFonts w:hint="eastAsia"/>
                <w:sz w:val="21"/>
                <w:szCs w:val="21"/>
                <w:highlight w:val="none"/>
              </w:rPr>
              <w:t>课</w:t>
            </w:r>
            <w:r>
              <w:rPr>
                <w:rFonts w:hint="eastAsia" w:ascii="宋体" w:eastAsia="宋体"/>
                <w:sz w:val="21"/>
                <w:szCs w:val="21"/>
                <w:highlight w:val="none"/>
                <w:lang w:val="en-US" w:eastAsia="zh-CN"/>
              </w:rPr>
              <w:t>堂</w:t>
            </w:r>
            <w:r>
              <w:rPr>
                <w:rFonts w:hint="eastAsia"/>
                <w:sz w:val="21"/>
                <w:szCs w:val="21"/>
                <w:highlight w:val="none"/>
              </w:rPr>
              <w:t>所学。</w:t>
            </w:r>
          </w:p>
        </w:tc>
        <w:tc>
          <w:tcPr>
            <w:tcW w:w="943" w:type="pct"/>
            <w:vAlign w:val="top"/>
          </w:tcPr>
          <w:p w14:paraId="12500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sz w:val="21"/>
                <w:szCs w:val="21"/>
                <w:highlight w:val="none"/>
              </w:rPr>
              <w:t>能在规定时间内上交作业，态度认真。作业</w:t>
            </w:r>
            <w:r>
              <w:rPr>
                <w:rFonts w:hint="eastAsia" w:ascii="宋体" w:eastAsia="宋体"/>
                <w:sz w:val="21"/>
                <w:szCs w:val="21"/>
                <w:highlight w:val="none"/>
                <w:lang w:val="en-US" w:eastAsia="zh-CN"/>
              </w:rPr>
              <w:t>内容</w:t>
            </w:r>
            <w:r>
              <w:rPr>
                <w:rFonts w:hint="eastAsia"/>
                <w:sz w:val="21"/>
                <w:szCs w:val="21"/>
                <w:highlight w:val="none"/>
              </w:rPr>
              <w:t>条理清晰，格式规范。作业符合要求，能够结合</w:t>
            </w:r>
            <w:r>
              <w:rPr>
                <w:rFonts w:hint="eastAsia" w:ascii="宋体" w:eastAsia="宋体"/>
                <w:sz w:val="21"/>
                <w:szCs w:val="21"/>
                <w:highlight w:val="none"/>
                <w:lang w:val="en-US" w:eastAsia="zh-CN"/>
              </w:rPr>
              <w:t>所学</w:t>
            </w:r>
            <w:r>
              <w:rPr>
                <w:rFonts w:hint="eastAsia"/>
                <w:sz w:val="21"/>
                <w:szCs w:val="21"/>
                <w:highlight w:val="none"/>
              </w:rPr>
              <w:t>知识进行分析。在完成作业的过程中能够有意识地尝试运用课</w:t>
            </w:r>
            <w:r>
              <w:rPr>
                <w:rFonts w:hint="eastAsia" w:ascii="宋体" w:eastAsia="宋体"/>
                <w:sz w:val="21"/>
                <w:szCs w:val="21"/>
                <w:highlight w:val="none"/>
                <w:lang w:val="en-US" w:eastAsia="zh-CN"/>
              </w:rPr>
              <w:t>堂</w:t>
            </w:r>
            <w:r>
              <w:rPr>
                <w:rFonts w:hint="eastAsia"/>
                <w:sz w:val="21"/>
                <w:szCs w:val="21"/>
                <w:highlight w:val="none"/>
              </w:rPr>
              <w:t>所学。</w:t>
            </w:r>
          </w:p>
        </w:tc>
        <w:tc>
          <w:tcPr>
            <w:tcW w:w="946" w:type="pct"/>
            <w:vAlign w:val="top"/>
          </w:tcPr>
          <w:p w14:paraId="15AC8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sz w:val="21"/>
                <w:szCs w:val="21"/>
                <w:highlight w:val="none"/>
              </w:rPr>
              <w:t>能按时卡点上交作业，态度欠认真</w:t>
            </w:r>
            <w:r>
              <w:rPr>
                <w:rFonts w:hint="eastAsia" w:eastAsia="宋体"/>
                <w:sz w:val="21"/>
                <w:szCs w:val="21"/>
                <w:highlight w:val="none"/>
                <w:lang w:eastAsia="zh-CN"/>
              </w:rPr>
              <w:t>，</w:t>
            </w:r>
            <w:r>
              <w:rPr>
                <w:rFonts w:hint="eastAsia"/>
                <w:sz w:val="21"/>
                <w:szCs w:val="21"/>
                <w:highlight w:val="none"/>
              </w:rPr>
              <w:t>作业条理</w:t>
            </w:r>
            <w:r>
              <w:rPr>
                <w:rFonts w:hint="eastAsia" w:ascii="宋体" w:eastAsia="宋体"/>
                <w:sz w:val="21"/>
                <w:szCs w:val="21"/>
                <w:highlight w:val="none"/>
                <w:lang w:val="en-US" w:eastAsia="zh-CN"/>
              </w:rPr>
              <w:t>不</w:t>
            </w:r>
            <w:r>
              <w:rPr>
                <w:rFonts w:hint="eastAsia"/>
                <w:sz w:val="21"/>
                <w:szCs w:val="21"/>
                <w:highlight w:val="none"/>
              </w:rPr>
              <w:t>清晰，基本符合要求，作业内容能够找到书本相关的知识点，但缺少进一步具体分析</w:t>
            </w:r>
            <w:r>
              <w:rPr>
                <w:rFonts w:hint="eastAsia" w:ascii="宋体" w:eastAsia="宋体"/>
                <w:sz w:val="21"/>
                <w:szCs w:val="21"/>
                <w:highlight w:val="none"/>
                <w:lang w:val="en-US" w:eastAsia="zh-CN"/>
              </w:rPr>
              <w:t>和自己的观点</w:t>
            </w:r>
            <w:r>
              <w:rPr>
                <w:rFonts w:hint="eastAsia"/>
                <w:sz w:val="21"/>
                <w:szCs w:val="21"/>
                <w:highlight w:val="none"/>
              </w:rPr>
              <w:t>。在完成作业的过程中不能主动运用课</w:t>
            </w:r>
            <w:r>
              <w:rPr>
                <w:rFonts w:hint="eastAsia" w:ascii="宋体" w:eastAsia="宋体"/>
                <w:sz w:val="21"/>
                <w:szCs w:val="21"/>
                <w:highlight w:val="none"/>
                <w:lang w:val="en-US" w:eastAsia="zh-CN"/>
              </w:rPr>
              <w:t>堂</w:t>
            </w:r>
            <w:r>
              <w:rPr>
                <w:rFonts w:hint="eastAsia"/>
                <w:sz w:val="21"/>
                <w:szCs w:val="21"/>
                <w:highlight w:val="none"/>
              </w:rPr>
              <w:t>所学。</w:t>
            </w:r>
          </w:p>
        </w:tc>
        <w:tc>
          <w:tcPr>
            <w:tcW w:w="926" w:type="pct"/>
            <w:vAlign w:val="top"/>
          </w:tcPr>
          <w:p w14:paraId="1320D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sz w:val="21"/>
                <w:szCs w:val="21"/>
                <w:highlight w:val="none"/>
              </w:rPr>
              <w:t>未能按时上交作业，在课代表或教师提醒下能够及时进行补交。</w:t>
            </w:r>
            <w:r>
              <w:rPr>
                <w:rFonts w:hint="eastAsia" w:ascii="宋体" w:eastAsia="宋体"/>
                <w:sz w:val="21"/>
                <w:szCs w:val="21"/>
                <w:highlight w:val="none"/>
                <w:lang w:val="en-US" w:eastAsia="zh-CN"/>
              </w:rPr>
              <w:t>作业</w:t>
            </w:r>
            <w:r>
              <w:rPr>
                <w:rFonts w:hint="eastAsia"/>
                <w:sz w:val="21"/>
                <w:szCs w:val="21"/>
                <w:highlight w:val="none"/>
              </w:rPr>
              <w:t>格式不规范。作业内容不符合要求，分析不够全面具体，借鉴网上资源的篇幅较多。不能将课</w:t>
            </w:r>
            <w:r>
              <w:rPr>
                <w:rFonts w:hint="eastAsia" w:ascii="宋体" w:eastAsia="宋体"/>
                <w:sz w:val="21"/>
                <w:szCs w:val="21"/>
                <w:highlight w:val="none"/>
                <w:lang w:val="en-US" w:eastAsia="zh-CN"/>
              </w:rPr>
              <w:t>堂</w:t>
            </w:r>
            <w:r>
              <w:rPr>
                <w:rFonts w:hint="eastAsia"/>
                <w:sz w:val="21"/>
                <w:szCs w:val="21"/>
                <w:highlight w:val="none"/>
              </w:rPr>
              <w:t>所学运用到作业中。</w:t>
            </w:r>
          </w:p>
        </w:tc>
      </w:tr>
      <w:tr w14:paraId="7EA5D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3" w:hRule="atLeast"/>
        </w:trPr>
        <w:tc>
          <w:tcPr>
            <w:tcW w:w="428" w:type="pct"/>
            <w:vMerge w:val="continue"/>
            <w:vAlign w:val="center"/>
          </w:tcPr>
          <w:p w14:paraId="1CE79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2811FD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989" w:type="pct"/>
            <w:vAlign w:val="top"/>
          </w:tcPr>
          <w:p w14:paraId="454CF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能够提前进入课堂，做好上课准备，从不缺勤/迟到/早退/旷课，严格遵守常规要求。上课过程中能够做到态度端正，认真听讲，仔细领会，用心思考。能主动结合所学知识与实践经历进行思考与讨论，积极参加课堂活动</w:t>
            </w:r>
            <w:r>
              <w:rPr>
                <w:rFonts w:hint="eastAsia" w:cs="黑体"/>
                <w:color w:val="000000"/>
                <w:sz w:val="21"/>
                <w:szCs w:val="21"/>
                <w:lang w:eastAsia="zh-CN"/>
              </w:rPr>
              <w:t>，</w:t>
            </w:r>
            <w:r>
              <w:rPr>
                <w:rFonts w:hint="eastAsia" w:cs="黑体"/>
                <w:color w:val="000000"/>
                <w:sz w:val="21"/>
                <w:szCs w:val="21"/>
                <w:lang w:val="en-US" w:eastAsia="zh-CN"/>
              </w:rPr>
              <w:t>在课堂参与过程中自觉以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，专业认同</w:t>
            </w:r>
            <w:r>
              <w:rPr>
                <w:rFonts w:hint="eastAsia" w:cs="宋体"/>
                <w:b w:val="0"/>
                <w:bCs w:val="0"/>
                <w:color w:val="000000"/>
                <w:sz w:val="21"/>
                <w:szCs w:val="21"/>
                <w:highlight w:val="none"/>
                <w:lang w:val="en-US" w:eastAsia="zh-CN" w:bidi="ar-SA"/>
              </w:rPr>
              <w:t>度高。</w:t>
            </w:r>
          </w:p>
        </w:tc>
        <w:tc>
          <w:tcPr>
            <w:tcW w:w="943" w:type="pct"/>
            <w:vAlign w:val="top"/>
          </w:tcPr>
          <w:p w14:paraId="4F2DC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r>
              <w:rPr>
                <w:rFonts w:hint="eastAsia" w:cs="黑体"/>
                <w:color w:val="000000"/>
                <w:sz w:val="21"/>
                <w:szCs w:val="21"/>
              </w:rPr>
              <w:t>上课过程中基本做到态度端正，认真听讲。能在教师的引导下结合所学知识与实践经历进行思考与讨论</w:t>
            </w:r>
            <w:r>
              <w:rPr>
                <w:rFonts w:hint="eastAsia" w:cs="黑体"/>
                <w:color w:val="000000"/>
                <w:sz w:val="21"/>
                <w:szCs w:val="21"/>
                <w:lang w:val="en-US" w:eastAsia="zh-CN"/>
              </w:rPr>
              <w:t>和</w:t>
            </w:r>
            <w:r>
              <w:rPr>
                <w:rFonts w:hint="eastAsia" w:cs="黑体"/>
                <w:color w:val="000000"/>
                <w:sz w:val="21"/>
                <w:szCs w:val="21"/>
              </w:rPr>
              <w:t>课堂活动</w:t>
            </w:r>
            <w:r>
              <w:rPr>
                <w:rFonts w:hint="eastAsia" w:cs="黑体"/>
                <w:color w:val="000000"/>
                <w:sz w:val="21"/>
                <w:szCs w:val="21"/>
                <w:lang w:eastAsia="zh-CN"/>
              </w:rPr>
              <w:t>。</w:t>
            </w:r>
            <w:r>
              <w:rPr>
                <w:rFonts w:hint="eastAsia" w:cs="黑体"/>
                <w:color w:val="000000"/>
                <w:sz w:val="21"/>
                <w:szCs w:val="21"/>
                <w:lang w:val="en-US" w:eastAsia="zh-CN"/>
              </w:rPr>
              <w:t>在课堂参与过程中能够以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w:t>
            </w:r>
            <w:r>
              <w:rPr>
                <w:rFonts w:hint="eastAsia" w:cs="宋体"/>
                <w:b w:val="0"/>
                <w:bCs w:val="0"/>
                <w:color w:val="000000"/>
                <w:sz w:val="21"/>
                <w:szCs w:val="21"/>
                <w:highlight w:val="none"/>
                <w:lang w:val="en-US" w:eastAsia="zh-CN" w:bidi="ar-SA"/>
              </w:rPr>
              <w:t>认同度较高。</w:t>
            </w:r>
          </w:p>
          <w:p w14:paraId="503C1A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p>
        </w:tc>
        <w:tc>
          <w:tcPr>
            <w:tcW w:w="946" w:type="pct"/>
            <w:vAlign w:val="top"/>
          </w:tcPr>
          <w:p w14:paraId="5BAD58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r>
              <w:rPr>
                <w:rFonts w:hint="eastAsia" w:cs="黑体"/>
                <w:color w:val="000000"/>
                <w:sz w:val="21"/>
                <w:szCs w:val="21"/>
                <w:lang w:val="en-US" w:eastAsia="zh-CN"/>
              </w:rPr>
              <w:t>在教师多次引导下能够在课堂参与过程中以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，专业认同</w:t>
            </w:r>
            <w:r>
              <w:rPr>
                <w:rFonts w:hint="eastAsia" w:cs="宋体"/>
                <w:b w:val="0"/>
                <w:bCs w:val="0"/>
                <w:color w:val="000000"/>
                <w:sz w:val="21"/>
                <w:szCs w:val="21"/>
                <w:highlight w:val="none"/>
                <w:lang w:val="en-US" w:eastAsia="zh-CN" w:bidi="ar-SA"/>
              </w:rPr>
              <w:t>度一般。</w:t>
            </w:r>
          </w:p>
        </w:tc>
        <w:tc>
          <w:tcPr>
            <w:tcW w:w="926" w:type="pct"/>
            <w:vAlign w:val="top"/>
          </w:tcPr>
          <w:p w14:paraId="1A6A7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r>
              <w:rPr>
                <w:rFonts w:hint="eastAsia" w:cs="黑体"/>
                <w:color w:val="000000"/>
                <w:sz w:val="21"/>
                <w:szCs w:val="21"/>
              </w:rPr>
              <w:t>上课过程中态度不端正，听讲过程中经常会走神，做与课堂无关事宜。在课堂上不进行思考与讨论，课堂活动参与性低</w:t>
            </w:r>
            <w:r>
              <w:rPr>
                <w:rFonts w:hint="eastAsia" w:cs="黑体"/>
                <w:color w:val="000000"/>
                <w:sz w:val="21"/>
                <w:szCs w:val="21"/>
                <w:lang w:eastAsia="zh-CN"/>
              </w:rPr>
              <w:t>。</w:t>
            </w:r>
            <w:r>
              <w:rPr>
                <w:rFonts w:hint="eastAsia" w:cs="黑体"/>
                <w:color w:val="000000"/>
                <w:sz w:val="21"/>
                <w:szCs w:val="21"/>
                <w:lang w:val="en-US" w:eastAsia="zh-CN"/>
              </w:rPr>
              <w:t>在课堂参与过程中未树立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的儿童观、教育观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教师观，专业认同</w:t>
            </w:r>
            <w:r>
              <w:rPr>
                <w:rFonts w:hint="eastAsia" w:cs="宋体"/>
                <w:b w:val="0"/>
                <w:bCs w:val="0"/>
                <w:color w:val="000000"/>
                <w:sz w:val="21"/>
                <w:szCs w:val="21"/>
                <w:highlight w:val="none"/>
                <w:lang w:val="en-US" w:eastAsia="zh-CN" w:bidi="ar-SA"/>
              </w:rPr>
              <w:t>度低。</w:t>
            </w:r>
          </w:p>
        </w:tc>
      </w:tr>
    </w:tbl>
    <w:p w14:paraId="6EE2BD0A">
      <w:pPr>
        <w:pStyle w:val="16"/>
        <w:spacing w:before="326" w:beforeLines="100" w:line="360" w:lineRule="auto"/>
        <w:rPr>
          <w:rFonts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02611"/>
    <w:multiLevelType w:val="singleLevel"/>
    <w:tmpl w:val="95E02611"/>
    <w:lvl w:ilvl="0" w:tentative="0">
      <w:start w:val="1"/>
      <w:numFmt w:val="decimal"/>
      <w:lvlText w:val="%1."/>
      <w:lvlJc w:val="left"/>
      <w:pPr>
        <w:tabs>
          <w:tab w:val="left" w:pos="312"/>
        </w:tabs>
      </w:pPr>
    </w:lvl>
  </w:abstractNum>
  <w:abstractNum w:abstractNumId="1">
    <w:nsid w:val="A10ED7B5"/>
    <w:multiLevelType w:val="singleLevel"/>
    <w:tmpl w:val="A10ED7B5"/>
    <w:lvl w:ilvl="0" w:tentative="0">
      <w:start w:val="2"/>
      <w:numFmt w:val="chineseCounting"/>
      <w:suff w:val="nothing"/>
      <w:lvlText w:val="（%1）"/>
      <w:lvlJc w:val="left"/>
      <w:rPr>
        <w:rFonts w:hint="eastAsia"/>
      </w:rPr>
    </w:lvl>
  </w:abstractNum>
  <w:abstractNum w:abstractNumId="2">
    <w:nsid w:val="A90E64E4"/>
    <w:multiLevelType w:val="singleLevel"/>
    <w:tmpl w:val="A90E64E4"/>
    <w:lvl w:ilvl="0" w:tentative="0">
      <w:start w:val="1"/>
      <w:numFmt w:val="decimal"/>
      <w:lvlText w:val="%1."/>
      <w:lvlJc w:val="left"/>
      <w:pPr>
        <w:tabs>
          <w:tab w:val="left" w:pos="312"/>
        </w:tabs>
      </w:pPr>
    </w:lvl>
  </w:abstractNum>
  <w:abstractNum w:abstractNumId="3">
    <w:nsid w:val="A955F3BE"/>
    <w:multiLevelType w:val="singleLevel"/>
    <w:tmpl w:val="A955F3BE"/>
    <w:lvl w:ilvl="0" w:tentative="0">
      <w:start w:val="1"/>
      <w:numFmt w:val="decimal"/>
      <w:lvlText w:val="%1."/>
      <w:lvlJc w:val="left"/>
      <w:pPr>
        <w:tabs>
          <w:tab w:val="left" w:pos="312"/>
        </w:tabs>
      </w:pPr>
    </w:lvl>
  </w:abstractNum>
  <w:abstractNum w:abstractNumId="4">
    <w:nsid w:val="B2D5DA7B"/>
    <w:multiLevelType w:val="singleLevel"/>
    <w:tmpl w:val="B2D5DA7B"/>
    <w:lvl w:ilvl="0" w:tentative="0">
      <w:start w:val="1"/>
      <w:numFmt w:val="decimal"/>
      <w:lvlText w:val="%1."/>
      <w:lvlJc w:val="left"/>
      <w:pPr>
        <w:tabs>
          <w:tab w:val="left" w:pos="312"/>
        </w:tabs>
      </w:pPr>
    </w:lvl>
  </w:abstractNum>
  <w:abstractNum w:abstractNumId="5">
    <w:nsid w:val="B3628731"/>
    <w:multiLevelType w:val="singleLevel"/>
    <w:tmpl w:val="B3628731"/>
    <w:lvl w:ilvl="0" w:tentative="0">
      <w:start w:val="1"/>
      <w:numFmt w:val="decimal"/>
      <w:lvlText w:val="%1."/>
      <w:lvlJc w:val="left"/>
      <w:pPr>
        <w:tabs>
          <w:tab w:val="left" w:pos="312"/>
        </w:tabs>
      </w:pPr>
    </w:lvl>
  </w:abstractNum>
  <w:abstractNum w:abstractNumId="6">
    <w:nsid w:val="C0803010"/>
    <w:multiLevelType w:val="singleLevel"/>
    <w:tmpl w:val="C0803010"/>
    <w:lvl w:ilvl="0" w:tentative="0">
      <w:start w:val="1"/>
      <w:numFmt w:val="decimal"/>
      <w:lvlText w:val="%1."/>
      <w:lvlJc w:val="left"/>
      <w:pPr>
        <w:tabs>
          <w:tab w:val="left" w:pos="312"/>
        </w:tabs>
      </w:pPr>
    </w:lvl>
  </w:abstractNum>
  <w:abstractNum w:abstractNumId="7">
    <w:nsid w:val="C37378E0"/>
    <w:multiLevelType w:val="singleLevel"/>
    <w:tmpl w:val="C37378E0"/>
    <w:lvl w:ilvl="0" w:tentative="0">
      <w:start w:val="1"/>
      <w:numFmt w:val="decimal"/>
      <w:lvlText w:val="%1."/>
      <w:lvlJc w:val="left"/>
      <w:pPr>
        <w:tabs>
          <w:tab w:val="left" w:pos="312"/>
        </w:tabs>
      </w:pPr>
    </w:lvl>
  </w:abstractNum>
  <w:abstractNum w:abstractNumId="8">
    <w:nsid w:val="C7087CE2"/>
    <w:multiLevelType w:val="singleLevel"/>
    <w:tmpl w:val="C7087CE2"/>
    <w:lvl w:ilvl="0" w:tentative="0">
      <w:start w:val="1"/>
      <w:numFmt w:val="decimal"/>
      <w:lvlText w:val="%1."/>
      <w:lvlJc w:val="left"/>
      <w:pPr>
        <w:tabs>
          <w:tab w:val="left" w:pos="312"/>
        </w:tabs>
      </w:pPr>
    </w:lvl>
  </w:abstractNum>
  <w:abstractNum w:abstractNumId="9">
    <w:nsid w:val="C7C10C72"/>
    <w:multiLevelType w:val="singleLevel"/>
    <w:tmpl w:val="C7C10C72"/>
    <w:lvl w:ilvl="0" w:tentative="0">
      <w:start w:val="1"/>
      <w:numFmt w:val="decimal"/>
      <w:lvlText w:val="%1."/>
      <w:lvlJc w:val="left"/>
      <w:pPr>
        <w:tabs>
          <w:tab w:val="left" w:pos="312"/>
        </w:tabs>
      </w:pPr>
    </w:lvl>
  </w:abstractNum>
  <w:abstractNum w:abstractNumId="10">
    <w:nsid w:val="CA5DACAE"/>
    <w:multiLevelType w:val="singleLevel"/>
    <w:tmpl w:val="CA5DACAE"/>
    <w:lvl w:ilvl="0" w:tentative="0">
      <w:start w:val="1"/>
      <w:numFmt w:val="decimal"/>
      <w:lvlText w:val="%1."/>
      <w:lvlJc w:val="left"/>
      <w:pPr>
        <w:tabs>
          <w:tab w:val="left" w:pos="312"/>
        </w:tabs>
      </w:pPr>
    </w:lvl>
  </w:abstractNum>
  <w:abstractNum w:abstractNumId="11">
    <w:nsid w:val="CC067A0D"/>
    <w:multiLevelType w:val="singleLevel"/>
    <w:tmpl w:val="CC067A0D"/>
    <w:lvl w:ilvl="0" w:tentative="0">
      <w:start w:val="1"/>
      <w:numFmt w:val="decimal"/>
      <w:lvlText w:val="%1."/>
      <w:lvlJc w:val="left"/>
      <w:pPr>
        <w:tabs>
          <w:tab w:val="left" w:pos="312"/>
        </w:tabs>
      </w:pPr>
    </w:lvl>
  </w:abstractNum>
  <w:abstractNum w:abstractNumId="12">
    <w:nsid w:val="CDFD0373"/>
    <w:multiLevelType w:val="singleLevel"/>
    <w:tmpl w:val="CDFD0373"/>
    <w:lvl w:ilvl="0" w:tentative="0">
      <w:start w:val="1"/>
      <w:numFmt w:val="decimal"/>
      <w:lvlText w:val="%1."/>
      <w:lvlJc w:val="left"/>
      <w:pPr>
        <w:tabs>
          <w:tab w:val="left" w:pos="312"/>
        </w:tabs>
      </w:pPr>
    </w:lvl>
  </w:abstractNum>
  <w:abstractNum w:abstractNumId="13">
    <w:nsid w:val="CE60EB77"/>
    <w:multiLevelType w:val="singleLevel"/>
    <w:tmpl w:val="CE60EB77"/>
    <w:lvl w:ilvl="0" w:tentative="0">
      <w:start w:val="1"/>
      <w:numFmt w:val="decimal"/>
      <w:lvlText w:val="%1."/>
      <w:lvlJc w:val="left"/>
      <w:pPr>
        <w:tabs>
          <w:tab w:val="left" w:pos="312"/>
        </w:tabs>
      </w:pPr>
    </w:lvl>
  </w:abstractNum>
  <w:abstractNum w:abstractNumId="14">
    <w:nsid w:val="D1B10162"/>
    <w:multiLevelType w:val="singleLevel"/>
    <w:tmpl w:val="D1B10162"/>
    <w:lvl w:ilvl="0" w:tentative="0">
      <w:start w:val="1"/>
      <w:numFmt w:val="decimal"/>
      <w:lvlText w:val="%1."/>
      <w:lvlJc w:val="left"/>
      <w:pPr>
        <w:tabs>
          <w:tab w:val="left" w:pos="312"/>
        </w:tabs>
      </w:pPr>
    </w:lvl>
  </w:abstractNum>
  <w:abstractNum w:abstractNumId="15">
    <w:nsid w:val="DEFBD9A0"/>
    <w:multiLevelType w:val="singleLevel"/>
    <w:tmpl w:val="DEFBD9A0"/>
    <w:lvl w:ilvl="0" w:tentative="0">
      <w:start w:val="1"/>
      <w:numFmt w:val="decimal"/>
      <w:lvlText w:val="%1."/>
      <w:lvlJc w:val="left"/>
      <w:pPr>
        <w:tabs>
          <w:tab w:val="left" w:pos="312"/>
        </w:tabs>
      </w:pPr>
    </w:lvl>
  </w:abstractNum>
  <w:abstractNum w:abstractNumId="16">
    <w:nsid w:val="EB1AE4CA"/>
    <w:multiLevelType w:val="singleLevel"/>
    <w:tmpl w:val="EB1AE4CA"/>
    <w:lvl w:ilvl="0" w:tentative="0">
      <w:start w:val="1"/>
      <w:numFmt w:val="decimal"/>
      <w:lvlText w:val="%1."/>
      <w:lvlJc w:val="left"/>
      <w:pPr>
        <w:tabs>
          <w:tab w:val="left" w:pos="312"/>
        </w:tabs>
      </w:pPr>
    </w:lvl>
  </w:abstractNum>
  <w:abstractNum w:abstractNumId="17">
    <w:nsid w:val="FC87A262"/>
    <w:multiLevelType w:val="singleLevel"/>
    <w:tmpl w:val="FC87A262"/>
    <w:lvl w:ilvl="0" w:tentative="0">
      <w:start w:val="1"/>
      <w:numFmt w:val="decimal"/>
      <w:lvlText w:val="%1."/>
      <w:lvlJc w:val="left"/>
      <w:pPr>
        <w:tabs>
          <w:tab w:val="left" w:pos="312"/>
        </w:tabs>
      </w:pPr>
    </w:lvl>
  </w:abstractNum>
  <w:abstractNum w:abstractNumId="18">
    <w:nsid w:val="FF2894ED"/>
    <w:multiLevelType w:val="singleLevel"/>
    <w:tmpl w:val="FF2894ED"/>
    <w:lvl w:ilvl="0" w:tentative="0">
      <w:start w:val="1"/>
      <w:numFmt w:val="decimal"/>
      <w:lvlText w:val="%1."/>
      <w:lvlJc w:val="left"/>
      <w:pPr>
        <w:tabs>
          <w:tab w:val="left" w:pos="312"/>
        </w:tabs>
      </w:pPr>
    </w:lvl>
  </w:abstractNum>
  <w:abstractNum w:abstractNumId="19">
    <w:nsid w:val="039B7231"/>
    <w:multiLevelType w:val="singleLevel"/>
    <w:tmpl w:val="039B7231"/>
    <w:lvl w:ilvl="0" w:tentative="0">
      <w:start w:val="1"/>
      <w:numFmt w:val="decimal"/>
      <w:lvlText w:val="%1."/>
      <w:lvlJc w:val="left"/>
      <w:pPr>
        <w:tabs>
          <w:tab w:val="left" w:pos="312"/>
        </w:tabs>
      </w:pPr>
    </w:lvl>
  </w:abstractNum>
  <w:abstractNum w:abstractNumId="20">
    <w:nsid w:val="20450650"/>
    <w:multiLevelType w:val="singleLevel"/>
    <w:tmpl w:val="20450650"/>
    <w:lvl w:ilvl="0" w:tentative="0">
      <w:start w:val="1"/>
      <w:numFmt w:val="decimal"/>
      <w:lvlText w:val="%1."/>
      <w:lvlJc w:val="left"/>
      <w:pPr>
        <w:tabs>
          <w:tab w:val="left" w:pos="312"/>
        </w:tabs>
      </w:pPr>
    </w:lvl>
  </w:abstractNum>
  <w:abstractNum w:abstractNumId="21">
    <w:nsid w:val="2A41A357"/>
    <w:multiLevelType w:val="singleLevel"/>
    <w:tmpl w:val="2A41A357"/>
    <w:lvl w:ilvl="0" w:tentative="0">
      <w:start w:val="1"/>
      <w:numFmt w:val="decimal"/>
      <w:lvlText w:val="%1."/>
      <w:lvlJc w:val="left"/>
      <w:pPr>
        <w:tabs>
          <w:tab w:val="left" w:pos="312"/>
        </w:tabs>
      </w:pPr>
    </w:lvl>
  </w:abstractNum>
  <w:abstractNum w:abstractNumId="22">
    <w:nsid w:val="3F0EDA5E"/>
    <w:multiLevelType w:val="singleLevel"/>
    <w:tmpl w:val="3F0EDA5E"/>
    <w:lvl w:ilvl="0" w:tentative="0">
      <w:start w:val="1"/>
      <w:numFmt w:val="decimal"/>
      <w:lvlText w:val="%1."/>
      <w:lvlJc w:val="left"/>
      <w:pPr>
        <w:tabs>
          <w:tab w:val="left" w:pos="312"/>
        </w:tabs>
      </w:pPr>
    </w:lvl>
  </w:abstractNum>
  <w:abstractNum w:abstractNumId="23">
    <w:nsid w:val="47D5D0BD"/>
    <w:multiLevelType w:val="singleLevel"/>
    <w:tmpl w:val="47D5D0BD"/>
    <w:lvl w:ilvl="0" w:tentative="0">
      <w:start w:val="1"/>
      <w:numFmt w:val="decimal"/>
      <w:lvlText w:val="%1."/>
      <w:lvlJc w:val="left"/>
      <w:pPr>
        <w:tabs>
          <w:tab w:val="left" w:pos="312"/>
        </w:tabs>
      </w:pPr>
    </w:lvl>
  </w:abstractNum>
  <w:abstractNum w:abstractNumId="24">
    <w:nsid w:val="4B9DAC78"/>
    <w:multiLevelType w:val="singleLevel"/>
    <w:tmpl w:val="4B9DAC78"/>
    <w:lvl w:ilvl="0" w:tentative="0">
      <w:start w:val="1"/>
      <w:numFmt w:val="decimal"/>
      <w:lvlText w:val="%1."/>
      <w:lvlJc w:val="left"/>
      <w:pPr>
        <w:tabs>
          <w:tab w:val="left" w:pos="312"/>
        </w:tabs>
      </w:pPr>
    </w:lvl>
  </w:abstractNum>
  <w:abstractNum w:abstractNumId="25">
    <w:nsid w:val="53727B6B"/>
    <w:multiLevelType w:val="singleLevel"/>
    <w:tmpl w:val="53727B6B"/>
    <w:lvl w:ilvl="0" w:tentative="0">
      <w:start w:val="1"/>
      <w:numFmt w:val="decimal"/>
      <w:lvlText w:val="%1."/>
      <w:lvlJc w:val="left"/>
      <w:pPr>
        <w:tabs>
          <w:tab w:val="left" w:pos="312"/>
        </w:tabs>
      </w:pPr>
    </w:lvl>
  </w:abstractNum>
  <w:abstractNum w:abstractNumId="26">
    <w:nsid w:val="55990F42"/>
    <w:multiLevelType w:val="singleLevel"/>
    <w:tmpl w:val="55990F42"/>
    <w:lvl w:ilvl="0" w:tentative="0">
      <w:start w:val="1"/>
      <w:numFmt w:val="decimal"/>
      <w:lvlText w:val="%1."/>
      <w:lvlJc w:val="left"/>
      <w:pPr>
        <w:tabs>
          <w:tab w:val="left" w:pos="312"/>
        </w:tabs>
      </w:pPr>
    </w:lvl>
  </w:abstractNum>
  <w:abstractNum w:abstractNumId="27">
    <w:nsid w:val="62649742"/>
    <w:multiLevelType w:val="singleLevel"/>
    <w:tmpl w:val="62649742"/>
    <w:lvl w:ilvl="0" w:tentative="0">
      <w:start w:val="1"/>
      <w:numFmt w:val="decimal"/>
      <w:lvlText w:val="%1."/>
      <w:lvlJc w:val="left"/>
      <w:pPr>
        <w:tabs>
          <w:tab w:val="left" w:pos="312"/>
        </w:tabs>
      </w:pPr>
    </w:lvl>
  </w:abstractNum>
  <w:abstractNum w:abstractNumId="28">
    <w:nsid w:val="64A83DBB"/>
    <w:multiLevelType w:val="singleLevel"/>
    <w:tmpl w:val="64A83DBB"/>
    <w:lvl w:ilvl="0" w:tentative="0">
      <w:start w:val="1"/>
      <w:numFmt w:val="decimal"/>
      <w:lvlText w:val="%1."/>
      <w:lvlJc w:val="left"/>
      <w:pPr>
        <w:tabs>
          <w:tab w:val="left" w:pos="312"/>
        </w:tabs>
      </w:pPr>
    </w:lvl>
  </w:abstractNum>
  <w:abstractNum w:abstractNumId="29">
    <w:nsid w:val="6FAA299B"/>
    <w:multiLevelType w:val="singleLevel"/>
    <w:tmpl w:val="6FAA299B"/>
    <w:lvl w:ilvl="0" w:tentative="0">
      <w:start w:val="1"/>
      <w:numFmt w:val="decimal"/>
      <w:lvlText w:val="%1."/>
      <w:lvlJc w:val="left"/>
      <w:pPr>
        <w:tabs>
          <w:tab w:val="left" w:pos="312"/>
        </w:tabs>
      </w:pPr>
    </w:lvl>
  </w:abstractNum>
  <w:abstractNum w:abstractNumId="30">
    <w:nsid w:val="7856E279"/>
    <w:multiLevelType w:val="singleLevel"/>
    <w:tmpl w:val="7856E279"/>
    <w:lvl w:ilvl="0" w:tentative="0">
      <w:start w:val="1"/>
      <w:numFmt w:val="decimal"/>
      <w:lvlText w:val="%1."/>
      <w:lvlJc w:val="left"/>
      <w:pPr>
        <w:tabs>
          <w:tab w:val="left" w:pos="312"/>
        </w:tabs>
      </w:pPr>
    </w:lvl>
  </w:abstractNum>
  <w:num w:numId="1">
    <w:abstractNumId w:val="1"/>
  </w:num>
  <w:num w:numId="2">
    <w:abstractNumId w:val="26"/>
  </w:num>
  <w:num w:numId="3">
    <w:abstractNumId w:val="16"/>
  </w:num>
  <w:num w:numId="4">
    <w:abstractNumId w:val="19"/>
  </w:num>
  <w:num w:numId="5">
    <w:abstractNumId w:val="22"/>
  </w:num>
  <w:num w:numId="6">
    <w:abstractNumId w:val="21"/>
  </w:num>
  <w:num w:numId="7">
    <w:abstractNumId w:val="5"/>
  </w:num>
  <w:num w:numId="8">
    <w:abstractNumId w:val="12"/>
  </w:num>
  <w:num w:numId="9">
    <w:abstractNumId w:val="30"/>
  </w:num>
  <w:num w:numId="10">
    <w:abstractNumId w:val="3"/>
  </w:num>
  <w:num w:numId="11">
    <w:abstractNumId w:val="29"/>
  </w:num>
  <w:num w:numId="12">
    <w:abstractNumId w:val="15"/>
  </w:num>
  <w:num w:numId="13">
    <w:abstractNumId w:val="6"/>
  </w:num>
  <w:num w:numId="14">
    <w:abstractNumId w:val="4"/>
  </w:num>
  <w:num w:numId="15">
    <w:abstractNumId w:val="7"/>
  </w:num>
  <w:num w:numId="16">
    <w:abstractNumId w:val="9"/>
  </w:num>
  <w:num w:numId="17">
    <w:abstractNumId w:val="2"/>
  </w:num>
  <w:num w:numId="18">
    <w:abstractNumId w:val="25"/>
  </w:num>
  <w:num w:numId="19">
    <w:abstractNumId w:val="8"/>
  </w:num>
  <w:num w:numId="20">
    <w:abstractNumId w:val="13"/>
  </w:num>
  <w:num w:numId="21">
    <w:abstractNumId w:val="14"/>
  </w:num>
  <w:num w:numId="22">
    <w:abstractNumId w:val="20"/>
  </w:num>
  <w:num w:numId="23">
    <w:abstractNumId w:val="24"/>
  </w:num>
  <w:num w:numId="24">
    <w:abstractNumId w:val="28"/>
  </w:num>
  <w:num w:numId="25">
    <w:abstractNumId w:val="23"/>
  </w:num>
  <w:num w:numId="26">
    <w:abstractNumId w:val="17"/>
  </w:num>
  <w:num w:numId="27">
    <w:abstractNumId w:val="27"/>
  </w:num>
  <w:num w:numId="28">
    <w:abstractNumId w:val="10"/>
  </w:num>
  <w:num w:numId="29">
    <w:abstractNumId w:val="0"/>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5657"/>
    <w:rsid w:val="000203E0"/>
    <w:rsid w:val="000210E0"/>
    <w:rsid w:val="00021EF5"/>
    <w:rsid w:val="00032261"/>
    <w:rsid w:val="00033082"/>
    <w:rsid w:val="000408C9"/>
    <w:rsid w:val="00044088"/>
    <w:rsid w:val="00053590"/>
    <w:rsid w:val="0006001D"/>
    <w:rsid w:val="000654F6"/>
    <w:rsid w:val="00066041"/>
    <w:rsid w:val="00076794"/>
    <w:rsid w:val="0008122A"/>
    <w:rsid w:val="00087488"/>
    <w:rsid w:val="0009050A"/>
    <w:rsid w:val="00091C71"/>
    <w:rsid w:val="00095B72"/>
    <w:rsid w:val="0009721F"/>
    <w:rsid w:val="000A4E73"/>
    <w:rsid w:val="000B1BD2"/>
    <w:rsid w:val="000B2426"/>
    <w:rsid w:val="000B2C42"/>
    <w:rsid w:val="000C0F0D"/>
    <w:rsid w:val="000C13BC"/>
    <w:rsid w:val="000D28E5"/>
    <w:rsid w:val="000D34D7"/>
    <w:rsid w:val="00100633"/>
    <w:rsid w:val="001072BC"/>
    <w:rsid w:val="00107BB8"/>
    <w:rsid w:val="00114BD6"/>
    <w:rsid w:val="00117C4A"/>
    <w:rsid w:val="0012305A"/>
    <w:rsid w:val="001255C9"/>
    <w:rsid w:val="00125C4D"/>
    <w:rsid w:val="00130F6D"/>
    <w:rsid w:val="00133554"/>
    <w:rsid w:val="00144082"/>
    <w:rsid w:val="001443E5"/>
    <w:rsid w:val="00160509"/>
    <w:rsid w:val="0016381F"/>
    <w:rsid w:val="00163A48"/>
    <w:rsid w:val="00164E36"/>
    <w:rsid w:val="001678A2"/>
    <w:rsid w:val="00183AA1"/>
    <w:rsid w:val="0018767C"/>
    <w:rsid w:val="001A135C"/>
    <w:rsid w:val="001B0D49"/>
    <w:rsid w:val="001B546F"/>
    <w:rsid w:val="001C106B"/>
    <w:rsid w:val="001C16FC"/>
    <w:rsid w:val="001C2E3E"/>
    <w:rsid w:val="001C388D"/>
    <w:rsid w:val="001D61C6"/>
    <w:rsid w:val="001E0494"/>
    <w:rsid w:val="001E1D2D"/>
    <w:rsid w:val="001E5A17"/>
    <w:rsid w:val="001F07DD"/>
    <w:rsid w:val="001F08EE"/>
    <w:rsid w:val="001F284E"/>
    <w:rsid w:val="001F332E"/>
    <w:rsid w:val="00204EBE"/>
    <w:rsid w:val="00217861"/>
    <w:rsid w:val="002204E4"/>
    <w:rsid w:val="002211BF"/>
    <w:rsid w:val="00232122"/>
    <w:rsid w:val="00233F15"/>
    <w:rsid w:val="002420F1"/>
    <w:rsid w:val="00251B2F"/>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7A0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169"/>
    <w:rsid w:val="00340439"/>
    <w:rsid w:val="00344EF2"/>
    <w:rsid w:val="00347EB8"/>
    <w:rsid w:val="00347F80"/>
    <w:rsid w:val="0035392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5874"/>
    <w:rsid w:val="003B0717"/>
    <w:rsid w:val="003B1258"/>
    <w:rsid w:val="003B4A81"/>
    <w:rsid w:val="003C1F8D"/>
    <w:rsid w:val="003C5409"/>
    <w:rsid w:val="003C61A5"/>
    <w:rsid w:val="003D1968"/>
    <w:rsid w:val="003D4994"/>
    <w:rsid w:val="003E10A5"/>
    <w:rsid w:val="003E7D72"/>
    <w:rsid w:val="003F10D5"/>
    <w:rsid w:val="003F3923"/>
    <w:rsid w:val="003F43F6"/>
    <w:rsid w:val="003F49A0"/>
    <w:rsid w:val="004019DB"/>
    <w:rsid w:val="00402B67"/>
    <w:rsid w:val="00403C91"/>
    <w:rsid w:val="0040433E"/>
    <w:rsid w:val="00404974"/>
    <w:rsid w:val="0040726A"/>
    <w:rsid w:val="004100B0"/>
    <w:rsid w:val="0041267F"/>
    <w:rsid w:val="004155E3"/>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F98"/>
    <w:rsid w:val="004852BF"/>
    <w:rsid w:val="00487A46"/>
    <w:rsid w:val="00493504"/>
    <w:rsid w:val="00494579"/>
    <w:rsid w:val="00497334"/>
    <w:rsid w:val="004A4645"/>
    <w:rsid w:val="004A6F3A"/>
    <w:rsid w:val="004B408D"/>
    <w:rsid w:val="004B6F68"/>
    <w:rsid w:val="004B73F7"/>
    <w:rsid w:val="004D4FB3"/>
    <w:rsid w:val="004D51ED"/>
    <w:rsid w:val="004D75A6"/>
    <w:rsid w:val="004E3456"/>
    <w:rsid w:val="004E711A"/>
    <w:rsid w:val="004F3DF0"/>
    <w:rsid w:val="004F6218"/>
    <w:rsid w:val="005074E1"/>
    <w:rsid w:val="005126F1"/>
    <w:rsid w:val="00513F2F"/>
    <w:rsid w:val="00515234"/>
    <w:rsid w:val="0051612A"/>
    <w:rsid w:val="00517176"/>
    <w:rsid w:val="0052192E"/>
    <w:rsid w:val="00524300"/>
    <w:rsid w:val="0054059C"/>
    <w:rsid w:val="00541F72"/>
    <w:rsid w:val="00542388"/>
    <w:rsid w:val="00544523"/>
    <w:rsid w:val="005467DC"/>
    <w:rsid w:val="00546A82"/>
    <w:rsid w:val="00547C51"/>
    <w:rsid w:val="00551335"/>
    <w:rsid w:val="005519BB"/>
    <w:rsid w:val="005523FD"/>
    <w:rsid w:val="00553D03"/>
    <w:rsid w:val="00555BA0"/>
    <w:rsid w:val="00556E41"/>
    <w:rsid w:val="0057496F"/>
    <w:rsid w:val="00574FCB"/>
    <w:rsid w:val="005770A6"/>
    <w:rsid w:val="0059045B"/>
    <w:rsid w:val="00597EC2"/>
    <w:rsid w:val="005A13AB"/>
    <w:rsid w:val="005A36AE"/>
    <w:rsid w:val="005B1150"/>
    <w:rsid w:val="005B1FFC"/>
    <w:rsid w:val="005B2B6D"/>
    <w:rsid w:val="005B4B4E"/>
    <w:rsid w:val="005C3A76"/>
    <w:rsid w:val="005C5BE9"/>
    <w:rsid w:val="005C7D8D"/>
    <w:rsid w:val="005D138C"/>
    <w:rsid w:val="005D2AA8"/>
    <w:rsid w:val="005D5B6F"/>
    <w:rsid w:val="005D5E88"/>
    <w:rsid w:val="005E38A5"/>
    <w:rsid w:val="005E3E68"/>
    <w:rsid w:val="005F5185"/>
    <w:rsid w:val="00620DC3"/>
    <w:rsid w:val="0062115C"/>
    <w:rsid w:val="0062265B"/>
    <w:rsid w:val="00624B5C"/>
    <w:rsid w:val="00624FE1"/>
    <w:rsid w:val="0062577D"/>
    <w:rsid w:val="0063249D"/>
    <w:rsid w:val="006331EE"/>
    <w:rsid w:val="006355E6"/>
    <w:rsid w:val="00637E00"/>
    <w:rsid w:val="0064038A"/>
    <w:rsid w:val="0065167D"/>
    <w:rsid w:val="00652D13"/>
    <w:rsid w:val="0066595A"/>
    <w:rsid w:val="00665F2D"/>
    <w:rsid w:val="00666206"/>
    <w:rsid w:val="00672788"/>
    <w:rsid w:val="00673787"/>
    <w:rsid w:val="00676183"/>
    <w:rsid w:val="00680DA3"/>
    <w:rsid w:val="0068377F"/>
    <w:rsid w:val="00683B6A"/>
    <w:rsid w:val="00691B24"/>
    <w:rsid w:val="00695B93"/>
    <w:rsid w:val="00697C16"/>
    <w:rsid w:val="006A25E5"/>
    <w:rsid w:val="006A5A89"/>
    <w:rsid w:val="006B3BB9"/>
    <w:rsid w:val="006B48AC"/>
    <w:rsid w:val="006B5977"/>
    <w:rsid w:val="006B65B0"/>
    <w:rsid w:val="006B794D"/>
    <w:rsid w:val="006C3948"/>
    <w:rsid w:val="006D1B59"/>
    <w:rsid w:val="006D2F9C"/>
    <w:rsid w:val="006D4351"/>
    <w:rsid w:val="006D5424"/>
    <w:rsid w:val="006E5CA9"/>
    <w:rsid w:val="006E5E98"/>
    <w:rsid w:val="006E7A37"/>
    <w:rsid w:val="006F3151"/>
    <w:rsid w:val="00701032"/>
    <w:rsid w:val="007011CA"/>
    <w:rsid w:val="00703EBE"/>
    <w:rsid w:val="007056DE"/>
    <w:rsid w:val="00706121"/>
    <w:rsid w:val="00710B6B"/>
    <w:rsid w:val="00712A2C"/>
    <w:rsid w:val="00712E84"/>
    <w:rsid w:val="00714914"/>
    <w:rsid w:val="007208D6"/>
    <w:rsid w:val="00726786"/>
    <w:rsid w:val="00731780"/>
    <w:rsid w:val="00732152"/>
    <w:rsid w:val="007428DF"/>
    <w:rsid w:val="00742BD1"/>
    <w:rsid w:val="00742E7A"/>
    <w:rsid w:val="0074424F"/>
    <w:rsid w:val="00761F3F"/>
    <w:rsid w:val="00764FD9"/>
    <w:rsid w:val="007740B2"/>
    <w:rsid w:val="00774C1F"/>
    <w:rsid w:val="007765B7"/>
    <w:rsid w:val="0078194F"/>
    <w:rsid w:val="00792B15"/>
    <w:rsid w:val="007934A4"/>
    <w:rsid w:val="007A0AC9"/>
    <w:rsid w:val="007A1B70"/>
    <w:rsid w:val="007A57F6"/>
    <w:rsid w:val="007B4FFB"/>
    <w:rsid w:val="007C0BCE"/>
    <w:rsid w:val="007C1D1B"/>
    <w:rsid w:val="007C3566"/>
    <w:rsid w:val="007C409A"/>
    <w:rsid w:val="007C794A"/>
    <w:rsid w:val="007D5326"/>
    <w:rsid w:val="007D5A33"/>
    <w:rsid w:val="007E4F3A"/>
    <w:rsid w:val="007E620F"/>
    <w:rsid w:val="007E663C"/>
    <w:rsid w:val="007E7795"/>
    <w:rsid w:val="0080066B"/>
    <w:rsid w:val="00803578"/>
    <w:rsid w:val="008064DE"/>
    <w:rsid w:val="00815B8D"/>
    <w:rsid w:val="00815B8E"/>
    <w:rsid w:val="00816982"/>
    <w:rsid w:val="00816D99"/>
    <w:rsid w:val="0082324C"/>
    <w:rsid w:val="00823D71"/>
    <w:rsid w:val="008245AF"/>
    <w:rsid w:val="008256B9"/>
    <w:rsid w:val="0083705D"/>
    <w:rsid w:val="0084242F"/>
    <w:rsid w:val="00845795"/>
    <w:rsid w:val="00847437"/>
    <w:rsid w:val="00847644"/>
    <w:rsid w:val="00864C58"/>
    <w:rsid w:val="00873C49"/>
    <w:rsid w:val="00882E15"/>
    <w:rsid w:val="00883C73"/>
    <w:rsid w:val="0088558D"/>
    <w:rsid w:val="008901A2"/>
    <w:rsid w:val="00891E3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653D"/>
    <w:rsid w:val="008E0F55"/>
    <w:rsid w:val="008E28E4"/>
    <w:rsid w:val="008F253F"/>
    <w:rsid w:val="008F7F31"/>
    <w:rsid w:val="00900019"/>
    <w:rsid w:val="009023B1"/>
    <w:rsid w:val="009147D6"/>
    <w:rsid w:val="00914D98"/>
    <w:rsid w:val="00925F8C"/>
    <w:rsid w:val="00927324"/>
    <w:rsid w:val="00932ED7"/>
    <w:rsid w:val="00933990"/>
    <w:rsid w:val="00940B38"/>
    <w:rsid w:val="00941B89"/>
    <w:rsid w:val="00941DEA"/>
    <w:rsid w:val="009450FA"/>
    <w:rsid w:val="009643C5"/>
    <w:rsid w:val="009656CC"/>
    <w:rsid w:val="00970E8C"/>
    <w:rsid w:val="00971671"/>
    <w:rsid w:val="00981A37"/>
    <w:rsid w:val="009830B2"/>
    <w:rsid w:val="00984AD8"/>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D9B"/>
    <w:rsid w:val="00A04523"/>
    <w:rsid w:val="00A16159"/>
    <w:rsid w:val="00A161E6"/>
    <w:rsid w:val="00A169F8"/>
    <w:rsid w:val="00A17885"/>
    <w:rsid w:val="00A2337D"/>
    <w:rsid w:val="00A25A31"/>
    <w:rsid w:val="00A31BBE"/>
    <w:rsid w:val="00A31D34"/>
    <w:rsid w:val="00A333EF"/>
    <w:rsid w:val="00A33F85"/>
    <w:rsid w:val="00A40645"/>
    <w:rsid w:val="00A51F53"/>
    <w:rsid w:val="00A6016C"/>
    <w:rsid w:val="00A63621"/>
    <w:rsid w:val="00A769B1"/>
    <w:rsid w:val="00A77DA3"/>
    <w:rsid w:val="00A8365B"/>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51AF"/>
    <w:rsid w:val="00AD1085"/>
    <w:rsid w:val="00AD5B40"/>
    <w:rsid w:val="00AE498E"/>
    <w:rsid w:val="00AE7E58"/>
    <w:rsid w:val="00AF289F"/>
    <w:rsid w:val="00AF30B9"/>
    <w:rsid w:val="00AF43DF"/>
    <w:rsid w:val="00AF5755"/>
    <w:rsid w:val="00AF67A4"/>
    <w:rsid w:val="00AF7510"/>
    <w:rsid w:val="00B12D31"/>
    <w:rsid w:val="00B15F6E"/>
    <w:rsid w:val="00B17341"/>
    <w:rsid w:val="00B21BEE"/>
    <w:rsid w:val="00B23284"/>
    <w:rsid w:val="00B37D43"/>
    <w:rsid w:val="00B46F21"/>
    <w:rsid w:val="00B511A5"/>
    <w:rsid w:val="00B51CDE"/>
    <w:rsid w:val="00B56541"/>
    <w:rsid w:val="00B605ED"/>
    <w:rsid w:val="00B71F97"/>
    <w:rsid w:val="00B72538"/>
    <w:rsid w:val="00B736A7"/>
    <w:rsid w:val="00B7651F"/>
    <w:rsid w:val="00B837B1"/>
    <w:rsid w:val="00B919FA"/>
    <w:rsid w:val="00B93186"/>
    <w:rsid w:val="00B94A16"/>
    <w:rsid w:val="00BA6044"/>
    <w:rsid w:val="00BB1A93"/>
    <w:rsid w:val="00BC14BF"/>
    <w:rsid w:val="00BC2625"/>
    <w:rsid w:val="00BC301F"/>
    <w:rsid w:val="00BC3200"/>
    <w:rsid w:val="00BC338A"/>
    <w:rsid w:val="00BC7291"/>
    <w:rsid w:val="00BD7AB0"/>
    <w:rsid w:val="00BE2879"/>
    <w:rsid w:val="00BF3C20"/>
    <w:rsid w:val="00C011BC"/>
    <w:rsid w:val="00C03DBA"/>
    <w:rsid w:val="00C07997"/>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23E5"/>
    <w:rsid w:val="00C5350C"/>
    <w:rsid w:val="00C56E09"/>
    <w:rsid w:val="00C61B1B"/>
    <w:rsid w:val="00C66AB7"/>
    <w:rsid w:val="00C673D1"/>
    <w:rsid w:val="00C746CB"/>
    <w:rsid w:val="00C75F6C"/>
    <w:rsid w:val="00C77AAE"/>
    <w:rsid w:val="00C77BBF"/>
    <w:rsid w:val="00C77D64"/>
    <w:rsid w:val="00C81564"/>
    <w:rsid w:val="00C8773F"/>
    <w:rsid w:val="00C9080C"/>
    <w:rsid w:val="00C93B56"/>
    <w:rsid w:val="00C94429"/>
    <w:rsid w:val="00CA18FD"/>
    <w:rsid w:val="00CA27E5"/>
    <w:rsid w:val="00CA4897"/>
    <w:rsid w:val="00CA6928"/>
    <w:rsid w:val="00CB1C4F"/>
    <w:rsid w:val="00CB3D3F"/>
    <w:rsid w:val="00CB5A1A"/>
    <w:rsid w:val="00CC2E0F"/>
    <w:rsid w:val="00CC59E6"/>
    <w:rsid w:val="00CD5BDD"/>
    <w:rsid w:val="00CF096B"/>
    <w:rsid w:val="00CF10F7"/>
    <w:rsid w:val="00CF5EE3"/>
    <w:rsid w:val="00CF691F"/>
    <w:rsid w:val="00D00D99"/>
    <w:rsid w:val="00D013A4"/>
    <w:rsid w:val="00D026DC"/>
    <w:rsid w:val="00D1075A"/>
    <w:rsid w:val="00D15595"/>
    <w:rsid w:val="00D343A8"/>
    <w:rsid w:val="00D37832"/>
    <w:rsid w:val="00D44860"/>
    <w:rsid w:val="00D47689"/>
    <w:rsid w:val="00D50C42"/>
    <w:rsid w:val="00D57CF5"/>
    <w:rsid w:val="00D60ED8"/>
    <w:rsid w:val="00D612BC"/>
    <w:rsid w:val="00D62F98"/>
    <w:rsid w:val="00D66FD6"/>
    <w:rsid w:val="00D716F1"/>
    <w:rsid w:val="00D8285B"/>
    <w:rsid w:val="00D83187"/>
    <w:rsid w:val="00D862EB"/>
    <w:rsid w:val="00D86619"/>
    <w:rsid w:val="00D93E7C"/>
    <w:rsid w:val="00DB2BE6"/>
    <w:rsid w:val="00DB751A"/>
    <w:rsid w:val="00DB76B3"/>
    <w:rsid w:val="00DC3073"/>
    <w:rsid w:val="00DC4C4E"/>
    <w:rsid w:val="00DD1052"/>
    <w:rsid w:val="00DD3C7B"/>
    <w:rsid w:val="00DE2B21"/>
    <w:rsid w:val="00DE48DE"/>
    <w:rsid w:val="00DF0836"/>
    <w:rsid w:val="00DF25F2"/>
    <w:rsid w:val="00DF4166"/>
    <w:rsid w:val="00E000F4"/>
    <w:rsid w:val="00E01231"/>
    <w:rsid w:val="00E04279"/>
    <w:rsid w:val="00E11393"/>
    <w:rsid w:val="00E125D9"/>
    <w:rsid w:val="00E13435"/>
    <w:rsid w:val="00E16D30"/>
    <w:rsid w:val="00E31E69"/>
    <w:rsid w:val="00E32489"/>
    <w:rsid w:val="00E33169"/>
    <w:rsid w:val="00E34A7B"/>
    <w:rsid w:val="00E40973"/>
    <w:rsid w:val="00E5179F"/>
    <w:rsid w:val="00E545FF"/>
    <w:rsid w:val="00E55069"/>
    <w:rsid w:val="00E57799"/>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1C85"/>
    <w:rsid w:val="00EF21D9"/>
    <w:rsid w:val="00EF2A94"/>
    <w:rsid w:val="00EF32FB"/>
    <w:rsid w:val="00EF44B1"/>
    <w:rsid w:val="00EF45A4"/>
    <w:rsid w:val="00EF4865"/>
    <w:rsid w:val="00EF5954"/>
    <w:rsid w:val="00F100D2"/>
    <w:rsid w:val="00F12942"/>
    <w:rsid w:val="00F13C41"/>
    <w:rsid w:val="00F14886"/>
    <w:rsid w:val="00F16421"/>
    <w:rsid w:val="00F201EE"/>
    <w:rsid w:val="00F35AA0"/>
    <w:rsid w:val="00F415D3"/>
    <w:rsid w:val="00F43540"/>
    <w:rsid w:val="00F43C49"/>
    <w:rsid w:val="00F45C12"/>
    <w:rsid w:val="00F544A2"/>
    <w:rsid w:val="00F73D03"/>
    <w:rsid w:val="00F76CB9"/>
    <w:rsid w:val="00F77A73"/>
    <w:rsid w:val="00F80E46"/>
    <w:rsid w:val="00F96236"/>
    <w:rsid w:val="00FA10CE"/>
    <w:rsid w:val="00FA222F"/>
    <w:rsid w:val="00FA2891"/>
    <w:rsid w:val="00FB693D"/>
    <w:rsid w:val="00FB7768"/>
    <w:rsid w:val="00FC490C"/>
    <w:rsid w:val="00FC7489"/>
    <w:rsid w:val="00FD1BA8"/>
    <w:rsid w:val="00FD218F"/>
    <w:rsid w:val="00FD5663"/>
    <w:rsid w:val="00FD56C6"/>
    <w:rsid w:val="00FD5B6D"/>
    <w:rsid w:val="00FE2F61"/>
    <w:rsid w:val="00FE3221"/>
    <w:rsid w:val="00FE48EA"/>
    <w:rsid w:val="00FE571F"/>
    <w:rsid w:val="00FF47F6"/>
    <w:rsid w:val="016E63C2"/>
    <w:rsid w:val="024B0C39"/>
    <w:rsid w:val="028D337C"/>
    <w:rsid w:val="06E31078"/>
    <w:rsid w:val="076F56EF"/>
    <w:rsid w:val="0A8128A6"/>
    <w:rsid w:val="0ABA1F25"/>
    <w:rsid w:val="0BD442E2"/>
    <w:rsid w:val="0BF32A1B"/>
    <w:rsid w:val="0C6C54C5"/>
    <w:rsid w:val="0E146EC2"/>
    <w:rsid w:val="0E5A7ABE"/>
    <w:rsid w:val="0F5337A0"/>
    <w:rsid w:val="10164F02"/>
    <w:rsid w:val="1081433D"/>
    <w:rsid w:val="10BD2C22"/>
    <w:rsid w:val="14551D69"/>
    <w:rsid w:val="14E959CF"/>
    <w:rsid w:val="15670DD1"/>
    <w:rsid w:val="1EDB265E"/>
    <w:rsid w:val="20142AD8"/>
    <w:rsid w:val="218151E6"/>
    <w:rsid w:val="22987C80"/>
    <w:rsid w:val="22B569E9"/>
    <w:rsid w:val="24192CCC"/>
    <w:rsid w:val="29D032EE"/>
    <w:rsid w:val="29D30A87"/>
    <w:rsid w:val="2BDB6BA0"/>
    <w:rsid w:val="2FE42F5F"/>
    <w:rsid w:val="30366C63"/>
    <w:rsid w:val="345D4361"/>
    <w:rsid w:val="34D52295"/>
    <w:rsid w:val="36545584"/>
    <w:rsid w:val="39A66CD4"/>
    <w:rsid w:val="39DA1C75"/>
    <w:rsid w:val="3CD52CE1"/>
    <w:rsid w:val="3D956BAE"/>
    <w:rsid w:val="3F9816F2"/>
    <w:rsid w:val="40D30399"/>
    <w:rsid w:val="410F2E6A"/>
    <w:rsid w:val="42A13D8F"/>
    <w:rsid w:val="442C3A4A"/>
    <w:rsid w:val="4430136C"/>
    <w:rsid w:val="45F67C81"/>
    <w:rsid w:val="4A857FAB"/>
    <w:rsid w:val="4AB0382B"/>
    <w:rsid w:val="4E130ED5"/>
    <w:rsid w:val="4F512925"/>
    <w:rsid w:val="509176A9"/>
    <w:rsid w:val="534E35CA"/>
    <w:rsid w:val="55524F2D"/>
    <w:rsid w:val="569868B5"/>
    <w:rsid w:val="569C705E"/>
    <w:rsid w:val="57757D1E"/>
    <w:rsid w:val="58B06DF1"/>
    <w:rsid w:val="58C83E84"/>
    <w:rsid w:val="59A10231"/>
    <w:rsid w:val="5E5800E4"/>
    <w:rsid w:val="5F2675F2"/>
    <w:rsid w:val="5FF11F00"/>
    <w:rsid w:val="60820DBC"/>
    <w:rsid w:val="611F6817"/>
    <w:rsid w:val="617D47A2"/>
    <w:rsid w:val="61C244C7"/>
    <w:rsid w:val="65206DF6"/>
    <w:rsid w:val="66CA1754"/>
    <w:rsid w:val="6A582B8E"/>
    <w:rsid w:val="6CD80668"/>
    <w:rsid w:val="6D5E28BE"/>
    <w:rsid w:val="6F121F83"/>
    <w:rsid w:val="6F1E65D4"/>
    <w:rsid w:val="6F266C86"/>
    <w:rsid w:val="6F5042C2"/>
    <w:rsid w:val="74316312"/>
    <w:rsid w:val="749B1FF5"/>
    <w:rsid w:val="780F13C8"/>
    <w:rsid w:val="790C34C1"/>
    <w:rsid w:val="79906BBB"/>
    <w:rsid w:val="7BED75DA"/>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3936</Words>
  <Characters>4036</Characters>
  <Lines>34</Lines>
  <Paragraphs>9</Paragraphs>
  <TotalTime>4</TotalTime>
  <ScaleCrop>false</ScaleCrop>
  <LinksUpToDate>false</LinksUpToDate>
  <CharactersWithSpaces>4068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2025-09-26T01:48:25Z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9CBDF7B0DAE144199C4AE7E34284F4BD_13</vt:lpwstr>
  </property>
</Properties>
</file>