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F78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学前儿童行为观察与分析</w:t>
      </w:r>
      <w:r>
        <w:rPr>
          <w:rFonts w:hint="eastAsia" w:ascii="黑体" w:hAnsi="黑体" w:eastAsia="黑体"/>
          <w:bCs/>
          <w:sz w:val="32"/>
          <w:szCs w:val="32"/>
        </w:rPr>
        <w:t>》课程教学大纲</w:t>
      </w:r>
    </w:p>
    <w:p w14:paraId="426E17E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2DF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547A77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1AE4CE9">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sz w:val="21"/>
                <w:szCs w:val="21"/>
              </w:rPr>
              <w:t>学前儿童行为观察与分析</w:t>
            </w:r>
          </w:p>
        </w:tc>
      </w:tr>
      <w:tr w14:paraId="0C31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BC7C36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65858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cs="Times New Roman"/>
                <w:b w:val="0"/>
                <w:bCs/>
                <w:sz w:val="21"/>
                <w:szCs w:val="21"/>
              </w:rPr>
              <w:t>Behavior Observation and Analysis of Preschool Children</w:t>
            </w:r>
          </w:p>
        </w:tc>
      </w:tr>
      <w:tr w14:paraId="484A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F1388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3C9022C">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1130016</w:t>
            </w:r>
          </w:p>
        </w:tc>
        <w:tc>
          <w:tcPr>
            <w:tcW w:w="2126" w:type="dxa"/>
            <w:gridSpan w:val="2"/>
            <w:vAlign w:val="center"/>
          </w:tcPr>
          <w:p w14:paraId="46F266A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4571AD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2E1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A25B3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D5BE1C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4296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6F11E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1C741A1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688A58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689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F480D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1CA2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CFBB9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01DA9F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学前教育专业（大三年级）</w:t>
            </w:r>
          </w:p>
        </w:tc>
      </w:tr>
      <w:tr w14:paraId="723A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DBE0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143AF7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56F06D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735F1B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2C61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4C5B1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EFEDF5C">
            <w:pPr>
              <w:widowControl w:val="0"/>
              <w:snapToGrid w:val="0"/>
              <w:spacing w:line="288" w:lineRule="auto"/>
              <w:ind w:firstLine="411" w:firstLineChars="196"/>
              <w:jc w:val="both"/>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sz w:val="21"/>
                <w:szCs w:val="21"/>
                <w:lang w:eastAsia="zh-CN"/>
              </w:rPr>
              <w:t>《</w:t>
            </w:r>
            <w:r>
              <w:rPr>
                <w:rFonts w:hint="eastAsia" w:ascii="宋体" w:hAnsi="宋体"/>
                <w:sz w:val="21"/>
                <w:szCs w:val="21"/>
              </w:rPr>
              <w:t>幼儿行为观察与分析</w:t>
            </w:r>
            <w:r>
              <w:rPr>
                <w:rFonts w:hint="eastAsia" w:ascii="宋体" w:hAnsi="宋体"/>
                <w:sz w:val="21"/>
                <w:szCs w:val="21"/>
                <w:lang w:eastAsia="zh-CN"/>
              </w:rPr>
              <w:t>》</w:t>
            </w:r>
            <w:r>
              <w:rPr>
                <w:rFonts w:hint="eastAsia" w:ascii="宋体" w:hAnsi="宋体"/>
                <w:sz w:val="21"/>
                <w:szCs w:val="21"/>
              </w:rPr>
              <w:t>王晓芬主编</w:t>
            </w:r>
            <w:r>
              <w:rPr>
                <w:rFonts w:hint="eastAsia" w:ascii="宋体" w:hAnsi="宋体"/>
                <w:sz w:val="21"/>
                <w:szCs w:val="21"/>
                <w:lang w:eastAsia="zh-CN"/>
              </w:rPr>
              <w:t>、</w:t>
            </w:r>
            <w:r>
              <w:rPr>
                <w:rFonts w:hint="eastAsia" w:ascii="宋体" w:hAnsi="宋体"/>
                <w:sz w:val="21"/>
                <w:szCs w:val="21"/>
              </w:rPr>
              <w:t>ISBN： 978-7-309-14395-9</w:t>
            </w:r>
            <w:r>
              <w:rPr>
                <w:rFonts w:hint="eastAsia" w:ascii="宋体" w:hAnsi="宋体"/>
                <w:sz w:val="21"/>
                <w:szCs w:val="21"/>
                <w:lang w:eastAsia="zh-CN"/>
              </w:rPr>
              <w:t>、</w:t>
            </w:r>
            <w:r>
              <w:rPr>
                <w:rFonts w:hint="eastAsia" w:ascii="宋体" w:hAnsi="宋体"/>
                <w:sz w:val="21"/>
                <w:szCs w:val="21"/>
              </w:rPr>
              <w:t>复旦大学出版社</w:t>
            </w:r>
            <w:r>
              <w:rPr>
                <w:rFonts w:hint="eastAsia" w:ascii="宋体" w:hAnsi="宋体"/>
                <w:sz w:val="21"/>
                <w:szCs w:val="21"/>
                <w:lang w:eastAsia="zh-CN"/>
              </w:rPr>
              <w:t>、</w:t>
            </w:r>
            <w:r>
              <w:rPr>
                <w:rFonts w:hint="eastAsia" w:ascii="宋体" w:hAnsi="宋体"/>
                <w:sz w:val="21"/>
                <w:szCs w:val="21"/>
              </w:rPr>
              <w:t>第</w:t>
            </w:r>
            <w:r>
              <w:rPr>
                <w:rFonts w:hint="eastAsia" w:ascii="宋体" w:hAnsi="宋体"/>
                <w:sz w:val="21"/>
                <w:szCs w:val="21"/>
                <w:lang w:val="en-US" w:eastAsia="zh-CN"/>
              </w:rPr>
              <w:t>二</w:t>
            </w:r>
            <w:r>
              <w:rPr>
                <w:rFonts w:hint="eastAsia" w:ascii="宋体" w:hAnsi="宋体"/>
                <w:sz w:val="21"/>
                <w:szCs w:val="21"/>
              </w:rPr>
              <w:t>版</w:t>
            </w:r>
            <w:r>
              <w:rPr>
                <w:rFonts w:hint="eastAsia" w:ascii="宋体" w:hAnsi="宋体"/>
                <w:sz w:val="21"/>
                <w:szCs w:val="21"/>
                <w:lang w:eastAsia="zh-CN"/>
              </w:rPr>
              <w:t>。</w:t>
            </w:r>
          </w:p>
        </w:tc>
        <w:tc>
          <w:tcPr>
            <w:tcW w:w="1413" w:type="dxa"/>
            <w:gridSpan w:val="2"/>
            <w:vAlign w:val="center"/>
          </w:tcPr>
          <w:p w14:paraId="350AD5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65402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BF45934">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4E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4D3132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2CA12AD">
            <w:pPr>
              <w:widowControl w:val="0"/>
              <w:adjustRightInd w:val="0"/>
              <w:snapToGrid w:val="0"/>
              <w:spacing w:line="288" w:lineRule="auto"/>
              <w:ind w:firstLine="210" w:firstLineChars="100"/>
              <w:jc w:val="both"/>
              <w:rPr>
                <w:rFonts w:hint="eastAsia" w:eastAsia="宋体"/>
                <w:lang w:val="en-US" w:eastAsia="zh-CN"/>
              </w:rPr>
            </w:pPr>
            <w:r>
              <w:rPr>
                <w:rFonts w:hint="eastAsia"/>
                <w:color w:val="000000"/>
                <w:sz w:val="21"/>
                <w:szCs w:val="21"/>
                <w:lang w:val="en-US" w:eastAsia="zh-CN"/>
              </w:rPr>
              <w:t>无</w:t>
            </w:r>
          </w:p>
        </w:tc>
      </w:tr>
      <w:tr w14:paraId="33D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58" w:hRule="atLeast"/>
        </w:trPr>
        <w:tc>
          <w:tcPr>
            <w:tcW w:w="1691" w:type="dxa"/>
            <w:tcBorders>
              <w:left w:val="single" w:color="auto" w:sz="12" w:space="0"/>
            </w:tcBorders>
            <w:shd w:val="clear" w:color="auto" w:fill="auto"/>
            <w:vAlign w:val="center"/>
          </w:tcPr>
          <w:p w14:paraId="5DAC1A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07EBAB4">
            <w:pPr>
              <w:widowControl/>
              <w:spacing w:before="156" w:beforeLines="50" w:after="156" w:afterLines="50" w:line="288" w:lineRule="auto"/>
              <w:ind w:firstLine="315" w:firstLineChars="150"/>
              <w:jc w:val="left"/>
            </w:pPr>
            <w:r>
              <w:rPr>
                <w:rFonts w:hint="eastAsia" w:ascii="宋体" w:hAnsi="宋体"/>
                <w:sz w:val="21"/>
                <w:szCs w:val="21"/>
              </w:rPr>
              <w:t>《学前儿童行为观察与分析》是教育方法学的重要课程之一，是学前教育专业课程体系中的专业必修课程，即专门研究学前儿童行为的意义，并依据外部行为表现的观察与记录，对学前儿童的身心发展、情绪表现、语言活动和游戏活动进行观察记录与评估。本课程既是教育方法学的重要组成，又是实现幼儿教师教育教学技能专业培养目标实践技能的课程。因此，本课程具有理论性和实践性的性质，是实现幼儿教师专业化发展的主要课程。</w:t>
            </w:r>
          </w:p>
        </w:tc>
      </w:tr>
      <w:tr w14:paraId="628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8" w:hRule="atLeast"/>
        </w:trPr>
        <w:tc>
          <w:tcPr>
            <w:tcW w:w="1691" w:type="dxa"/>
            <w:tcBorders>
              <w:left w:val="single" w:color="auto" w:sz="12" w:space="0"/>
              <w:bottom w:val="double" w:color="auto" w:sz="4" w:space="0"/>
            </w:tcBorders>
            <w:shd w:val="clear" w:color="auto" w:fill="auto"/>
            <w:vAlign w:val="center"/>
          </w:tcPr>
          <w:p w14:paraId="08AD95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A210BE9">
            <w:pPr>
              <w:widowControl w:val="0"/>
              <w:snapToGrid w:val="0"/>
              <w:spacing w:line="288" w:lineRule="auto"/>
              <w:ind w:firstLine="400" w:firstLineChars="200"/>
              <w:jc w:val="both"/>
            </w:pPr>
            <w:r>
              <w:rPr>
                <w:rFonts w:hint="eastAsia"/>
                <w:color w:val="000000"/>
                <w:sz w:val="20"/>
                <w:szCs w:val="20"/>
              </w:rPr>
              <w:t xml:space="preserve"> </w:t>
            </w:r>
            <w:r>
              <w:rPr>
                <w:rFonts w:hint="eastAsia" w:ascii="宋体" w:hAnsi="宋体"/>
                <w:color w:val="000000"/>
                <w:sz w:val="21"/>
                <w:szCs w:val="21"/>
              </w:rPr>
              <w:t>本课程建议学前教育专业的三年级学生</w:t>
            </w:r>
            <w:r>
              <w:rPr>
                <w:rFonts w:hint="eastAsia"/>
                <w:color w:val="000000"/>
                <w:sz w:val="21"/>
                <w:szCs w:val="21"/>
                <w:lang w:val="en-US" w:eastAsia="zh-CN"/>
              </w:rPr>
              <w:t>学习</w:t>
            </w:r>
            <w:r>
              <w:rPr>
                <w:rFonts w:hint="eastAsia" w:ascii="宋体" w:hAnsi="宋体"/>
                <w:color w:val="000000"/>
                <w:sz w:val="21"/>
                <w:szCs w:val="21"/>
              </w:rPr>
              <w:t>，学生应对于学前教育学、教育心理学有一定的了解，且具有一定的辩证思考及自主学习的能力。</w:t>
            </w:r>
          </w:p>
        </w:tc>
      </w:tr>
      <w:tr w14:paraId="2605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922FB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0EBD9D">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32B96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B621A4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2025.2.10</w:t>
            </w:r>
          </w:p>
        </w:tc>
      </w:tr>
      <w:tr w14:paraId="728F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814C5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9DF4BB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2" name="图片 2"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949C0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C99F87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42C6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6C8B66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7C26219">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1270" b="635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AF9D1F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5A45B1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bl>
    <w:p w14:paraId="27FFE3DC">
      <w:pPr>
        <w:spacing w:line="100" w:lineRule="exact"/>
        <w:rPr>
          <w:rFonts w:ascii="Arial" w:hAnsi="Arial" w:eastAsia="黑体"/>
        </w:rPr>
      </w:pPr>
      <w:r>
        <w:br w:type="page"/>
      </w:r>
    </w:p>
    <w:p w14:paraId="7C5F6A18">
      <w:pPr>
        <w:pStyle w:val="16"/>
        <w:spacing w:before="326" w:beforeLines="100" w:line="360" w:lineRule="auto"/>
        <w:rPr>
          <w:rFonts w:ascii="黑体" w:hAnsi="宋体"/>
        </w:rPr>
      </w:pPr>
      <w:r>
        <w:rPr>
          <w:rFonts w:hint="eastAsia" w:ascii="黑体" w:hAnsi="宋体"/>
        </w:rPr>
        <w:t>二、课程目标与毕业要求</w:t>
      </w:r>
    </w:p>
    <w:p w14:paraId="41D5611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2DB1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90FC12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389243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DB2416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4864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E380F2F">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175AE1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D903CB0">
            <w:pPr>
              <w:pStyle w:val="14"/>
              <w:widowControl w:val="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掌握</w:t>
            </w:r>
            <w:r>
              <w:rPr>
                <w:rFonts w:hint="eastAsia" w:ascii="宋体" w:hAnsi="宋体" w:eastAsia="宋体" w:cs="宋体"/>
                <w:b w:val="0"/>
                <w:bCs/>
                <w:color w:val="000000" w:themeColor="text1"/>
                <w:sz w:val="21"/>
                <w:szCs w:val="21"/>
                <w14:textFill>
                  <w14:solidFill>
                    <w14:schemeClr w14:val="tx1"/>
                  </w14:solidFill>
                </w14:textFill>
              </w:rPr>
              <w:t>行为观察与分析的基本原则、途径和方法</w:t>
            </w:r>
            <w:r>
              <w:rPr>
                <w:rFonts w:hint="eastAsia" w:ascii="宋体" w:hAnsi="宋体" w:cs="宋体"/>
                <w:b w:val="0"/>
                <w:bCs/>
                <w:color w:val="000000" w:themeColor="text1"/>
                <w:sz w:val="21"/>
                <w:szCs w:val="21"/>
                <w:lang w:eastAsia="zh-CN"/>
                <w14:textFill>
                  <w14:solidFill>
                    <w14:schemeClr w14:val="tx1"/>
                  </w14:solidFill>
                </w14:textFill>
              </w:rPr>
              <w:t>。</w:t>
            </w:r>
          </w:p>
        </w:tc>
      </w:tr>
      <w:tr w14:paraId="7B1DD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B221CD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75742CB">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5F0BB3A5">
            <w:pPr>
              <w:pStyle w:val="14"/>
              <w:widowControl w:val="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具备</w:t>
            </w:r>
            <w:r>
              <w:rPr>
                <w:rFonts w:hint="eastAsia" w:ascii="宋体" w:hAnsi="宋体" w:cs="宋体"/>
                <w:b w:val="0"/>
                <w:bCs/>
                <w:color w:val="000000" w:themeColor="text1"/>
                <w:sz w:val="21"/>
                <w:szCs w:val="21"/>
                <w:lang w:val="en-US" w:eastAsia="zh-CN"/>
                <w14:textFill>
                  <w14:solidFill>
                    <w14:schemeClr w14:val="tx1"/>
                  </w14:solidFill>
                </w14:textFill>
              </w:rPr>
              <w:t>观察与分析幼儿行为的</w:t>
            </w:r>
            <w:r>
              <w:rPr>
                <w:rFonts w:hint="eastAsia" w:ascii="宋体" w:hAnsi="宋体" w:eastAsia="宋体" w:cs="宋体"/>
                <w:b w:val="0"/>
                <w:bCs/>
                <w:color w:val="000000" w:themeColor="text1"/>
                <w:sz w:val="21"/>
                <w:szCs w:val="21"/>
                <w14:textFill>
                  <w14:solidFill>
                    <w14:schemeClr w14:val="tx1"/>
                  </w14:solidFill>
                </w14:textFill>
              </w:rPr>
              <w:t>能力，结合运用批判性思维与方法，尝试提出解决问题的思路与方法，并能够总结和提升实践经验。</w:t>
            </w:r>
          </w:p>
        </w:tc>
      </w:tr>
      <w:tr w14:paraId="5440A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B4DFFFC">
            <w:pPr>
              <w:pStyle w:val="14"/>
              <w:rPr>
                <w:rFonts w:ascii="宋体" w:hAnsi="宋体"/>
              </w:rPr>
            </w:pPr>
          </w:p>
        </w:tc>
        <w:tc>
          <w:tcPr>
            <w:tcW w:w="782" w:type="dxa"/>
            <w:shd w:val="clear" w:color="auto" w:fill="auto"/>
            <w:vAlign w:val="center"/>
          </w:tcPr>
          <w:p w14:paraId="4F42B41F">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13E42457">
            <w:pPr>
              <w:pStyle w:val="23"/>
              <w:numPr>
                <w:ilvl w:val="0"/>
                <w:numId w:val="0"/>
              </w:numPr>
              <w:spacing w:before="118" w:line="340" w:lineRule="exact"/>
              <w:ind w:right="100" w:rightChars="0"/>
              <w:jc w:val="both"/>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能善于合理捕捉不同活动的观察要点，根据</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不同</w:t>
            </w:r>
            <w:r>
              <w:rPr>
                <w:rFonts w:hint="eastAsia" w:cs="宋体"/>
                <w:b w:val="0"/>
                <w:bCs/>
                <w:color w:val="000000" w:themeColor="text1"/>
                <w:kern w:val="0"/>
                <w:sz w:val="21"/>
                <w:szCs w:val="21"/>
                <w:lang w:val="en-US" w:eastAsia="zh-CN" w:bidi="ar-SA"/>
                <w14:textFill>
                  <w14:solidFill>
                    <w14:schemeClr w14:val="tx1"/>
                  </w14:solidFill>
                </w14:textFill>
              </w:rPr>
              <w:t>观察目的</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选择合适的观察记录方式</w:t>
            </w:r>
            <w:r>
              <w:rPr>
                <w:rFonts w:hint="eastAsia" w:cs="宋体"/>
                <w:b w:val="0"/>
                <w:bCs/>
                <w:color w:val="000000" w:themeColor="text1"/>
                <w:kern w:val="0"/>
                <w:sz w:val="21"/>
                <w:szCs w:val="21"/>
                <w:lang w:val="en-US" w:eastAsia="zh-CN" w:bidi="ar-SA"/>
                <w14:textFill>
                  <w14:solidFill>
                    <w14:schemeClr w14:val="tx1"/>
                  </w14:solidFill>
                </w14:textFill>
              </w:rPr>
              <w:t>，并设计合适的观察记录表。</w:t>
            </w:r>
          </w:p>
        </w:tc>
      </w:tr>
      <w:tr w14:paraId="25EE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0833E95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2AE91F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4B571DC">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1115179B">
            <w:pPr>
              <w:pStyle w:val="14"/>
              <w:widowControl w:val="0"/>
              <w:jc w:val="left"/>
              <w:rPr>
                <w:rFonts w:hint="default"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通过观察和</w:t>
            </w:r>
            <w:r>
              <w:rPr>
                <w:rFonts w:hint="eastAsia" w:ascii="宋体" w:hAnsi="宋体" w:cs="宋体"/>
                <w:b w:val="0"/>
                <w:bCs/>
                <w:color w:val="000000" w:themeColor="text1"/>
                <w:kern w:val="0"/>
                <w:sz w:val="21"/>
                <w:szCs w:val="21"/>
                <w:lang w:val="en-US" w:eastAsia="zh-CN" w:bidi="ar-SA"/>
                <w14:textFill>
                  <w14:solidFill>
                    <w14:schemeClr w14:val="tx1"/>
                  </w14:solidFill>
                </w14:textFill>
              </w:rPr>
              <w:t>分析</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幼儿，</w:t>
            </w:r>
            <w:r>
              <w:rPr>
                <w:rFonts w:hint="eastAsia" w:ascii="宋体" w:hAnsi="宋体" w:cs="宋体"/>
                <w:b w:val="0"/>
                <w:bCs/>
                <w:color w:val="000000" w:themeColor="text1"/>
                <w:kern w:val="0"/>
                <w:sz w:val="21"/>
                <w:szCs w:val="21"/>
                <w:lang w:val="en-US" w:eastAsia="zh-CN" w:bidi="ar-SA"/>
                <w14:textFill>
                  <w14:solidFill>
                    <w14:schemeClr w14:val="tx1"/>
                  </w14:solidFill>
                </w14:textFill>
              </w:rPr>
              <w:t>理解幼儿，</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增强专业自信和认同感，</w:t>
            </w:r>
            <w:r>
              <w:rPr>
                <w:rFonts w:hint="eastAsia" w:ascii="宋体" w:hAnsi="宋体" w:cs="宋体"/>
                <w:b w:val="0"/>
                <w:bCs/>
                <w:color w:val="000000" w:themeColor="text1"/>
                <w:kern w:val="0"/>
                <w:sz w:val="21"/>
                <w:szCs w:val="21"/>
                <w:lang w:val="en-US" w:eastAsia="zh-CN" w:bidi="ar-SA"/>
                <w14:textFill>
                  <w14:solidFill>
                    <w14:schemeClr w14:val="tx1"/>
                  </w14:solidFill>
                </w14:textFill>
              </w:rPr>
              <w:t>拥有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对幼儿教育事业的责任感和使命感。</w:t>
            </w:r>
          </w:p>
        </w:tc>
      </w:tr>
    </w:tbl>
    <w:p w14:paraId="13A04A66">
      <w:pPr>
        <w:pStyle w:val="17"/>
        <w:numPr>
          <w:ilvl w:val="0"/>
          <w:numId w:val="1"/>
        </w:numPr>
        <w:spacing w:before="163" w:beforeLines="50" w:after="163"/>
        <w:rPr>
          <w:rFonts w:hint="eastAsia"/>
        </w:rPr>
      </w:pPr>
      <w:r>
        <w:rPr>
          <w:rFonts w:hint="eastAsia"/>
        </w:rPr>
        <w:t xml:space="preserve">毕业要求与课程目标的关系 </w:t>
      </w:r>
    </w:p>
    <w:tbl>
      <w:tblPr>
        <w:tblStyle w:val="7"/>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82"/>
        <w:gridCol w:w="3872"/>
        <w:gridCol w:w="1389"/>
        <w:gridCol w:w="1808"/>
      </w:tblGrid>
      <w:tr w14:paraId="2285E347">
        <w:tblPrEx>
          <w:tblCellMar>
            <w:top w:w="57" w:type="dxa"/>
            <w:left w:w="85" w:type="dxa"/>
            <w:bottom w:w="57" w:type="dxa"/>
            <w:right w:w="85" w:type="dxa"/>
          </w:tblCellMar>
        </w:tblPrEx>
        <w:trPr>
          <w:trHeight w:val="391" w:hRule="atLeast"/>
          <w:jc w:val="center"/>
        </w:trPr>
        <w:tc>
          <w:tcPr>
            <w:tcW w:w="1182" w:type="dxa"/>
            <w:tcBorders>
              <w:right w:val="single" w:color="auto" w:sz="4" w:space="0"/>
            </w:tcBorders>
            <w:shd w:val="clear" w:color="auto" w:fill="auto"/>
            <w:vAlign w:val="center"/>
          </w:tcPr>
          <w:p w14:paraId="4C5FAADB">
            <w:pPr>
              <w:pStyle w:val="13"/>
              <w:rPr>
                <w:szCs w:val="16"/>
              </w:rPr>
            </w:pPr>
            <w:r>
              <w:rPr>
                <w:rFonts w:hint="eastAsia" w:ascii="黑体" w:hAnsi="黑体"/>
                <w:szCs w:val="18"/>
              </w:rPr>
              <w:t>毕业要求</w:t>
            </w:r>
          </w:p>
        </w:tc>
        <w:tc>
          <w:tcPr>
            <w:tcW w:w="3872" w:type="dxa"/>
            <w:tcBorders>
              <w:left w:val="single" w:color="auto" w:sz="4" w:space="0"/>
            </w:tcBorders>
            <w:vAlign w:val="center"/>
          </w:tcPr>
          <w:p w14:paraId="324D1F75">
            <w:pPr>
              <w:pStyle w:val="13"/>
              <w:rPr>
                <w:szCs w:val="16"/>
              </w:rPr>
            </w:pPr>
            <w:r>
              <w:rPr>
                <w:rFonts w:hint="eastAsia"/>
                <w:szCs w:val="16"/>
              </w:rPr>
              <w:t>指标点</w:t>
            </w:r>
          </w:p>
        </w:tc>
        <w:tc>
          <w:tcPr>
            <w:tcW w:w="1389" w:type="dxa"/>
            <w:tcBorders>
              <w:right w:val="double" w:color="auto" w:sz="4" w:space="0"/>
            </w:tcBorders>
            <w:shd w:val="clear" w:color="auto" w:fill="auto"/>
            <w:vAlign w:val="center"/>
          </w:tcPr>
          <w:p w14:paraId="3DF956B6">
            <w:pPr>
              <w:pStyle w:val="13"/>
              <w:rPr>
                <w:szCs w:val="16"/>
              </w:rPr>
            </w:pPr>
            <w:r>
              <w:rPr>
                <w:rFonts w:hint="eastAsia"/>
                <w:szCs w:val="16"/>
              </w:rPr>
              <w:t>支撑度</w:t>
            </w:r>
          </w:p>
        </w:tc>
        <w:tc>
          <w:tcPr>
            <w:tcW w:w="1808" w:type="dxa"/>
            <w:vAlign w:val="center"/>
          </w:tcPr>
          <w:p w14:paraId="2087783C">
            <w:pPr>
              <w:pStyle w:val="13"/>
              <w:rPr>
                <w:szCs w:val="16"/>
              </w:rPr>
            </w:pPr>
            <w:r>
              <w:rPr>
                <w:rFonts w:hint="eastAsia"/>
                <w:szCs w:val="16"/>
              </w:rPr>
              <w:t>课程目标</w:t>
            </w:r>
          </w:p>
        </w:tc>
      </w:tr>
      <w:tr w14:paraId="4AB9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vAlign w:val="center"/>
          </w:tcPr>
          <w:p w14:paraId="12FA4EF9">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 xml:space="preserve"> XQ0</w:t>
            </w:r>
            <w:r>
              <w:rPr>
                <w:rFonts w:hint="eastAsia" w:cs="Times New Roman"/>
                <w:b/>
                <w:bCs w:val="0"/>
                <w:i w:val="0"/>
                <w:color w:val="000000"/>
                <w:sz w:val="21"/>
                <w:szCs w:val="21"/>
                <w:lang w:val="en-US" w:eastAsia="zh-CN"/>
              </w:rPr>
              <w:t>3</w:t>
            </w:r>
            <w:r>
              <w:rPr>
                <w:rFonts w:hint="default" w:ascii="Times New Roman" w:hAnsi="Times New Roman" w:eastAsia="宋体" w:cs="Times New Roman"/>
                <w:b/>
                <w:bCs w:val="0"/>
                <w:i w:val="0"/>
                <w:color w:val="000000"/>
                <w:sz w:val="21"/>
                <w:szCs w:val="21"/>
              </w:rPr>
              <w:t xml:space="preserve"> </w:t>
            </w:r>
            <w:r>
              <w:rPr>
                <w:rFonts w:hint="eastAsia" w:cs="Times New Roman"/>
                <w:b/>
                <w:bCs w:val="0"/>
                <w:i w:val="0"/>
                <w:color w:val="000000"/>
                <w:sz w:val="21"/>
                <w:szCs w:val="21"/>
                <w:lang w:val="en-US" w:eastAsia="zh-CN"/>
              </w:rPr>
              <w:t>保教知识</w:t>
            </w:r>
          </w:p>
        </w:tc>
        <w:tc>
          <w:tcPr>
            <w:tcW w:w="3872" w:type="dxa"/>
            <w:tcBorders>
              <w:left w:val="single" w:color="auto" w:sz="4" w:space="0"/>
            </w:tcBorders>
            <w:vAlign w:val="center"/>
          </w:tcPr>
          <w:p w14:paraId="506B1754">
            <w:pPr>
              <w:pStyle w:val="14"/>
              <w:rPr>
                <w:rFonts w:hint="default" w:eastAsia="宋体" w:cs="Times New Roman"/>
                <w:bCs/>
                <w:lang w:val="en-US" w:eastAsia="zh-CN"/>
              </w:rPr>
            </w:pPr>
            <w:r>
              <w:rPr>
                <w:rFonts w:hint="eastAsia" w:cs="Times New Roman"/>
                <w:bCs/>
                <w:lang w:val="en-US" w:eastAsia="zh-CN"/>
              </w:rPr>
              <w:t>②儿童发展知识：理解 2-6 岁幼儿身心发展特点与成长规律，认同幼儿在发展水平、速度和优势方面存在个体差异，在此基础上深刻认识 2-6 岁幼儿学习特征；熟悉五大领域的基本知识和核心经验，知道幼儿园保育和教育的基本方法。</w:t>
            </w:r>
          </w:p>
        </w:tc>
        <w:tc>
          <w:tcPr>
            <w:tcW w:w="1389" w:type="dxa"/>
            <w:tcBorders>
              <w:right w:val="double" w:color="auto" w:sz="4" w:space="0"/>
            </w:tcBorders>
            <w:shd w:val="clear" w:color="auto" w:fill="auto"/>
            <w:vAlign w:val="center"/>
          </w:tcPr>
          <w:p w14:paraId="7011E71A">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1808" w:type="dxa"/>
            <w:vAlign w:val="center"/>
          </w:tcPr>
          <w:p w14:paraId="201A679F">
            <w:pPr>
              <w:pStyle w:val="14"/>
              <w:jc w:val="left"/>
              <w:rPr>
                <w:rFonts w:ascii="宋体" w:hAnsi="宋体"/>
                <w:b w:val="0"/>
                <w:bCs/>
              </w:rPr>
            </w:pPr>
            <w:r>
              <w:rPr>
                <w:rFonts w:hint="eastAsia" w:ascii="宋体" w:hAnsi="宋体" w:cs="宋体"/>
                <w:b w:val="0"/>
                <w:bCs/>
                <w:color w:val="000000" w:themeColor="text1"/>
                <w:sz w:val="21"/>
                <w:szCs w:val="21"/>
                <w:lang w:val="en-US" w:eastAsia="zh-CN"/>
                <w14:textFill>
                  <w14:solidFill>
                    <w14:schemeClr w14:val="tx1"/>
                  </w14:solidFill>
                </w14:textFill>
              </w:rPr>
              <w:t>1.知道</w:t>
            </w:r>
            <w:r>
              <w:rPr>
                <w:rFonts w:hint="eastAsia" w:ascii="宋体" w:hAnsi="宋体" w:eastAsia="宋体" w:cs="宋体"/>
                <w:b w:val="0"/>
                <w:bCs/>
                <w:color w:val="000000" w:themeColor="text1"/>
                <w:sz w:val="21"/>
                <w:szCs w:val="21"/>
                <w14:textFill>
                  <w14:solidFill>
                    <w14:schemeClr w14:val="tx1"/>
                  </w14:solidFill>
                </w14:textFill>
              </w:rPr>
              <w:t>行为观察与分析的基本原则、途径和方法</w:t>
            </w:r>
            <w:r>
              <w:rPr>
                <w:rFonts w:hint="eastAsia" w:ascii="宋体" w:hAnsi="宋体" w:cs="宋体"/>
                <w:b w:val="0"/>
                <w:bCs/>
                <w:color w:val="000000" w:themeColor="text1"/>
                <w:sz w:val="21"/>
                <w:szCs w:val="21"/>
                <w:lang w:eastAsia="zh-CN"/>
                <w14:textFill>
                  <w14:solidFill>
                    <w14:schemeClr w14:val="tx1"/>
                  </w14:solidFill>
                </w14:textFill>
              </w:rPr>
              <w:t>。</w:t>
            </w:r>
          </w:p>
        </w:tc>
      </w:tr>
      <w:tr w14:paraId="5908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vAlign w:val="center"/>
          </w:tcPr>
          <w:p w14:paraId="11C914C1">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 xml:space="preserve"> XQ04 </w:t>
            </w:r>
            <w:r>
              <w:rPr>
                <w:rFonts w:hint="eastAsia" w:cs="Times New Roman"/>
                <w:b/>
                <w:bCs w:val="0"/>
                <w:i w:val="0"/>
                <w:color w:val="000000"/>
                <w:sz w:val="21"/>
                <w:szCs w:val="21"/>
                <w:lang w:val="en-US" w:eastAsia="zh-CN"/>
              </w:rPr>
              <w:t>保教能力</w:t>
            </w:r>
          </w:p>
        </w:tc>
        <w:tc>
          <w:tcPr>
            <w:tcW w:w="3872" w:type="dxa"/>
            <w:tcBorders>
              <w:left w:val="single" w:color="auto" w:sz="4" w:space="0"/>
            </w:tcBorders>
            <w:vAlign w:val="center"/>
          </w:tcPr>
          <w:p w14:paraId="0025D6B9">
            <w:pPr>
              <w:pStyle w:val="14"/>
              <w:rPr>
                <w:rFonts w:hint="default" w:eastAsia="宋体" w:cs="Times New Roman"/>
                <w:bCs/>
                <w:lang w:val="en-US" w:eastAsia="zh-CN"/>
              </w:rPr>
            </w:pPr>
            <w:r>
              <w:rPr>
                <w:rFonts w:hint="eastAsia" w:cs="Times New Roman"/>
                <w:bCs/>
                <w:lang w:val="en-US" w:eastAsia="zh-CN"/>
              </w:rPr>
              <w:t>③分析评价能力：具备对幼儿园一日生活现场的观察、记录与分析能力，通过班级观察、一对一倾听等方式，了解幼儿兴趣、需求和问题。在户外活动时间，养成“观察分析”习惯，感受幼儿情绪，加深对其认识。运用观察、谈话、作品分析、家园合作等方法，全面评价幼儿学习与发展情况。依据评价结果，科学分析教育活动效果，优化后续教学安排，提出改进措施，促进教育活动高质量开展。</w:t>
            </w:r>
          </w:p>
        </w:tc>
        <w:tc>
          <w:tcPr>
            <w:tcW w:w="1389" w:type="dxa"/>
            <w:tcBorders>
              <w:right w:val="double" w:color="auto" w:sz="4" w:space="0"/>
            </w:tcBorders>
            <w:shd w:val="clear" w:color="auto" w:fill="auto"/>
            <w:vAlign w:val="center"/>
          </w:tcPr>
          <w:p w14:paraId="1867BF73">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1808" w:type="dxa"/>
            <w:vAlign w:val="center"/>
          </w:tcPr>
          <w:p w14:paraId="19BB355D">
            <w:pPr>
              <w:pStyle w:val="14"/>
              <w:jc w:val="left"/>
              <w:rPr>
                <w:rFonts w:ascii="宋体" w:hAnsi="宋体"/>
                <w:b w:val="0"/>
                <w:bCs/>
              </w:rPr>
            </w:pP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具备</w:t>
            </w:r>
            <w:r>
              <w:rPr>
                <w:rFonts w:hint="eastAsia" w:ascii="宋体" w:hAnsi="宋体" w:cs="宋体"/>
                <w:b w:val="0"/>
                <w:bCs/>
                <w:color w:val="000000" w:themeColor="text1"/>
                <w:sz w:val="21"/>
                <w:szCs w:val="21"/>
                <w:lang w:val="en-US" w:eastAsia="zh-CN"/>
                <w14:textFill>
                  <w14:solidFill>
                    <w14:schemeClr w14:val="tx1"/>
                  </w14:solidFill>
                </w14:textFill>
              </w:rPr>
              <w:t>观察与分析幼儿行为的</w:t>
            </w:r>
            <w:r>
              <w:rPr>
                <w:rFonts w:hint="eastAsia" w:ascii="宋体" w:hAnsi="宋体" w:eastAsia="宋体" w:cs="宋体"/>
                <w:b w:val="0"/>
                <w:bCs/>
                <w:color w:val="000000" w:themeColor="text1"/>
                <w:sz w:val="21"/>
                <w:szCs w:val="21"/>
                <w14:textFill>
                  <w14:solidFill>
                    <w14:schemeClr w14:val="tx1"/>
                  </w14:solidFill>
                </w14:textFill>
              </w:rPr>
              <w:t>能力，结合运用批判性思维与方法，尝试提出解决问题的思路与方法，并能够总结和提升实践经验。</w:t>
            </w:r>
          </w:p>
        </w:tc>
      </w:tr>
      <w:tr w14:paraId="406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tcPr>
          <w:p w14:paraId="1A43B539">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XQ0</w:t>
            </w:r>
            <w:r>
              <w:rPr>
                <w:rFonts w:hint="eastAsia" w:cs="Times New Roman"/>
                <w:b/>
                <w:bCs w:val="0"/>
                <w:i w:val="0"/>
                <w:color w:val="000000"/>
                <w:sz w:val="21"/>
                <w:szCs w:val="21"/>
                <w:lang w:val="en-US" w:eastAsia="zh-CN"/>
              </w:rPr>
              <w:t>6综合育人</w:t>
            </w:r>
          </w:p>
        </w:tc>
        <w:tc>
          <w:tcPr>
            <w:tcW w:w="3872" w:type="dxa"/>
            <w:tcBorders>
              <w:left w:val="single" w:color="auto" w:sz="4" w:space="0"/>
            </w:tcBorders>
            <w:vAlign w:val="center"/>
          </w:tcPr>
          <w:p w14:paraId="6F9A980E">
            <w:pPr>
              <w:pStyle w:val="14"/>
              <w:rPr>
                <w:rFonts w:hint="default" w:eastAsia="宋体" w:cs="Times New Roman"/>
                <w:bCs/>
                <w:lang w:val="en-US" w:eastAsia="zh-CN"/>
              </w:rPr>
            </w:pPr>
            <w:r>
              <w:rPr>
                <w:rFonts w:hint="eastAsia" w:cs="Times New Roman"/>
                <w:bCs/>
                <w:lang w:val="en-US" w:eastAsia="zh-CN"/>
              </w:rPr>
              <w:t>②育人实践：理解环境育人价值，理解园所文化和一日生活对幼儿发展的价值，通过环境影响感染幼儿，使其获得积极体验。能积极观察幼儿行为，抓住一日生活中的教育契机，对幼儿进行教育。综合利用幼儿园、家庭和社区各种协同活动的方式方法，能够运用信息技术拓宽家园沟通交流的渠道和途径，积极主动与家长进行有效交流，充分利用社区综合资源全面育人。</w:t>
            </w:r>
          </w:p>
        </w:tc>
        <w:tc>
          <w:tcPr>
            <w:tcW w:w="1389" w:type="dxa"/>
            <w:tcBorders>
              <w:right w:val="double" w:color="auto" w:sz="4" w:space="0"/>
            </w:tcBorders>
            <w:shd w:val="clear" w:color="auto" w:fill="auto"/>
            <w:vAlign w:val="center"/>
          </w:tcPr>
          <w:p w14:paraId="50CA6137">
            <w:pPr>
              <w:pStyle w:val="14"/>
              <w:rPr>
                <w:rFonts w:hint="default" w:ascii="Times New Roman" w:hAnsi="Times New Roman" w:eastAsia="宋体" w:cs="Times New Roman"/>
                <w:lang w:val="en-US" w:eastAsia="zh-CN"/>
              </w:rPr>
            </w:pPr>
            <w:r>
              <w:rPr>
                <w:rFonts w:hint="eastAsia" w:cs="Times New Roman"/>
                <w:lang w:val="en-US" w:eastAsia="zh-CN"/>
              </w:rPr>
              <w:t>H</w:t>
            </w:r>
          </w:p>
        </w:tc>
        <w:tc>
          <w:tcPr>
            <w:tcW w:w="1808" w:type="dxa"/>
            <w:vAlign w:val="center"/>
          </w:tcPr>
          <w:p w14:paraId="13AF0401">
            <w:pPr>
              <w:pStyle w:val="14"/>
              <w:jc w:val="left"/>
              <w:rPr>
                <w:rFonts w:ascii="宋体" w:hAnsi="宋体"/>
                <w:b w:val="0"/>
                <w:bCs/>
              </w:rPr>
            </w:pPr>
            <w:r>
              <w:rPr>
                <w:rFonts w:hint="eastAsia" w:ascii="宋体" w:hAnsi="宋体" w:cs="宋体"/>
                <w:b w:val="0"/>
                <w:bCs/>
                <w:color w:val="000000" w:themeColor="text1"/>
                <w:kern w:val="0"/>
                <w:sz w:val="21"/>
                <w:szCs w:val="21"/>
                <w:lang w:val="en-US" w:eastAsia="zh-CN" w:bidi="ar-SA"/>
                <w14:textFill>
                  <w14:solidFill>
                    <w14:schemeClr w14:val="tx1"/>
                  </w14:solidFill>
                </w14:textFill>
              </w:rPr>
              <w:t>3.</w:t>
            </w:r>
            <w:r>
              <w:rPr>
                <w:rFonts w:hint="eastAsia" w:cs="宋体"/>
                <w:b w:val="0"/>
                <w:bCs/>
                <w:color w:val="000000" w:themeColor="text1"/>
                <w:kern w:val="0"/>
                <w:sz w:val="21"/>
                <w:szCs w:val="21"/>
                <w:lang w:val="en-US" w:eastAsia="zh-CN" w:bidi="ar-SA"/>
                <w14:textFill>
                  <w14:solidFill>
                    <w14:schemeClr w14:val="tx1"/>
                  </w14:solidFill>
                </w14:textFill>
              </w:rPr>
              <w:t>能善于合理捕捉不同活动的观察要点，根据</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不同</w:t>
            </w:r>
            <w:r>
              <w:rPr>
                <w:rFonts w:hint="eastAsia" w:cs="宋体"/>
                <w:b w:val="0"/>
                <w:bCs/>
                <w:color w:val="000000" w:themeColor="text1"/>
                <w:kern w:val="0"/>
                <w:sz w:val="21"/>
                <w:szCs w:val="21"/>
                <w:lang w:val="en-US" w:eastAsia="zh-CN" w:bidi="ar-SA"/>
                <w14:textFill>
                  <w14:solidFill>
                    <w14:schemeClr w14:val="tx1"/>
                  </w14:solidFill>
                </w14:textFill>
              </w:rPr>
              <w:t>观察目的</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选择合适的观察记录方式</w:t>
            </w:r>
            <w:r>
              <w:rPr>
                <w:rFonts w:hint="eastAsia" w:cs="宋体"/>
                <w:b w:val="0"/>
                <w:bCs/>
                <w:color w:val="000000" w:themeColor="text1"/>
                <w:kern w:val="0"/>
                <w:sz w:val="21"/>
                <w:szCs w:val="21"/>
                <w:lang w:val="en-US" w:eastAsia="zh-CN" w:bidi="ar-SA"/>
                <w14:textFill>
                  <w14:solidFill>
                    <w14:schemeClr w14:val="tx1"/>
                  </w14:solidFill>
                </w14:textFill>
              </w:rPr>
              <w:t>，并设计合适的观察记录表。</w:t>
            </w:r>
          </w:p>
        </w:tc>
      </w:tr>
      <w:tr w14:paraId="0B82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tcPr>
          <w:p w14:paraId="3A5B14B0">
            <w:pPr>
              <w:pStyle w:val="14"/>
              <w:rPr>
                <w:rFonts w:hint="default" w:ascii="Times New Roman" w:hAnsi="Times New Roman" w:eastAsia="宋体" w:cs="Times New Roman"/>
                <w:b/>
                <w:bCs w:val="0"/>
                <w:i w:val="0"/>
                <w:color w:val="000000"/>
                <w:sz w:val="21"/>
                <w:szCs w:val="21"/>
                <w:lang w:val="en-US" w:eastAsia="zh-CN"/>
              </w:rPr>
            </w:pPr>
            <w:r>
              <w:rPr>
                <w:rFonts w:hint="eastAsia" w:cs="Times New Roman"/>
                <w:b/>
                <w:bCs w:val="0"/>
                <w:i w:val="0"/>
                <w:color w:val="000000"/>
                <w:sz w:val="21"/>
                <w:szCs w:val="21"/>
                <w:lang w:val="en-US" w:eastAsia="zh-CN"/>
              </w:rPr>
              <w:t>XQ07学会反思</w:t>
            </w:r>
          </w:p>
        </w:tc>
        <w:tc>
          <w:tcPr>
            <w:tcW w:w="3872" w:type="dxa"/>
            <w:tcBorders>
              <w:left w:val="single" w:color="auto" w:sz="4" w:space="0"/>
            </w:tcBorders>
            <w:vAlign w:val="center"/>
          </w:tcPr>
          <w:p w14:paraId="31B78092">
            <w:pPr>
              <w:pStyle w:val="14"/>
              <w:rPr>
                <w:rFonts w:hint="default" w:cs="Times New Roman"/>
                <w:bCs/>
                <w:lang w:val="en-US" w:eastAsia="zh-CN"/>
              </w:rPr>
            </w:pPr>
            <w:r>
              <w:rPr>
                <w:rFonts w:hint="eastAsia" w:cs="Times New Roman"/>
                <w:bCs/>
                <w:lang w:val="en-US" w:eastAsia="zh-CN"/>
              </w:rPr>
              <w:t>②反思研究：发展反思与创新的意识与能力，综合运用批判性思维，突破传统思维，解放思想与大脑，创造性地解决学习、研究与创新创业实践中遇到的问题。掌握教育研究的方法，并用于分析与研究幼儿教育实践问题，尝试提出解决问题的思路与方法，并具有总结和提升实践经验的能力。</w:t>
            </w:r>
          </w:p>
        </w:tc>
        <w:tc>
          <w:tcPr>
            <w:tcW w:w="1389" w:type="dxa"/>
            <w:tcBorders>
              <w:right w:val="double" w:color="auto" w:sz="4" w:space="0"/>
            </w:tcBorders>
            <w:shd w:val="clear" w:color="auto" w:fill="auto"/>
            <w:vAlign w:val="center"/>
          </w:tcPr>
          <w:p w14:paraId="18DBF554">
            <w:pPr>
              <w:pStyle w:val="14"/>
              <w:rPr>
                <w:rFonts w:hint="default" w:ascii="Times New Roman" w:hAnsi="Times New Roman" w:cs="Times New Roman"/>
                <w:lang w:val="en-US" w:eastAsia="zh-CN"/>
              </w:rPr>
            </w:pPr>
            <w:r>
              <w:rPr>
                <w:rFonts w:hint="eastAsia" w:cs="Times New Roman"/>
                <w:lang w:val="en-US" w:eastAsia="zh-CN"/>
              </w:rPr>
              <w:t>M</w:t>
            </w:r>
          </w:p>
        </w:tc>
        <w:tc>
          <w:tcPr>
            <w:tcW w:w="1808" w:type="dxa"/>
            <w:vAlign w:val="center"/>
          </w:tcPr>
          <w:p w14:paraId="3F881D52">
            <w:pPr>
              <w:pStyle w:val="14"/>
              <w:jc w:val="left"/>
              <w:rPr>
                <w:rFonts w:hint="eastAsia" w:hAnsi="楷体"/>
                <w:b w:val="0"/>
                <w:bCs/>
                <w:color w:val="000000" w:themeColor="text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通过观察和</w:t>
            </w:r>
            <w:r>
              <w:rPr>
                <w:rFonts w:hint="eastAsia" w:ascii="宋体" w:hAnsi="宋体" w:cs="宋体"/>
                <w:b w:val="0"/>
                <w:bCs/>
                <w:color w:val="000000" w:themeColor="text1"/>
                <w:kern w:val="0"/>
                <w:sz w:val="21"/>
                <w:szCs w:val="21"/>
                <w:lang w:val="en-US" w:eastAsia="zh-CN" w:bidi="ar-SA"/>
                <w14:textFill>
                  <w14:solidFill>
                    <w14:schemeClr w14:val="tx1"/>
                  </w14:solidFill>
                </w14:textFill>
              </w:rPr>
              <w:t>分析</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幼儿，</w:t>
            </w:r>
            <w:r>
              <w:rPr>
                <w:rFonts w:hint="eastAsia" w:ascii="宋体" w:hAnsi="宋体" w:cs="宋体"/>
                <w:b w:val="0"/>
                <w:bCs/>
                <w:color w:val="000000" w:themeColor="text1"/>
                <w:kern w:val="0"/>
                <w:sz w:val="21"/>
                <w:szCs w:val="21"/>
                <w:lang w:val="en-US" w:eastAsia="zh-CN" w:bidi="ar-SA"/>
                <w14:textFill>
                  <w14:solidFill>
                    <w14:schemeClr w14:val="tx1"/>
                  </w14:solidFill>
                </w14:textFill>
              </w:rPr>
              <w:t>理解幼儿，</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增强专业自信和认同感，</w:t>
            </w:r>
            <w:r>
              <w:rPr>
                <w:rFonts w:hint="eastAsia" w:ascii="宋体" w:hAnsi="宋体" w:cs="宋体"/>
                <w:b w:val="0"/>
                <w:bCs/>
                <w:color w:val="000000" w:themeColor="text1"/>
                <w:kern w:val="0"/>
                <w:sz w:val="21"/>
                <w:szCs w:val="21"/>
                <w:lang w:val="en-US" w:eastAsia="zh-CN" w:bidi="ar-SA"/>
                <w14:textFill>
                  <w14:solidFill>
                    <w14:schemeClr w14:val="tx1"/>
                  </w14:solidFill>
                </w14:textFill>
              </w:rPr>
              <w:t>拥有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对幼儿教育事业的责任感和使命感。</w:t>
            </w:r>
          </w:p>
        </w:tc>
      </w:tr>
    </w:tbl>
    <w:p w14:paraId="7431AF6D">
      <w:pPr>
        <w:pStyle w:val="16"/>
        <w:spacing w:before="326" w:beforeLines="100" w:line="360" w:lineRule="auto"/>
        <w:rPr>
          <w:rFonts w:ascii="黑体" w:hAnsi="宋体"/>
        </w:rPr>
      </w:pPr>
      <w:bookmarkStart w:id="4" w:name="_GoBack"/>
      <w:bookmarkEnd w:id="4"/>
      <w:r>
        <w:rPr>
          <w:rFonts w:hint="eastAsia" w:ascii="黑体" w:hAnsi="宋体"/>
        </w:rPr>
        <w:t>三、</w:t>
      </w: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50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33"/>
        <w:gridCol w:w="1607"/>
        <w:gridCol w:w="2090"/>
        <w:gridCol w:w="1830"/>
        <w:gridCol w:w="1511"/>
      </w:tblGrid>
      <w:tr w14:paraId="2D717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31B9AFA4">
            <w:pPr>
              <w:pStyle w:val="14"/>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607" w:type="dxa"/>
            <w:tcBorders>
              <w:tl2br w:val="nil"/>
              <w:tr2bl w:val="nil"/>
            </w:tcBorders>
            <w:vAlign w:val="center"/>
          </w:tcPr>
          <w:p w14:paraId="60746542">
            <w:pPr>
              <w:pStyle w:val="13"/>
              <w:jc w:val="center"/>
              <w:rPr>
                <w:rFonts w:hint="eastAsia"/>
                <w:sz w:val="22"/>
                <w:szCs w:val="21"/>
                <w:highlight w:val="none"/>
              </w:rPr>
            </w:pPr>
            <w:r>
              <w:rPr>
                <w:rFonts w:hint="eastAsia"/>
                <w:sz w:val="22"/>
                <w:szCs w:val="18"/>
                <w:highlight w:val="none"/>
              </w:rPr>
              <w:t>课程目标1</w:t>
            </w:r>
          </w:p>
        </w:tc>
        <w:tc>
          <w:tcPr>
            <w:tcW w:w="2090" w:type="dxa"/>
            <w:tcBorders>
              <w:tl2br w:val="nil"/>
              <w:tr2bl w:val="nil"/>
            </w:tcBorders>
            <w:vAlign w:val="center"/>
          </w:tcPr>
          <w:p w14:paraId="791F6BCB">
            <w:pPr>
              <w:pStyle w:val="13"/>
              <w:jc w:val="center"/>
              <w:rPr>
                <w:sz w:val="22"/>
                <w:szCs w:val="21"/>
                <w:highlight w:val="yellow"/>
              </w:rPr>
            </w:pPr>
            <w:r>
              <w:rPr>
                <w:rFonts w:hint="eastAsia"/>
                <w:sz w:val="22"/>
                <w:szCs w:val="18"/>
                <w:highlight w:val="none"/>
              </w:rPr>
              <w:t>课程目标2</w:t>
            </w:r>
          </w:p>
        </w:tc>
        <w:tc>
          <w:tcPr>
            <w:tcW w:w="1830" w:type="dxa"/>
            <w:tcBorders>
              <w:tl2br w:val="nil"/>
              <w:tr2bl w:val="nil"/>
            </w:tcBorders>
            <w:vAlign w:val="center"/>
          </w:tcPr>
          <w:p w14:paraId="07D2081B">
            <w:pPr>
              <w:pStyle w:val="13"/>
              <w:jc w:val="center"/>
              <w:rPr>
                <w:rFonts w:hint="eastAsia"/>
                <w:sz w:val="22"/>
                <w:szCs w:val="21"/>
                <w:highlight w:val="none"/>
              </w:rPr>
            </w:pPr>
            <w:r>
              <w:rPr>
                <w:rFonts w:hint="eastAsia"/>
                <w:sz w:val="22"/>
                <w:szCs w:val="18"/>
                <w:highlight w:val="none"/>
              </w:rPr>
              <w:t>课程目标3</w:t>
            </w:r>
          </w:p>
        </w:tc>
        <w:tc>
          <w:tcPr>
            <w:tcW w:w="1511" w:type="dxa"/>
            <w:tcBorders>
              <w:tl2br w:val="nil"/>
              <w:tr2bl w:val="nil"/>
            </w:tcBorders>
            <w:vAlign w:val="center"/>
          </w:tcPr>
          <w:p w14:paraId="31C71E30">
            <w:pPr>
              <w:pStyle w:val="13"/>
              <w:jc w:val="center"/>
              <w:rPr>
                <w:rFonts w:hint="default" w:eastAsia="黑体"/>
                <w:sz w:val="22"/>
                <w:szCs w:val="18"/>
                <w:highlight w:val="none"/>
                <w:lang w:val="en-US" w:eastAsia="zh-CN"/>
              </w:rPr>
            </w:pPr>
            <w:r>
              <w:rPr>
                <w:rFonts w:hint="eastAsia"/>
                <w:sz w:val="22"/>
                <w:szCs w:val="18"/>
                <w:highlight w:val="none"/>
                <w:lang w:val="en-US" w:eastAsia="zh-CN"/>
              </w:rPr>
              <w:t>课程目标4</w:t>
            </w:r>
          </w:p>
        </w:tc>
      </w:tr>
      <w:tr w14:paraId="7844A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23" w:hRule="atLeast"/>
          <w:jc w:val="center"/>
        </w:trPr>
        <w:tc>
          <w:tcPr>
            <w:tcW w:w="1533" w:type="dxa"/>
            <w:tcBorders>
              <w:tl2br w:val="nil"/>
              <w:tr2bl w:val="nil"/>
            </w:tcBorders>
            <w:vAlign w:val="center"/>
          </w:tcPr>
          <w:p w14:paraId="560A5E16">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学前儿童行为观察概述</w:t>
            </w:r>
          </w:p>
        </w:tc>
        <w:tc>
          <w:tcPr>
            <w:tcW w:w="1607" w:type="dxa"/>
            <w:tcBorders>
              <w:tl2br w:val="nil"/>
              <w:tr2bl w:val="nil"/>
            </w:tcBorders>
            <w:vAlign w:val="center"/>
          </w:tcPr>
          <w:p w14:paraId="19349602">
            <w:pPr>
              <w:pStyle w:val="13"/>
              <w:jc w:val="center"/>
              <w:rPr>
                <w:rFonts w:hint="eastAsia"/>
                <w:sz w:val="22"/>
                <w:szCs w:val="18"/>
                <w:highlight w:val="none"/>
              </w:rPr>
            </w:pPr>
            <w:r>
              <w:rPr>
                <w:rFonts w:hint="default" w:ascii="Arial" w:hAnsi="Arial" w:cs="Arial"/>
                <w:sz w:val="22"/>
                <w:szCs w:val="18"/>
                <w:highlight w:val="none"/>
              </w:rPr>
              <w:t>√</w:t>
            </w:r>
          </w:p>
        </w:tc>
        <w:tc>
          <w:tcPr>
            <w:tcW w:w="2090" w:type="dxa"/>
            <w:tcBorders>
              <w:tl2br w:val="nil"/>
              <w:tr2bl w:val="nil"/>
            </w:tcBorders>
            <w:vAlign w:val="center"/>
          </w:tcPr>
          <w:p w14:paraId="3ABCC248">
            <w:pPr>
              <w:pStyle w:val="13"/>
              <w:jc w:val="center"/>
              <w:rPr>
                <w:rFonts w:hint="eastAsia"/>
                <w:sz w:val="22"/>
                <w:szCs w:val="18"/>
                <w:highlight w:val="none"/>
              </w:rPr>
            </w:pPr>
          </w:p>
        </w:tc>
        <w:tc>
          <w:tcPr>
            <w:tcW w:w="1830" w:type="dxa"/>
            <w:tcBorders>
              <w:tl2br w:val="nil"/>
              <w:tr2bl w:val="nil"/>
            </w:tcBorders>
            <w:vAlign w:val="center"/>
          </w:tcPr>
          <w:p w14:paraId="214E5A65">
            <w:pPr>
              <w:pStyle w:val="13"/>
              <w:jc w:val="center"/>
              <w:rPr>
                <w:rFonts w:hint="eastAsia"/>
                <w:sz w:val="22"/>
                <w:szCs w:val="18"/>
                <w:highlight w:val="none"/>
              </w:rPr>
            </w:pPr>
          </w:p>
        </w:tc>
        <w:tc>
          <w:tcPr>
            <w:tcW w:w="1511" w:type="dxa"/>
            <w:tcBorders>
              <w:tl2br w:val="nil"/>
              <w:tr2bl w:val="nil"/>
            </w:tcBorders>
            <w:vAlign w:val="center"/>
          </w:tcPr>
          <w:p w14:paraId="57E91C57">
            <w:pPr>
              <w:pStyle w:val="13"/>
              <w:jc w:val="center"/>
              <w:rPr>
                <w:rFonts w:hint="eastAsia"/>
                <w:sz w:val="22"/>
                <w:szCs w:val="18"/>
                <w:highlight w:val="none"/>
                <w:lang w:val="en-US" w:eastAsia="zh-CN"/>
              </w:rPr>
            </w:pPr>
            <w:r>
              <w:rPr>
                <w:rFonts w:hint="default" w:ascii="Arial" w:hAnsi="Arial" w:cs="Arial"/>
                <w:sz w:val="22"/>
                <w:szCs w:val="18"/>
                <w:highlight w:val="none"/>
              </w:rPr>
              <w:t>√</w:t>
            </w:r>
          </w:p>
        </w:tc>
      </w:tr>
      <w:tr w14:paraId="182A0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63196FC7">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轶事记录法</w:t>
            </w:r>
          </w:p>
        </w:tc>
        <w:tc>
          <w:tcPr>
            <w:tcW w:w="1607" w:type="dxa"/>
            <w:tcBorders>
              <w:tl2br w:val="nil"/>
              <w:tr2bl w:val="nil"/>
            </w:tcBorders>
            <w:vAlign w:val="center"/>
          </w:tcPr>
          <w:p w14:paraId="42F35911">
            <w:pPr>
              <w:pStyle w:val="13"/>
              <w:jc w:val="center"/>
              <w:rPr>
                <w:rFonts w:hint="eastAsia"/>
                <w:sz w:val="22"/>
                <w:szCs w:val="18"/>
                <w:highlight w:val="none"/>
              </w:rPr>
            </w:pPr>
          </w:p>
        </w:tc>
        <w:tc>
          <w:tcPr>
            <w:tcW w:w="2090" w:type="dxa"/>
            <w:tcBorders>
              <w:tl2br w:val="nil"/>
              <w:tr2bl w:val="nil"/>
            </w:tcBorders>
            <w:vAlign w:val="center"/>
          </w:tcPr>
          <w:p w14:paraId="11698552">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217B6B3F">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59E20D71">
            <w:pPr>
              <w:pStyle w:val="13"/>
              <w:jc w:val="center"/>
              <w:rPr>
                <w:rFonts w:hint="eastAsia"/>
                <w:sz w:val="22"/>
                <w:szCs w:val="18"/>
                <w:highlight w:val="none"/>
                <w:lang w:val="en-US" w:eastAsia="zh-CN"/>
              </w:rPr>
            </w:pPr>
          </w:p>
        </w:tc>
      </w:tr>
      <w:tr w14:paraId="4D0F8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6E2D31FD">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一日生活的观察与分析</w:t>
            </w:r>
          </w:p>
        </w:tc>
        <w:tc>
          <w:tcPr>
            <w:tcW w:w="1607" w:type="dxa"/>
            <w:tcBorders>
              <w:tl2br w:val="nil"/>
              <w:tr2bl w:val="nil"/>
            </w:tcBorders>
            <w:vAlign w:val="center"/>
          </w:tcPr>
          <w:p w14:paraId="4E3075AD">
            <w:pPr>
              <w:pStyle w:val="13"/>
              <w:jc w:val="center"/>
              <w:rPr>
                <w:rFonts w:hint="eastAsia"/>
                <w:sz w:val="22"/>
                <w:szCs w:val="18"/>
                <w:highlight w:val="none"/>
              </w:rPr>
            </w:pPr>
          </w:p>
        </w:tc>
        <w:tc>
          <w:tcPr>
            <w:tcW w:w="2090" w:type="dxa"/>
            <w:tcBorders>
              <w:tl2br w:val="nil"/>
              <w:tr2bl w:val="nil"/>
            </w:tcBorders>
            <w:vAlign w:val="center"/>
          </w:tcPr>
          <w:p w14:paraId="0F2BF06D">
            <w:pPr>
              <w:pStyle w:val="13"/>
              <w:jc w:val="center"/>
              <w:rPr>
                <w:rFonts w:hint="eastAsia"/>
                <w:sz w:val="22"/>
                <w:szCs w:val="18"/>
                <w:highlight w:val="none"/>
              </w:rPr>
            </w:pPr>
          </w:p>
        </w:tc>
        <w:tc>
          <w:tcPr>
            <w:tcW w:w="1830" w:type="dxa"/>
            <w:tcBorders>
              <w:tl2br w:val="nil"/>
              <w:tr2bl w:val="nil"/>
            </w:tcBorders>
            <w:vAlign w:val="center"/>
          </w:tcPr>
          <w:p w14:paraId="320866FE">
            <w:pPr>
              <w:pStyle w:val="13"/>
              <w:jc w:val="center"/>
              <w:rPr>
                <w:rFonts w:hint="eastAsia"/>
                <w:sz w:val="22"/>
                <w:szCs w:val="18"/>
                <w:highlight w:val="none"/>
              </w:rPr>
            </w:pPr>
          </w:p>
        </w:tc>
        <w:tc>
          <w:tcPr>
            <w:tcW w:w="1511" w:type="dxa"/>
            <w:tcBorders>
              <w:tl2br w:val="nil"/>
              <w:tr2bl w:val="nil"/>
            </w:tcBorders>
            <w:vAlign w:val="center"/>
          </w:tcPr>
          <w:p w14:paraId="378FD7F5">
            <w:pPr>
              <w:pStyle w:val="13"/>
              <w:jc w:val="center"/>
              <w:rPr>
                <w:rFonts w:hint="eastAsia"/>
                <w:sz w:val="22"/>
                <w:szCs w:val="18"/>
                <w:highlight w:val="none"/>
                <w:lang w:val="en-US" w:eastAsia="zh-CN"/>
              </w:rPr>
            </w:pPr>
            <w:r>
              <w:rPr>
                <w:rFonts w:hint="default" w:ascii="Arial" w:hAnsi="Arial" w:cs="Arial"/>
                <w:sz w:val="22"/>
                <w:szCs w:val="18"/>
                <w:highlight w:val="none"/>
              </w:rPr>
              <w:t>√</w:t>
            </w:r>
          </w:p>
        </w:tc>
      </w:tr>
      <w:tr w14:paraId="33782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76BD89F4">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日记描述法</w:t>
            </w:r>
          </w:p>
        </w:tc>
        <w:tc>
          <w:tcPr>
            <w:tcW w:w="1607" w:type="dxa"/>
            <w:tcBorders>
              <w:tl2br w:val="nil"/>
              <w:tr2bl w:val="nil"/>
            </w:tcBorders>
            <w:vAlign w:val="center"/>
          </w:tcPr>
          <w:p w14:paraId="63BEF2F4">
            <w:pPr>
              <w:pStyle w:val="13"/>
              <w:jc w:val="center"/>
              <w:rPr>
                <w:rFonts w:hint="eastAsia"/>
                <w:sz w:val="22"/>
                <w:szCs w:val="18"/>
                <w:highlight w:val="none"/>
              </w:rPr>
            </w:pPr>
          </w:p>
        </w:tc>
        <w:tc>
          <w:tcPr>
            <w:tcW w:w="2090" w:type="dxa"/>
            <w:tcBorders>
              <w:tl2br w:val="nil"/>
              <w:tr2bl w:val="nil"/>
            </w:tcBorders>
            <w:vAlign w:val="center"/>
          </w:tcPr>
          <w:p w14:paraId="60B902C5">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6F211973">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4459D76D">
            <w:pPr>
              <w:pStyle w:val="13"/>
              <w:jc w:val="center"/>
              <w:rPr>
                <w:rFonts w:hint="eastAsia"/>
                <w:sz w:val="22"/>
                <w:szCs w:val="18"/>
                <w:highlight w:val="none"/>
                <w:lang w:val="en-US" w:eastAsia="zh-CN"/>
              </w:rPr>
            </w:pPr>
          </w:p>
        </w:tc>
      </w:tr>
      <w:tr w14:paraId="333BE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316C9070">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取样观察法</w:t>
            </w:r>
          </w:p>
        </w:tc>
        <w:tc>
          <w:tcPr>
            <w:tcW w:w="1607" w:type="dxa"/>
            <w:tcBorders>
              <w:tl2br w:val="nil"/>
              <w:tr2bl w:val="nil"/>
            </w:tcBorders>
            <w:vAlign w:val="center"/>
          </w:tcPr>
          <w:p w14:paraId="21820984">
            <w:pPr>
              <w:pStyle w:val="13"/>
              <w:jc w:val="center"/>
              <w:rPr>
                <w:rFonts w:hint="eastAsia"/>
                <w:sz w:val="22"/>
                <w:szCs w:val="18"/>
                <w:highlight w:val="none"/>
              </w:rPr>
            </w:pPr>
          </w:p>
        </w:tc>
        <w:tc>
          <w:tcPr>
            <w:tcW w:w="2090" w:type="dxa"/>
            <w:tcBorders>
              <w:tl2br w:val="nil"/>
              <w:tr2bl w:val="nil"/>
            </w:tcBorders>
            <w:vAlign w:val="center"/>
          </w:tcPr>
          <w:p w14:paraId="18400548">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3805D8CD">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0CAF84E1">
            <w:pPr>
              <w:pStyle w:val="13"/>
              <w:jc w:val="center"/>
              <w:rPr>
                <w:rFonts w:hint="eastAsia"/>
                <w:sz w:val="22"/>
                <w:szCs w:val="18"/>
                <w:highlight w:val="none"/>
                <w:lang w:val="en-US" w:eastAsia="zh-CN"/>
              </w:rPr>
            </w:pPr>
          </w:p>
        </w:tc>
      </w:tr>
      <w:tr w14:paraId="78487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541ED733">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评定观察法</w:t>
            </w:r>
          </w:p>
        </w:tc>
        <w:tc>
          <w:tcPr>
            <w:tcW w:w="1607" w:type="dxa"/>
            <w:tcBorders>
              <w:tl2br w:val="nil"/>
              <w:tr2bl w:val="nil"/>
            </w:tcBorders>
            <w:vAlign w:val="center"/>
          </w:tcPr>
          <w:p w14:paraId="41C1034C">
            <w:pPr>
              <w:pStyle w:val="13"/>
              <w:jc w:val="center"/>
              <w:rPr>
                <w:rFonts w:hint="eastAsia"/>
                <w:sz w:val="22"/>
                <w:szCs w:val="18"/>
                <w:highlight w:val="none"/>
              </w:rPr>
            </w:pPr>
          </w:p>
        </w:tc>
        <w:tc>
          <w:tcPr>
            <w:tcW w:w="2090" w:type="dxa"/>
            <w:tcBorders>
              <w:tl2br w:val="nil"/>
              <w:tr2bl w:val="nil"/>
            </w:tcBorders>
            <w:vAlign w:val="center"/>
          </w:tcPr>
          <w:p w14:paraId="305A006B">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30C06F3E">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33303788">
            <w:pPr>
              <w:pStyle w:val="13"/>
              <w:jc w:val="center"/>
              <w:rPr>
                <w:rFonts w:hint="eastAsia"/>
                <w:sz w:val="22"/>
                <w:szCs w:val="18"/>
                <w:highlight w:val="none"/>
                <w:lang w:val="en-US" w:eastAsia="zh-CN"/>
              </w:rPr>
            </w:pPr>
          </w:p>
        </w:tc>
      </w:tr>
    </w:tbl>
    <w:p w14:paraId="7EB0A561">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8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21"/>
        <w:gridCol w:w="1791"/>
        <w:gridCol w:w="2022"/>
        <w:gridCol w:w="1884"/>
      </w:tblGrid>
      <w:tr w14:paraId="0015B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58" w:type="dxa"/>
            <w:tcBorders>
              <w:tl2br w:val="nil"/>
              <w:tr2bl w:val="nil"/>
            </w:tcBorders>
          </w:tcPr>
          <w:p w14:paraId="30E77B94">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单元</w:t>
            </w:r>
          </w:p>
        </w:tc>
        <w:tc>
          <w:tcPr>
            <w:tcW w:w="1921" w:type="dxa"/>
            <w:tcBorders>
              <w:tl2br w:val="nil"/>
              <w:tr2bl w:val="nil"/>
            </w:tcBorders>
          </w:tcPr>
          <w:p w14:paraId="499422A1">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学习内容</w:t>
            </w:r>
          </w:p>
        </w:tc>
        <w:tc>
          <w:tcPr>
            <w:tcW w:w="1791" w:type="dxa"/>
            <w:tcBorders>
              <w:tl2br w:val="nil"/>
              <w:tr2bl w:val="nil"/>
            </w:tcBorders>
          </w:tcPr>
          <w:p w14:paraId="5AF43397">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能力要求</w:t>
            </w:r>
          </w:p>
        </w:tc>
        <w:tc>
          <w:tcPr>
            <w:tcW w:w="2022" w:type="dxa"/>
            <w:tcBorders>
              <w:tl2br w:val="nil"/>
              <w:tr2bl w:val="nil"/>
            </w:tcBorders>
          </w:tcPr>
          <w:p w14:paraId="7FBCBE52">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学习难点</w:t>
            </w:r>
          </w:p>
        </w:tc>
        <w:tc>
          <w:tcPr>
            <w:tcW w:w="1884" w:type="dxa"/>
            <w:tcBorders>
              <w:tl2br w:val="nil"/>
              <w:tr2bl w:val="nil"/>
            </w:tcBorders>
          </w:tcPr>
          <w:p w14:paraId="310FC3DD">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作业及要求</w:t>
            </w:r>
          </w:p>
        </w:tc>
      </w:tr>
      <w:tr w14:paraId="50E9A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3B55F21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学前儿童行为观察概述</w:t>
            </w:r>
          </w:p>
          <w:p w14:paraId="69D70A5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72581CE4">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理解学前教育行为观察的定义</w:t>
            </w:r>
          </w:p>
          <w:p w14:paraId="37736EA3">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知道学前教育行为观察的种类</w:t>
            </w:r>
          </w:p>
          <w:p w14:paraId="44A2FC97">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知道学前儿童行为观察的意义与基本过程</w:t>
            </w:r>
          </w:p>
        </w:tc>
        <w:tc>
          <w:tcPr>
            <w:tcW w:w="1791" w:type="dxa"/>
            <w:tcBorders>
              <w:tl2br w:val="nil"/>
              <w:tr2bl w:val="nil"/>
            </w:tcBorders>
          </w:tcPr>
          <w:p w14:paraId="5E80E6C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1.能够列举学前儿童行为观察所包含的种类，并能简要表述其中的区别与联系</w:t>
            </w:r>
          </w:p>
          <w:p w14:paraId="5BB8DE6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2.能够说明教师工作离不开观察</w:t>
            </w:r>
          </w:p>
        </w:tc>
        <w:tc>
          <w:tcPr>
            <w:tcW w:w="2022" w:type="dxa"/>
            <w:tcBorders>
              <w:tl2br w:val="nil"/>
              <w:tr2bl w:val="nil"/>
            </w:tcBorders>
          </w:tcPr>
          <w:p w14:paraId="6FBB8B1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1.了解学前儿童行为观察的误区</w:t>
            </w:r>
          </w:p>
          <w:p w14:paraId="3D6B957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2.熟知学前儿童行为观察的基本过程</w:t>
            </w:r>
          </w:p>
        </w:tc>
        <w:tc>
          <w:tcPr>
            <w:tcW w:w="1884" w:type="dxa"/>
            <w:tcBorders>
              <w:tl2br w:val="nil"/>
              <w:tr2bl w:val="nil"/>
            </w:tcBorders>
          </w:tcPr>
          <w:p w14:paraId="1323189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按照理解写一份观察记录</w:t>
            </w:r>
          </w:p>
        </w:tc>
      </w:tr>
      <w:tr w14:paraId="4C599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1201FDA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轶事记录法</w:t>
            </w:r>
          </w:p>
          <w:p w14:paraId="253254A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6</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5D35D95E">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了解轶事记录法的含义</w:t>
            </w:r>
          </w:p>
          <w:p w14:paraId="25A3BB99">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了解轶事记录法的优点和局限</w:t>
            </w:r>
          </w:p>
          <w:p w14:paraId="4400C950">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理解轶事记录法的具体实施步骤</w:t>
            </w:r>
          </w:p>
        </w:tc>
        <w:tc>
          <w:tcPr>
            <w:tcW w:w="1791" w:type="dxa"/>
            <w:tcBorders>
              <w:tl2br w:val="nil"/>
              <w:tr2bl w:val="nil"/>
            </w:tcBorders>
          </w:tcPr>
          <w:p w14:paraId="6BB38FCF">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能够确定观察主题</w:t>
            </w:r>
          </w:p>
          <w:p w14:paraId="21197F15">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能够选取适当的记录方式</w:t>
            </w:r>
          </w:p>
          <w:p w14:paraId="63E42C1C">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能够在观察过程中，做好观察记录</w:t>
            </w:r>
          </w:p>
        </w:tc>
        <w:tc>
          <w:tcPr>
            <w:tcW w:w="2022" w:type="dxa"/>
            <w:tcBorders>
              <w:tl2br w:val="nil"/>
              <w:tr2bl w:val="nil"/>
            </w:tcBorders>
          </w:tcPr>
          <w:p w14:paraId="7D609D9D">
            <w:pPr>
              <w:widowControl w:val="0"/>
              <w:numPr>
                <w:ilvl w:val="0"/>
                <w:numId w:val="5"/>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观察主题及记录方式的选取</w:t>
            </w:r>
          </w:p>
          <w:p w14:paraId="35386F39">
            <w:pPr>
              <w:widowControl w:val="0"/>
              <w:numPr>
                <w:ilvl w:val="0"/>
                <w:numId w:val="5"/>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观察记录过程的实施步骤</w:t>
            </w:r>
          </w:p>
        </w:tc>
        <w:tc>
          <w:tcPr>
            <w:tcW w:w="1884" w:type="dxa"/>
            <w:tcBorders>
              <w:tl2br w:val="nil"/>
              <w:tr2bl w:val="nil"/>
            </w:tcBorders>
          </w:tcPr>
          <w:p w14:paraId="6FB97E0C">
            <w:pPr>
              <w:widowControl w:val="0"/>
              <w:numPr>
                <w:ilvl w:val="0"/>
                <w:numId w:val="0"/>
              </w:numPr>
              <w:snapToGrid w:val="0"/>
              <w:spacing w:line="288" w:lineRule="auto"/>
              <w:ind w:leftChars="0" w:right="26" w:rightChars="0"/>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按照模板修改观察记录</w:t>
            </w:r>
          </w:p>
        </w:tc>
      </w:tr>
      <w:tr w14:paraId="51F2B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tcBorders>
              <w:tl2br w:val="nil"/>
              <w:tr2bl w:val="nil"/>
            </w:tcBorders>
          </w:tcPr>
          <w:p w14:paraId="1B586FD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一日生活的观察与分析</w:t>
            </w:r>
          </w:p>
          <w:p w14:paraId="7E27FB8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10</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2450DD93">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了解对一日生活进行观察与分析的意义</w:t>
            </w:r>
          </w:p>
          <w:p w14:paraId="2CA492BA">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掌握一日生活的观察要点</w:t>
            </w:r>
          </w:p>
          <w:p w14:paraId="22B21D52">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理解一日活动观察的内容及分析与指导的要点</w:t>
            </w:r>
          </w:p>
        </w:tc>
        <w:tc>
          <w:tcPr>
            <w:tcW w:w="1791" w:type="dxa"/>
            <w:tcBorders>
              <w:tl2br w:val="nil"/>
              <w:tr2bl w:val="nil"/>
            </w:tcBorders>
          </w:tcPr>
          <w:p w14:paraId="274E5647">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能够分别简要说明五大领域的观察要点</w:t>
            </w:r>
          </w:p>
          <w:p w14:paraId="0562FADC">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能够简要阐述对一日生活活动进行观察与的分析的意义</w:t>
            </w:r>
          </w:p>
          <w:p w14:paraId="17DFF421">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能够对于游戏、生活出现的问题，进行分析与指导</w:t>
            </w:r>
          </w:p>
        </w:tc>
        <w:tc>
          <w:tcPr>
            <w:tcW w:w="2022" w:type="dxa"/>
            <w:tcBorders>
              <w:tl2br w:val="nil"/>
              <w:tr2bl w:val="nil"/>
            </w:tcBorders>
          </w:tcPr>
          <w:p w14:paraId="54659D56">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了解各个领域的观察要点、分析与指导</w:t>
            </w:r>
          </w:p>
          <w:p w14:paraId="582AFF8B">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熟知游戏活动的观察要点、分析与指导</w:t>
            </w:r>
          </w:p>
          <w:p w14:paraId="45D3387A">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熟知生活活动的观察要点、分析与指导</w:t>
            </w:r>
          </w:p>
          <w:p w14:paraId="4C1DD016">
            <w:pPr>
              <w:widowControl w:val="0"/>
              <w:snapToGrid w:val="0"/>
              <w:spacing w:line="288" w:lineRule="auto"/>
              <w:ind w:right="26"/>
              <w:jc w:val="both"/>
              <w:rPr>
                <w:rFonts w:hint="eastAsia" w:ascii="宋体" w:hAnsi="宋体" w:eastAsia="宋体" w:cs="宋体"/>
                <w:b w:val="0"/>
                <w:bCs w:val="0"/>
                <w:kern w:val="0"/>
                <w:sz w:val="21"/>
                <w:szCs w:val="21"/>
              </w:rPr>
            </w:pPr>
          </w:p>
        </w:tc>
        <w:tc>
          <w:tcPr>
            <w:tcW w:w="1884" w:type="dxa"/>
            <w:tcBorders>
              <w:tl2br w:val="nil"/>
              <w:tr2bl w:val="nil"/>
            </w:tcBorders>
          </w:tcPr>
          <w:p w14:paraId="6DFE950C">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按照讲解修改描述</w:t>
            </w:r>
            <w:r>
              <w:rPr>
                <w:rFonts w:hint="eastAsia" w:cs="宋体"/>
                <w:kern w:val="0"/>
                <w:sz w:val="21"/>
                <w:szCs w:val="21"/>
                <w:lang w:eastAsia="zh-CN"/>
              </w:rPr>
              <w:t>、</w:t>
            </w:r>
            <w:r>
              <w:rPr>
                <w:rFonts w:hint="eastAsia" w:cs="宋体"/>
                <w:kern w:val="0"/>
                <w:sz w:val="21"/>
                <w:szCs w:val="21"/>
                <w:lang w:val="en-US" w:eastAsia="zh-CN"/>
              </w:rPr>
              <w:t>分析</w:t>
            </w:r>
            <w:r>
              <w:rPr>
                <w:rFonts w:hint="eastAsia" w:ascii="宋体" w:hAnsi="宋体" w:eastAsia="宋体" w:cs="宋体"/>
                <w:kern w:val="0"/>
                <w:sz w:val="21"/>
                <w:szCs w:val="21"/>
              </w:rPr>
              <w:t>部分</w:t>
            </w:r>
          </w:p>
        </w:tc>
      </w:tr>
      <w:tr w14:paraId="2FE7E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12B42B1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日记描述法</w:t>
            </w:r>
          </w:p>
          <w:p w14:paraId="6A8B6D2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2</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788F995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1.了解日记描述法的含义</w:t>
            </w:r>
          </w:p>
          <w:p w14:paraId="59373431">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2.了解日记描述法的优点和局限</w:t>
            </w:r>
          </w:p>
          <w:p w14:paraId="0AC4F41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3.理解日记描述法的具体实施注意事项</w:t>
            </w:r>
          </w:p>
        </w:tc>
        <w:tc>
          <w:tcPr>
            <w:tcW w:w="1791" w:type="dxa"/>
            <w:tcBorders>
              <w:tl2br w:val="nil"/>
              <w:tr2bl w:val="nil"/>
            </w:tcBorders>
          </w:tcPr>
          <w:p w14:paraId="567A073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1.了解日记描述法的悠久历史</w:t>
            </w:r>
          </w:p>
          <w:p w14:paraId="41A076D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2.掌握日记描述法的特点</w:t>
            </w:r>
          </w:p>
        </w:tc>
        <w:tc>
          <w:tcPr>
            <w:tcW w:w="2022" w:type="dxa"/>
            <w:tcBorders>
              <w:tl2br w:val="nil"/>
              <w:tr2bl w:val="nil"/>
            </w:tcBorders>
          </w:tcPr>
          <w:p w14:paraId="4022A02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掌握日记描述法的具体实施注意事项</w:t>
            </w:r>
          </w:p>
        </w:tc>
        <w:tc>
          <w:tcPr>
            <w:tcW w:w="1884" w:type="dxa"/>
            <w:tcBorders>
              <w:tl2br w:val="nil"/>
              <w:tr2bl w:val="nil"/>
            </w:tcBorders>
          </w:tcPr>
          <w:p w14:paraId="1FEDBE2E">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阅读陈鹤琴的观察记录</w:t>
            </w:r>
          </w:p>
          <w:p w14:paraId="5F434EB6">
            <w:pPr>
              <w:widowControl w:val="0"/>
              <w:snapToGrid w:val="0"/>
              <w:spacing w:line="288" w:lineRule="auto"/>
              <w:ind w:right="26"/>
              <w:jc w:val="both"/>
              <w:rPr>
                <w:rFonts w:hint="eastAsia" w:ascii="宋体" w:hAnsi="宋体" w:eastAsia="宋体" w:cs="宋体"/>
                <w:b w:val="0"/>
                <w:bCs w:val="0"/>
                <w:kern w:val="0"/>
                <w:sz w:val="21"/>
                <w:szCs w:val="21"/>
              </w:rPr>
            </w:pPr>
          </w:p>
        </w:tc>
      </w:tr>
      <w:tr w14:paraId="7739F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1058" w:type="dxa"/>
            <w:tcBorders>
              <w:tl2br w:val="nil"/>
              <w:tr2bl w:val="nil"/>
            </w:tcBorders>
          </w:tcPr>
          <w:p w14:paraId="100E94B6">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取样观察法</w:t>
            </w:r>
          </w:p>
          <w:p w14:paraId="41A1471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25E89FAF">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了解时间事件/取样法的含义</w:t>
            </w:r>
          </w:p>
          <w:p w14:paraId="001A3005">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了解时间/事件取样法的优点和局限</w:t>
            </w:r>
          </w:p>
          <w:p w14:paraId="78CC4FFD">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理解时间/事件取样法的具体实施步骤</w:t>
            </w:r>
          </w:p>
        </w:tc>
        <w:tc>
          <w:tcPr>
            <w:tcW w:w="1791" w:type="dxa"/>
            <w:tcBorders>
              <w:tl2br w:val="nil"/>
              <w:tr2bl w:val="nil"/>
            </w:tcBorders>
          </w:tcPr>
          <w:p w14:paraId="7E2DD29F">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能够简要分析时间/事件取样法的优点与局限</w:t>
            </w:r>
          </w:p>
          <w:p w14:paraId="6D02B96B">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能够根据实际观察情况，设定适当的观察时间，并制作观察量表，并选择适当的观察方式，整理分析记录材料，合理推定结论</w:t>
            </w:r>
          </w:p>
        </w:tc>
        <w:tc>
          <w:tcPr>
            <w:tcW w:w="2022" w:type="dxa"/>
            <w:tcBorders>
              <w:tl2br w:val="nil"/>
              <w:tr2bl w:val="nil"/>
            </w:tcBorders>
          </w:tcPr>
          <w:p w14:paraId="1A1801B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1．恰当观察样本的选择</w:t>
            </w:r>
          </w:p>
          <w:p w14:paraId="1165299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2.观察量表的编制</w:t>
            </w:r>
          </w:p>
          <w:p w14:paraId="6F66F6D8">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相关材料的整理与记录分析</w:t>
            </w:r>
          </w:p>
          <w:p w14:paraId="5EDB869C">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观察结果的灵活记录</w:t>
            </w:r>
          </w:p>
        </w:tc>
        <w:tc>
          <w:tcPr>
            <w:tcW w:w="1884" w:type="dxa"/>
            <w:tcBorders>
              <w:tl2br w:val="nil"/>
              <w:tr2bl w:val="nil"/>
            </w:tcBorders>
          </w:tcPr>
          <w:p w14:paraId="5AA311F0">
            <w:pPr>
              <w:widowControl w:val="0"/>
              <w:numPr>
                <w:ilvl w:val="0"/>
                <w:numId w:val="0"/>
              </w:numPr>
              <w:snapToGrid w:val="0"/>
              <w:spacing w:line="288" w:lineRule="auto"/>
              <w:ind w:leftChars="0" w:right="26" w:rightChars="0"/>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阅读一篇相关硕士论文</w:t>
            </w:r>
          </w:p>
        </w:tc>
      </w:tr>
      <w:tr w14:paraId="5C4FE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1058" w:type="dxa"/>
            <w:tcBorders>
              <w:tl2br w:val="nil"/>
              <w:tr2bl w:val="nil"/>
            </w:tcBorders>
          </w:tcPr>
          <w:p w14:paraId="483EC6C6">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评定观察法</w:t>
            </w:r>
          </w:p>
          <w:p w14:paraId="0EA3167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p w14:paraId="78985F23">
            <w:pPr>
              <w:widowControl w:val="0"/>
              <w:snapToGrid w:val="0"/>
              <w:spacing w:line="288" w:lineRule="auto"/>
              <w:ind w:right="26"/>
              <w:jc w:val="both"/>
              <w:rPr>
                <w:rFonts w:hint="eastAsia" w:ascii="宋体" w:hAnsi="宋体" w:eastAsia="宋体" w:cs="宋体"/>
                <w:b w:val="0"/>
                <w:bCs w:val="0"/>
                <w:kern w:val="0"/>
                <w:sz w:val="21"/>
                <w:szCs w:val="21"/>
              </w:rPr>
            </w:pPr>
          </w:p>
        </w:tc>
        <w:tc>
          <w:tcPr>
            <w:tcW w:w="1921" w:type="dxa"/>
            <w:tcBorders>
              <w:tl2br w:val="nil"/>
              <w:tr2bl w:val="nil"/>
            </w:tcBorders>
          </w:tcPr>
          <w:p w14:paraId="45B2920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1.了解等级评定观察和行为检核观察的含义</w:t>
            </w:r>
          </w:p>
          <w:p w14:paraId="3A60467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2.了解评定观察的优点和局限</w:t>
            </w:r>
          </w:p>
          <w:p w14:paraId="7A11500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3.理解评定观察法的具体运用方法</w:t>
            </w:r>
          </w:p>
          <w:p w14:paraId="17310E59">
            <w:pPr>
              <w:widowControl w:val="0"/>
              <w:snapToGrid w:val="0"/>
              <w:spacing w:line="288" w:lineRule="auto"/>
              <w:ind w:right="26"/>
              <w:jc w:val="both"/>
              <w:rPr>
                <w:rFonts w:hint="eastAsia" w:ascii="宋体" w:hAnsi="宋体" w:eastAsia="宋体" w:cs="宋体"/>
                <w:b w:val="0"/>
                <w:bCs w:val="0"/>
                <w:kern w:val="0"/>
                <w:sz w:val="21"/>
                <w:szCs w:val="21"/>
              </w:rPr>
            </w:pPr>
          </w:p>
        </w:tc>
        <w:tc>
          <w:tcPr>
            <w:tcW w:w="1791" w:type="dxa"/>
            <w:tcBorders>
              <w:tl2br w:val="nil"/>
              <w:tr2bl w:val="nil"/>
            </w:tcBorders>
          </w:tcPr>
          <w:p w14:paraId="35235BF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1.能设计等级评定表</w:t>
            </w:r>
          </w:p>
          <w:p w14:paraId="316EBBA1">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能设计行为检核表</w:t>
            </w:r>
          </w:p>
        </w:tc>
        <w:tc>
          <w:tcPr>
            <w:tcW w:w="2022" w:type="dxa"/>
            <w:tcBorders>
              <w:tl2br w:val="nil"/>
              <w:tr2bl w:val="nil"/>
            </w:tcBorders>
          </w:tcPr>
          <w:p w14:paraId="67A3DB94">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1.掌握等级评定法的设计注意事项</w:t>
            </w:r>
          </w:p>
          <w:p w14:paraId="74292E4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2.掌握行为检核表设计的注意事项</w:t>
            </w:r>
          </w:p>
        </w:tc>
        <w:tc>
          <w:tcPr>
            <w:tcW w:w="1884" w:type="dxa"/>
            <w:tcBorders>
              <w:tl2br w:val="nil"/>
              <w:tr2bl w:val="nil"/>
            </w:tcBorders>
          </w:tcPr>
          <w:p w14:paraId="09CDFA9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lang w:eastAsia="zh-CN"/>
              </w:rPr>
              <w:t>制作一份等级评定表</w:t>
            </w:r>
          </w:p>
        </w:tc>
      </w:tr>
      <w:tr w14:paraId="49720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058" w:type="dxa"/>
            <w:tcBorders>
              <w:tl2br w:val="nil"/>
              <w:tr2bl w:val="nil"/>
            </w:tcBorders>
          </w:tcPr>
          <w:p w14:paraId="53C3028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复习与答疑</w:t>
            </w:r>
          </w:p>
          <w:p w14:paraId="36A2BF5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2课时）</w:t>
            </w:r>
          </w:p>
        </w:tc>
        <w:tc>
          <w:tcPr>
            <w:tcW w:w="1921" w:type="dxa"/>
            <w:tcBorders>
              <w:tl2br w:val="nil"/>
              <w:tr2bl w:val="nil"/>
            </w:tcBorders>
          </w:tcPr>
          <w:p w14:paraId="6691C4C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对本学期所学内容有全面的掌握</w:t>
            </w:r>
          </w:p>
        </w:tc>
        <w:tc>
          <w:tcPr>
            <w:tcW w:w="1791" w:type="dxa"/>
            <w:tcBorders>
              <w:tl2br w:val="nil"/>
              <w:tr2bl w:val="nil"/>
            </w:tcBorders>
          </w:tcPr>
          <w:p w14:paraId="3007EB4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能清晰自己的困惑</w:t>
            </w:r>
          </w:p>
        </w:tc>
        <w:tc>
          <w:tcPr>
            <w:tcW w:w="2022" w:type="dxa"/>
            <w:tcBorders>
              <w:tl2br w:val="nil"/>
              <w:tr2bl w:val="nil"/>
            </w:tcBorders>
          </w:tcPr>
          <w:p w14:paraId="7D01C6C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回答各个同学的疑惑</w:t>
            </w:r>
          </w:p>
        </w:tc>
        <w:tc>
          <w:tcPr>
            <w:tcW w:w="1884" w:type="dxa"/>
            <w:tcBorders>
              <w:tl2br w:val="nil"/>
              <w:tr2bl w:val="nil"/>
            </w:tcBorders>
          </w:tcPr>
          <w:p w14:paraId="7C3CF899">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备考、撰写一份学习小结</w:t>
            </w:r>
          </w:p>
        </w:tc>
      </w:tr>
    </w:tbl>
    <w:p w14:paraId="6467A956">
      <w:pPr>
        <w:pStyle w:val="17"/>
        <w:spacing w:before="81" w:after="163"/>
      </w:pPr>
      <w:r>
        <w:rPr>
          <w:rFonts w:hint="eastAsia"/>
        </w:rPr>
        <w:t>（</w:t>
      </w:r>
      <w:r>
        <w:rPr>
          <w:rFonts w:hint="eastAsia"/>
          <w:lang w:val="en-US" w:eastAsia="zh-CN"/>
        </w:rPr>
        <w:t>三</w:t>
      </w: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23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E97D4F0">
            <w:pPr>
              <w:pStyle w:val="13"/>
              <w:ind w:firstLine="489"/>
              <w:jc w:val="right"/>
              <w:rPr>
                <w:szCs w:val="16"/>
              </w:rPr>
            </w:pPr>
            <w:r>
              <w:rPr>
                <w:rFonts w:hint="eastAsia"/>
                <w:szCs w:val="16"/>
              </w:rPr>
              <w:t>课程目标</w:t>
            </w:r>
          </w:p>
          <w:p w14:paraId="3A1F4B75">
            <w:pPr>
              <w:pStyle w:val="13"/>
              <w:ind w:right="210"/>
              <w:jc w:val="left"/>
              <w:rPr>
                <w:rFonts w:hint="eastAsia"/>
                <w:szCs w:val="16"/>
              </w:rPr>
            </w:pPr>
          </w:p>
          <w:p w14:paraId="745E5DD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FDCD976">
            <w:pPr>
              <w:pStyle w:val="13"/>
              <w:rPr>
                <w:rFonts w:hint="eastAsia" w:eastAsia="黑体"/>
                <w:szCs w:val="16"/>
                <w:lang w:val="en-US" w:eastAsia="zh-CN"/>
              </w:rPr>
            </w:pPr>
            <w:r>
              <w:rPr>
                <w:rFonts w:hint="eastAsia"/>
                <w:szCs w:val="16"/>
                <w:lang w:val="en-US" w:eastAsia="zh-CN"/>
              </w:rPr>
              <w:t>目标1</w:t>
            </w:r>
          </w:p>
        </w:tc>
        <w:tc>
          <w:tcPr>
            <w:tcW w:w="1100" w:type="dxa"/>
            <w:tcBorders>
              <w:top w:val="single" w:color="auto" w:sz="12" w:space="0"/>
            </w:tcBorders>
            <w:vAlign w:val="center"/>
          </w:tcPr>
          <w:p w14:paraId="3DBF05A3">
            <w:pPr>
              <w:pStyle w:val="13"/>
              <w:rPr>
                <w:rFonts w:hint="eastAsia" w:eastAsia="黑体"/>
                <w:szCs w:val="16"/>
                <w:lang w:val="en-US" w:eastAsia="zh-CN"/>
              </w:rPr>
            </w:pPr>
            <w:r>
              <w:rPr>
                <w:rFonts w:hint="eastAsia"/>
                <w:szCs w:val="16"/>
                <w:lang w:val="en-US" w:eastAsia="zh-CN"/>
              </w:rPr>
              <w:t>目标2</w:t>
            </w:r>
          </w:p>
        </w:tc>
        <w:tc>
          <w:tcPr>
            <w:tcW w:w="1100" w:type="dxa"/>
            <w:tcBorders>
              <w:top w:val="single" w:color="auto" w:sz="12" w:space="0"/>
            </w:tcBorders>
            <w:vAlign w:val="center"/>
          </w:tcPr>
          <w:p w14:paraId="3B68B836">
            <w:pPr>
              <w:pStyle w:val="13"/>
              <w:rPr>
                <w:rFonts w:hint="eastAsia" w:eastAsia="黑体"/>
                <w:szCs w:val="16"/>
                <w:lang w:val="en-US" w:eastAsia="zh-CN"/>
              </w:rPr>
            </w:pPr>
            <w:r>
              <w:rPr>
                <w:rFonts w:hint="eastAsia"/>
                <w:szCs w:val="16"/>
                <w:lang w:val="en-US" w:eastAsia="zh-CN"/>
              </w:rPr>
              <w:t>目标3</w:t>
            </w:r>
          </w:p>
        </w:tc>
        <w:tc>
          <w:tcPr>
            <w:tcW w:w="1099" w:type="dxa"/>
            <w:tcBorders>
              <w:top w:val="single" w:color="auto" w:sz="12" w:space="0"/>
            </w:tcBorders>
            <w:vAlign w:val="center"/>
          </w:tcPr>
          <w:p w14:paraId="2FA3ED1B">
            <w:pPr>
              <w:pStyle w:val="13"/>
              <w:rPr>
                <w:rFonts w:hint="eastAsia" w:eastAsia="黑体"/>
                <w:szCs w:val="16"/>
                <w:lang w:val="en-US" w:eastAsia="zh-CN"/>
              </w:rPr>
            </w:pPr>
            <w:r>
              <w:rPr>
                <w:rFonts w:hint="eastAsia"/>
                <w:szCs w:val="16"/>
                <w:lang w:val="en-US" w:eastAsia="zh-CN"/>
              </w:rPr>
              <w:t>目标4</w:t>
            </w:r>
          </w:p>
        </w:tc>
        <w:tc>
          <w:tcPr>
            <w:tcW w:w="1099" w:type="dxa"/>
            <w:tcBorders>
              <w:top w:val="single" w:color="auto" w:sz="12" w:space="0"/>
            </w:tcBorders>
            <w:vAlign w:val="center"/>
          </w:tcPr>
          <w:p w14:paraId="1AB5E2C2">
            <w:pPr>
              <w:pStyle w:val="13"/>
              <w:rPr>
                <w:rFonts w:hint="eastAsia" w:eastAsia="黑体"/>
                <w:szCs w:val="16"/>
                <w:lang w:val="en-US" w:eastAsia="zh-CN"/>
              </w:rPr>
            </w:pPr>
            <w:r>
              <w:rPr>
                <w:rFonts w:hint="eastAsia"/>
                <w:szCs w:val="16"/>
                <w:lang w:val="en-US" w:eastAsia="zh-CN"/>
              </w:rPr>
              <w:t>目标5</w:t>
            </w:r>
          </w:p>
        </w:tc>
        <w:tc>
          <w:tcPr>
            <w:tcW w:w="1100" w:type="dxa"/>
            <w:tcBorders>
              <w:top w:val="single" w:color="auto" w:sz="12" w:space="0"/>
              <w:right w:val="single" w:color="auto" w:sz="12" w:space="0"/>
            </w:tcBorders>
            <w:vAlign w:val="center"/>
          </w:tcPr>
          <w:p w14:paraId="02234E49">
            <w:pPr>
              <w:pStyle w:val="13"/>
              <w:rPr>
                <w:rFonts w:hint="eastAsia" w:eastAsia="黑体"/>
                <w:szCs w:val="16"/>
                <w:lang w:val="en-US" w:eastAsia="zh-CN"/>
              </w:rPr>
            </w:pPr>
            <w:r>
              <w:rPr>
                <w:rFonts w:hint="eastAsia"/>
                <w:szCs w:val="16"/>
                <w:lang w:val="en-US" w:eastAsia="zh-CN"/>
              </w:rPr>
              <w:t>目标6</w:t>
            </w:r>
          </w:p>
        </w:tc>
      </w:tr>
      <w:tr w14:paraId="314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50D0A3F">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2D26B41C">
            <w:pPr>
              <w:pStyle w:val="14"/>
              <w:rPr>
                <w:sz w:val="21"/>
                <w:szCs w:val="21"/>
              </w:rPr>
            </w:pPr>
          </w:p>
        </w:tc>
        <w:tc>
          <w:tcPr>
            <w:tcW w:w="1100" w:type="dxa"/>
            <w:vAlign w:val="center"/>
          </w:tcPr>
          <w:p w14:paraId="3CF7A4A6">
            <w:pPr>
              <w:pStyle w:val="14"/>
            </w:pPr>
            <w:r>
              <w:rPr>
                <w:rFonts w:hint="default" w:ascii="Arial" w:hAnsi="Arial" w:cs="Arial"/>
              </w:rPr>
              <w:t>√</w:t>
            </w:r>
          </w:p>
        </w:tc>
        <w:tc>
          <w:tcPr>
            <w:tcW w:w="1100" w:type="dxa"/>
            <w:vAlign w:val="center"/>
          </w:tcPr>
          <w:p w14:paraId="6E0BE66D">
            <w:pPr>
              <w:pStyle w:val="14"/>
            </w:pPr>
          </w:p>
        </w:tc>
        <w:tc>
          <w:tcPr>
            <w:tcW w:w="1100" w:type="dxa"/>
            <w:vAlign w:val="center"/>
          </w:tcPr>
          <w:p w14:paraId="3DD6914A">
            <w:pPr>
              <w:pStyle w:val="14"/>
            </w:pPr>
          </w:p>
        </w:tc>
        <w:tc>
          <w:tcPr>
            <w:tcW w:w="1099" w:type="dxa"/>
            <w:vAlign w:val="center"/>
          </w:tcPr>
          <w:p w14:paraId="7CB2C6C8">
            <w:pPr>
              <w:pStyle w:val="14"/>
            </w:pPr>
          </w:p>
        </w:tc>
        <w:tc>
          <w:tcPr>
            <w:tcW w:w="1099" w:type="dxa"/>
            <w:vAlign w:val="center"/>
          </w:tcPr>
          <w:p w14:paraId="412A3364">
            <w:pPr>
              <w:pStyle w:val="14"/>
            </w:pPr>
            <w:r>
              <w:rPr>
                <w:rFonts w:hint="default" w:ascii="Arial" w:hAnsi="Arial" w:cs="Arial"/>
              </w:rPr>
              <w:t>√</w:t>
            </w:r>
          </w:p>
        </w:tc>
        <w:tc>
          <w:tcPr>
            <w:tcW w:w="1100" w:type="dxa"/>
            <w:tcBorders>
              <w:right w:val="single" w:color="auto" w:sz="12" w:space="0"/>
            </w:tcBorders>
            <w:vAlign w:val="center"/>
          </w:tcPr>
          <w:p w14:paraId="42303A57">
            <w:pPr>
              <w:pStyle w:val="14"/>
            </w:pPr>
            <w:r>
              <w:rPr>
                <w:rFonts w:hint="default" w:ascii="Arial" w:hAnsi="Arial" w:cs="Arial"/>
              </w:rPr>
              <w:t>√</w:t>
            </w:r>
          </w:p>
        </w:tc>
      </w:tr>
      <w:tr w14:paraId="1296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A795C25">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21C69242">
            <w:pPr>
              <w:pStyle w:val="14"/>
              <w:rPr>
                <w:sz w:val="21"/>
                <w:szCs w:val="21"/>
              </w:rPr>
            </w:pPr>
          </w:p>
        </w:tc>
        <w:tc>
          <w:tcPr>
            <w:tcW w:w="1100" w:type="dxa"/>
            <w:vAlign w:val="center"/>
          </w:tcPr>
          <w:p w14:paraId="7E6429B2">
            <w:pPr>
              <w:pStyle w:val="14"/>
            </w:pPr>
          </w:p>
        </w:tc>
        <w:tc>
          <w:tcPr>
            <w:tcW w:w="1100" w:type="dxa"/>
            <w:vAlign w:val="center"/>
          </w:tcPr>
          <w:p w14:paraId="0BDE82DC">
            <w:pPr>
              <w:pStyle w:val="14"/>
            </w:pPr>
            <w:r>
              <w:rPr>
                <w:rFonts w:hint="default" w:ascii="Arial" w:hAnsi="Arial" w:cs="Arial"/>
              </w:rPr>
              <w:t>√</w:t>
            </w:r>
          </w:p>
        </w:tc>
        <w:tc>
          <w:tcPr>
            <w:tcW w:w="1100" w:type="dxa"/>
            <w:vAlign w:val="center"/>
          </w:tcPr>
          <w:p w14:paraId="1F025BA9">
            <w:pPr>
              <w:pStyle w:val="14"/>
            </w:pPr>
            <w:r>
              <w:rPr>
                <w:rFonts w:hint="default" w:ascii="Arial" w:hAnsi="Arial" w:cs="Arial"/>
              </w:rPr>
              <w:t>√</w:t>
            </w:r>
          </w:p>
        </w:tc>
        <w:tc>
          <w:tcPr>
            <w:tcW w:w="1099" w:type="dxa"/>
            <w:vAlign w:val="center"/>
          </w:tcPr>
          <w:p w14:paraId="75ED287D">
            <w:pPr>
              <w:pStyle w:val="14"/>
            </w:pPr>
            <w:r>
              <w:rPr>
                <w:rFonts w:hint="default" w:ascii="Arial" w:hAnsi="Arial" w:cs="Arial"/>
              </w:rPr>
              <w:t>√</w:t>
            </w:r>
          </w:p>
        </w:tc>
        <w:tc>
          <w:tcPr>
            <w:tcW w:w="1099" w:type="dxa"/>
            <w:vAlign w:val="center"/>
          </w:tcPr>
          <w:p w14:paraId="2FC6E74B">
            <w:pPr>
              <w:pStyle w:val="14"/>
            </w:pPr>
            <w:r>
              <w:rPr>
                <w:rFonts w:hint="default" w:ascii="Arial" w:hAnsi="Arial" w:cs="Arial"/>
              </w:rPr>
              <w:t>√</w:t>
            </w:r>
          </w:p>
        </w:tc>
        <w:tc>
          <w:tcPr>
            <w:tcW w:w="1100" w:type="dxa"/>
            <w:tcBorders>
              <w:right w:val="single" w:color="auto" w:sz="12" w:space="0"/>
            </w:tcBorders>
            <w:vAlign w:val="center"/>
          </w:tcPr>
          <w:p w14:paraId="426535F2">
            <w:pPr>
              <w:pStyle w:val="14"/>
            </w:pPr>
            <w:r>
              <w:rPr>
                <w:rFonts w:hint="default" w:ascii="Arial" w:hAnsi="Arial" w:cs="Arial"/>
              </w:rPr>
              <w:t>√</w:t>
            </w:r>
          </w:p>
        </w:tc>
      </w:tr>
      <w:tr w14:paraId="08E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02AA7D6">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1E86151D">
            <w:pPr>
              <w:pStyle w:val="14"/>
              <w:rPr>
                <w:sz w:val="21"/>
                <w:szCs w:val="21"/>
              </w:rPr>
            </w:pPr>
          </w:p>
        </w:tc>
        <w:tc>
          <w:tcPr>
            <w:tcW w:w="1100" w:type="dxa"/>
            <w:vAlign w:val="center"/>
          </w:tcPr>
          <w:p w14:paraId="4E481D4B">
            <w:pPr>
              <w:pStyle w:val="14"/>
            </w:pPr>
            <w:r>
              <w:rPr>
                <w:rFonts w:hint="default" w:ascii="Arial" w:hAnsi="Arial" w:cs="Arial"/>
              </w:rPr>
              <w:t>√</w:t>
            </w:r>
          </w:p>
        </w:tc>
        <w:tc>
          <w:tcPr>
            <w:tcW w:w="1100" w:type="dxa"/>
            <w:vAlign w:val="center"/>
          </w:tcPr>
          <w:p w14:paraId="1E0CB8FE">
            <w:pPr>
              <w:widowControl w:val="0"/>
              <w:snapToGrid w:val="0"/>
              <w:spacing w:line="288" w:lineRule="auto"/>
              <w:ind w:right="26"/>
              <w:jc w:val="both"/>
            </w:pPr>
          </w:p>
        </w:tc>
        <w:tc>
          <w:tcPr>
            <w:tcW w:w="1100" w:type="dxa"/>
            <w:vAlign w:val="center"/>
          </w:tcPr>
          <w:p w14:paraId="662DA7C1">
            <w:pPr>
              <w:pStyle w:val="14"/>
            </w:pPr>
          </w:p>
        </w:tc>
        <w:tc>
          <w:tcPr>
            <w:tcW w:w="1099" w:type="dxa"/>
            <w:vAlign w:val="center"/>
          </w:tcPr>
          <w:p w14:paraId="2B67804B">
            <w:pPr>
              <w:pStyle w:val="14"/>
            </w:pPr>
            <w:r>
              <w:rPr>
                <w:rFonts w:hint="default" w:ascii="Arial" w:hAnsi="Arial" w:cs="Arial"/>
              </w:rPr>
              <w:t>√</w:t>
            </w:r>
          </w:p>
        </w:tc>
        <w:tc>
          <w:tcPr>
            <w:tcW w:w="1099" w:type="dxa"/>
            <w:vAlign w:val="center"/>
          </w:tcPr>
          <w:p w14:paraId="03A01114">
            <w:pPr>
              <w:pStyle w:val="14"/>
            </w:pPr>
            <w:r>
              <w:rPr>
                <w:rFonts w:hint="default" w:ascii="Arial" w:hAnsi="Arial" w:cs="Arial"/>
              </w:rPr>
              <w:t>√</w:t>
            </w:r>
          </w:p>
        </w:tc>
        <w:tc>
          <w:tcPr>
            <w:tcW w:w="1100" w:type="dxa"/>
            <w:tcBorders>
              <w:right w:val="single" w:color="auto" w:sz="12" w:space="0"/>
            </w:tcBorders>
            <w:vAlign w:val="center"/>
          </w:tcPr>
          <w:p w14:paraId="30B6B40F">
            <w:pPr>
              <w:pStyle w:val="14"/>
            </w:pPr>
            <w:r>
              <w:rPr>
                <w:rFonts w:hint="default" w:ascii="Arial" w:hAnsi="Arial" w:cs="Arial"/>
              </w:rPr>
              <w:t>√</w:t>
            </w:r>
          </w:p>
        </w:tc>
      </w:tr>
      <w:tr w14:paraId="18A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F5815D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0ED3597F">
            <w:pPr>
              <w:pStyle w:val="14"/>
              <w:rPr>
                <w:sz w:val="21"/>
                <w:szCs w:val="21"/>
              </w:rPr>
            </w:pPr>
          </w:p>
        </w:tc>
        <w:tc>
          <w:tcPr>
            <w:tcW w:w="1100" w:type="dxa"/>
            <w:vAlign w:val="center"/>
          </w:tcPr>
          <w:p w14:paraId="6470CD52">
            <w:pPr>
              <w:pStyle w:val="14"/>
            </w:pPr>
          </w:p>
        </w:tc>
        <w:tc>
          <w:tcPr>
            <w:tcW w:w="1100" w:type="dxa"/>
            <w:vAlign w:val="center"/>
          </w:tcPr>
          <w:p w14:paraId="6EDE7844">
            <w:pPr>
              <w:pStyle w:val="14"/>
            </w:pPr>
            <w:r>
              <w:rPr>
                <w:rFonts w:hint="default" w:ascii="Arial" w:hAnsi="Arial" w:cs="Arial"/>
              </w:rPr>
              <w:t>√</w:t>
            </w:r>
          </w:p>
        </w:tc>
        <w:tc>
          <w:tcPr>
            <w:tcW w:w="1100" w:type="dxa"/>
            <w:vAlign w:val="center"/>
          </w:tcPr>
          <w:p w14:paraId="7ABF4EF4">
            <w:pPr>
              <w:pStyle w:val="14"/>
              <w:rPr>
                <w:b/>
                <w:bCs/>
              </w:rPr>
            </w:pPr>
            <w:r>
              <w:rPr>
                <w:rFonts w:hint="default" w:ascii="Arial" w:hAnsi="Arial" w:cs="Arial"/>
              </w:rPr>
              <w:t>√</w:t>
            </w:r>
          </w:p>
        </w:tc>
        <w:tc>
          <w:tcPr>
            <w:tcW w:w="1099" w:type="dxa"/>
            <w:vAlign w:val="center"/>
          </w:tcPr>
          <w:p w14:paraId="4025A732">
            <w:pPr>
              <w:pStyle w:val="14"/>
            </w:pPr>
            <w:r>
              <w:rPr>
                <w:rFonts w:hint="default" w:ascii="Arial" w:hAnsi="Arial" w:cs="Arial"/>
              </w:rPr>
              <w:t>√</w:t>
            </w:r>
          </w:p>
        </w:tc>
        <w:tc>
          <w:tcPr>
            <w:tcW w:w="1099" w:type="dxa"/>
            <w:vAlign w:val="center"/>
          </w:tcPr>
          <w:p w14:paraId="11436A3A">
            <w:pPr>
              <w:pStyle w:val="14"/>
            </w:pPr>
            <w:r>
              <w:rPr>
                <w:rFonts w:hint="default" w:ascii="Arial" w:hAnsi="Arial" w:cs="Arial"/>
              </w:rPr>
              <w:t>√</w:t>
            </w:r>
          </w:p>
        </w:tc>
        <w:tc>
          <w:tcPr>
            <w:tcW w:w="1100" w:type="dxa"/>
            <w:tcBorders>
              <w:right w:val="single" w:color="auto" w:sz="12" w:space="0"/>
            </w:tcBorders>
            <w:vAlign w:val="center"/>
          </w:tcPr>
          <w:p w14:paraId="73494863">
            <w:pPr>
              <w:pStyle w:val="14"/>
            </w:pPr>
            <w:r>
              <w:rPr>
                <w:rFonts w:hint="default" w:ascii="Arial" w:hAnsi="Arial" w:cs="Arial"/>
              </w:rPr>
              <w:t>√</w:t>
            </w:r>
          </w:p>
        </w:tc>
      </w:tr>
      <w:tr w14:paraId="6D5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2F6DE8C">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02C8533F">
            <w:pPr>
              <w:pStyle w:val="14"/>
              <w:rPr>
                <w:sz w:val="21"/>
                <w:szCs w:val="21"/>
              </w:rPr>
            </w:pPr>
          </w:p>
        </w:tc>
        <w:tc>
          <w:tcPr>
            <w:tcW w:w="1100" w:type="dxa"/>
            <w:vAlign w:val="center"/>
          </w:tcPr>
          <w:p w14:paraId="658E1216">
            <w:pPr>
              <w:pStyle w:val="14"/>
            </w:pPr>
          </w:p>
        </w:tc>
        <w:tc>
          <w:tcPr>
            <w:tcW w:w="1100" w:type="dxa"/>
            <w:vAlign w:val="center"/>
          </w:tcPr>
          <w:p w14:paraId="48337CCA">
            <w:pPr>
              <w:pStyle w:val="14"/>
            </w:pPr>
            <w:r>
              <w:rPr>
                <w:rFonts w:hint="default" w:ascii="Arial" w:hAnsi="Arial" w:cs="Arial"/>
              </w:rPr>
              <w:t>√</w:t>
            </w:r>
          </w:p>
        </w:tc>
        <w:tc>
          <w:tcPr>
            <w:tcW w:w="1100" w:type="dxa"/>
            <w:vAlign w:val="center"/>
          </w:tcPr>
          <w:p w14:paraId="1DE7B508">
            <w:pPr>
              <w:pStyle w:val="14"/>
            </w:pPr>
            <w:r>
              <w:rPr>
                <w:rFonts w:hint="default" w:ascii="Arial" w:hAnsi="Arial" w:cs="Arial"/>
              </w:rPr>
              <w:t>√</w:t>
            </w:r>
          </w:p>
        </w:tc>
        <w:tc>
          <w:tcPr>
            <w:tcW w:w="1099" w:type="dxa"/>
            <w:vAlign w:val="center"/>
          </w:tcPr>
          <w:p w14:paraId="47B5963F">
            <w:pPr>
              <w:pStyle w:val="14"/>
            </w:pPr>
            <w:r>
              <w:rPr>
                <w:rFonts w:hint="default" w:ascii="Arial" w:hAnsi="Arial" w:cs="Arial"/>
              </w:rPr>
              <w:t>√</w:t>
            </w:r>
          </w:p>
        </w:tc>
        <w:tc>
          <w:tcPr>
            <w:tcW w:w="1099" w:type="dxa"/>
            <w:vAlign w:val="center"/>
          </w:tcPr>
          <w:p w14:paraId="5EA3DE44">
            <w:pPr>
              <w:pStyle w:val="14"/>
            </w:pPr>
            <w:r>
              <w:rPr>
                <w:rFonts w:hint="default" w:ascii="Arial" w:hAnsi="Arial" w:cs="Arial"/>
              </w:rPr>
              <w:t>√</w:t>
            </w:r>
          </w:p>
        </w:tc>
        <w:tc>
          <w:tcPr>
            <w:tcW w:w="1100" w:type="dxa"/>
            <w:tcBorders>
              <w:right w:val="single" w:color="auto" w:sz="12" w:space="0"/>
            </w:tcBorders>
            <w:vAlign w:val="center"/>
          </w:tcPr>
          <w:p w14:paraId="09086824">
            <w:pPr>
              <w:pStyle w:val="14"/>
            </w:pPr>
            <w:r>
              <w:rPr>
                <w:rFonts w:hint="default" w:ascii="Arial" w:hAnsi="Arial" w:cs="Arial"/>
              </w:rPr>
              <w:t>√</w:t>
            </w:r>
          </w:p>
        </w:tc>
      </w:tr>
      <w:tr w14:paraId="1B5F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CB61B6D">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0581570E">
            <w:pPr>
              <w:pStyle w:val="14"/>
              <w:rPr>
                <w:sz w:val="21"/>
                <w:szCs w:val="21"/>
              </w:rPr>
            </w:pPr>
          </w:p>
        </w:tc>
        <w:tc>
          <w:tcPr>
            <w:tcW w:w="1100" w:type="dxa"/>
            <w:vAlign w:val="center"/>
          </w:tcPr>
          <w:p w14:paraId="6D7FE59A">
            <w:pPr>
              <w:pStyle w:val="14"/>
            </w:pPr>
          </w:p>
        </w:tc>
        <w:tc>
          <w:tcPr>
            <w:tcW w:w="1100" w:type="dxa"/>
            <w:vAlign w:val="center"/>
          </w:tcPr>
          <w:p w14:paraId="72A53990">
            <w:pPr>
              <w:pStyle w:val="14"/>
            </w:pPr>
            <w:r>
              <w:rPr>
                <w:rFonts w:hint="default" w:ascii="Arial" w:hAnsi="Arial" w:cs="Arial"/>
              </w:rPr>
              <w:t>√</w:t>
            </w:r>
          </w:p>
        </w:tc>
        <w:tc>
          <w:tcPr>
            <w:tcW w:w="1100" w:type="dxa"/>
            <w:vAlign w:val="center"/>
          </w:tcPr>
          <w:p w14:paraId="36AAD958">
            <w:pPr>
              <w:pStyle w:val="14"/>
            </w:pPr>
            <w:r>
              <w:rPr>
                <w:rFonts w:hint="default" w:ascii="Arial" w:hAnsi="Arial" w:cs="Arial"/>
              </w:rPr>
              <w:t>√</w:t>
            </w:r>
          </w:p>
        </w:tc>
        <w:tc>
          <w:tcPr>
            <w:tcW w:w="1099" w:type="dxa"/>
            <w:vAlign w:val="center"/>
          </w:tcPr>
          <w:p w14:paraId="1C2473F9">
            <w:pPr>
              <w:pStyle w:val="14"/>
            </w:pPr>
            <w:r>
              <w:rPr>
                <w:rFonts w:hint="default" w:ascii="Arial" w:hAnsi="Arial" w:cs="Arial"/>
              </w:rPr>
              <w:t>√</w:t>
            </w:r>
          </w:p>
        </w:tc>
        <w:tc>
          <w:tcPr>
            <w:tcW w:w="1099" w:type="dxa"/>
            <w:vAlign w:val="center"/>
          </w:tcPr>
          <w:p w14:paraId="44DA3C44">
            <w:pPr>
              <w:pStyle w:val="14"/>
            </w:pPr>
            <w:r>
              <w:rPr>
                <w:rFonts w:hint="default" w:ascii="Arial" w:hAnsi="Arial" w:cs="Arial"/>
              </w:rPr>
              <w:t>√</w:t>
            </w:r>
          </w:p>
        </w:tc>
        <w:tc>
          <w:tcPr>
            <w:tcW w:w="1100" w:type="dxa"/>
            <w:tcBorders>
              <w:right w:val="single" w:color="auto" w:sz="12" w:space="0"/>
            </w:tcBorders>
            <w:vAlign w:val="center"/>
          </w:tcPr>
          <w:p w14:paraId="30C563D6">
            <w:pPr>
              <w:pStyle w:val="14"/>
            </w:pPr>
            <w:r>
              <w:rPr>
                <w:rFonts w:hint="default" w:ascii="Arial" w:hAnsi="Arial" w:cs="Arial"/>
              </w:rPr>
              <w:t>√</w:t>
            </w:r>
          </w:p>
        </w:tc>
      </w:tr>
    </w:tbl>
    <w:p w14:paraId="5EB19636">
      <w:pPr>
        <w:pStyle w:val="17"/>
        <w:spacing w:before="326" w:beforeLines="100" w:after="163"/>
      </w:pPr>
      <w:r>
        <w:rPr>
          <w:rFonts w:hint="eastAsia"/>
        </w:rPr>
        <w:t>（</w:t>
      </w:r>
      <w:r>
        <w:rPr>
          <w:rFonts w:hint="eastAsia"/>
          <w:lang w:val="en-US" w:eastAsia="zh-CN"/>
        </w:rPr>
        <w:t>四</w:t>
      </w:r>
      <w:r>
        <w:rPr>
          <w:rFonts w:hint="eastAsia"/>
        </w:rPr>
        <w:t>）课程教学方法与学时分配</w:t>
      </w:r>
    </w:p>
    <w:tbl>
      <w:tblPr>
        <w:tblStyle w:val="8"/>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81"/>
        <w:gridCol w:w="1798"/>
        <w:gridCol w:w="2120"/>
        <w:gridCol w:w="2063"/>
      </w:tblGrid>
      <w:tr w14:paraId="4FC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2082" w:type="dxa"/>
            <w:vMerge w:val="restart"/>
            <w:tcBorders>
              <w:top w:val="single" w:color="auto" w:sz="12" w:space="0"/>
              <w:left w:val="single" w:color="auto" w:sz="12" w:space="0"/>
            </w:tcBorders>
            <w:vAlign w:val="center"/>
          </w:tcPr>
          <w:p w14:paraId="7B0AFF3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798" w:type="dxa"/>
            <w:vMerge w:val="restart"/>
            <w:tcBorders>
              <w:top w:val="single" w:color="auto" w:sz="12" w:space="0"/>
            </w:tcBorders>
            <w:vAlign w:val="center"/>
          </w:tcPr>
          <w:p w14:paraId="62A31B5E">
            <w:pPr>
              <w:pStyle w:val="13"/>
              <w:widowControl w:val="0"/>
              <w:rPr>
                <w:szCs w:val="21"/>
              </w:rPr>
            </w:pPr>
            <w:r>
              <w:rPr>
                <w:rFonts w:hint="eastAsia" w:ascii="黑体" w:hAnsi="黑体"/>
                <w:szCs w:val="21"/>
              </w:rPr>
              <w:t>教与学方式</w:t>
            </w:r>
          </w:p>
        </w:tc>
        <w:tc>
          <w:tcPr>
            <w:tcW w:w="2120" w:type="dxa"/>
            <w:vMerge w:val="restart"/>
            <w:tcBorders>
              <w:top w:val="single" w:color="auto" w:sz="12" w:space="0"/>
            </w:tcBorders>
            <w:vAlign w:val="center"/>
          </w:tcPr>
          <w:p w14:paraId="295592EB">
            <w:pPr>
              <w:pStyle w:val="13"/>
              <w:widowControl w:val="0"/>
              <w:rPr>
                <w:rFonts w:ascii="黑体" w:hAnsi="黑体"/>
                <w:szCs w:val="21"/>
              </w:rPr>
            </w:pPr>
            <w:r>
              <w:rPr>
                <w:rFonts w:hint="eastAsia" w:ascii="黑体" w:hAnsi="黑体"/>
                <w:szCs w:val="21"/>
              </w:rPr>
              <w:t>考核方式</w:t>
            </w:r>
          </w:p>
        </w:tc>
        <w:tc>
          <w:tcPr>
            <w:tcW w:w="2063" w:type="dxa"/>
            <w:vMerge w:val="restart"/>
            <w:tcBorders>
              <w:top w:val="single" w:color="auto" w:sz="12" w:space="0"/>
            </w:tcBorders>
            <w:vAlign w:val="center"/>
          </w:tcPr>
          <w:p w14:paraId="1FC8493F">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1246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2" w:type="dxa"/>
            <w:vMerge w:val="continue"/>
            <w:tcBorders>
              <w:left w:val="single" w:color="auto" w:sz="12" w:space="0"/>
            </w:tcBorders>
          </w:tcPr>
          <w:p w14:paraId="0B44DE61">
            <w:pPr>
              <w:widowControl w:val="0"/>
              <w:snapToGrid w:val="0"/>
              <w:jc w:val="center"/>
              <w:rPr>
                <w:rFonts w:ascii="黑体" w:hAnsi="黑体" w:eastAsia="黑体"/>
                <w:bCs/>
                <w:sz w:val="21"/>
                <w:szCs w:val="21"/>
              </w:rPr>
            </w:pPr>
          </w:p>
        </w:tc>
        <w:tc>
          <w:tcPr>
            <w:tcW w:w="1798" w:type="dxa"/>
            <w:vMerge w:val="continue"/>
          </w:tcPr>
          <w:p w14:paraId="1432D643">
            <w:pPr>
              <w:widowControl w:val="0"/>
              <w:snapToGrid w:val="0"/>
              <w:jc w:val="center"/>
              <w:rPr>
                <w:rFonts w:ascii="黑体" w:hAnsi="黑体" w:eastAsia="黑体"/>
                <w:bCs/>
                <w:sz w:val="21"/>
                <w:szCs w:val="21"/>
              </w:rPr>
            </w:pPr>
          </w:p>
        </w:tc>
        <w:tc>
          <w:tcPr>
            <w:tcW w:w="2120" w:type="dxa"/>
            <w:vMerge w:val="continue"/>
          </w:tcPr>
          <w:p w14:paraId="71E8C134">
            <w:pPr>
              <w:widowControl w:val="0"/>
              <w:snapToGrid w:val="0"/>
              <w:jc w:val="center"/>
              <w:rPr>
                <w:rFonts w:ascii="黑体" w:hAnsi="黑体" w:eastAsia="黑体"/>
                <w:bCs/>
                <w:sz w:val="21"/>
                <w:szCs w:val="21"/>
              </w:rPr>
            </w:pPr>
          </w:p>
        </w:tc>
        <w:tc>
          <w:tcPr>
            <w:tcW w:w="2063" w:type="dxa"/>
            <w:vMerge w:val="continue"/>
            <w:vAlign w:val="center"/>
          </w:tcPr>
          <w:p w14:paraId="161AE166">
            <w:pPr>
              <w:widowControl w:val="0"/>
              <w:snapToGrid w:val="0"/>
              <w:jc w:val="center"/>
              <w:rPr>
                <w:rFonts w:ascii="黑体" w:hAnsi="黑体" w:eastAsia="黑体"/>
                <w:bCs/>
                <w:sz w:val="21"/>
                <w:szCs w:val="21"/>
              </w:rPr>
            </w:pPr>
          </w:p>
        </w:tc>
      </w:tr>
      <w:tr w14:paraId="4BC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79" w:hRule="atLeast"/>
          <w:jc w:val="center"/>
        </w:trPr>
        <w:tc>
          <w:tcPr>
            <w:tcW w:w="2082" w:type="dxa"/>
            <w:tcBorders>
              <w:left w:val="single" w:color="auto" w:sz="12" w:space="0"/>
            </w:tcBorders>
            <w:vAlign w:val="top"/>
          </w:tcPr>
          <w:p w14:paraId="7CE25C99">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4CBE7C46">
            <w:pPr>
              <w:pStyle w:val="14"/>
              <w:widowControl w:val="0"/>
              <w:rPr>
                <w:rFonts w:ascii="Times New Roman" w:hAnsi="Times New Roman"/>
                <w:bCs/>
                <w:sz w:val="21"/>
                <w:szCs w:val="21"/>
              </w:rPr>
            </w:pPr>
          </w:p>
        </w:tc>
        <w:tc>
          <w:tcPr>
            <w:tcW w:w="1798" w:type="dxa"/>
            <w:vAlign w:val="top"/>
          </w:tcPr>
          <w:p w14:paraId="77897166">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3946C579">
            <w:pPr>
              <w:widowControl w:val="0"/>
              <w:snapToGrid w:val="0"/>
              <w:jc w:val="left"/>
              <w:rPr>
                <w:rFonts w:hint="eastAsia" w:ascii="Times New Roman" w:hAnsi="Times New Roman" w:eastAsia="宋体"/>
                <w:bCs/>
                <w:sz w:val="21"/>
                <w:szCs w:val="21"/>
                <w:lang w:val="en-US" w:eastAsia="zh-CN"/>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6041D64B">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2279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2" w:hRule="atLeast"/>
          <w:jc w:val="center"/>
        </w:trPr>
        <w:tc>
          <w:tcPr>
            <w:tcW w:w="2082" w:type="dxa"/>
            <w:tcBorders>
              <w:left w:val="single" w:color="auto" w:sz="12" w:space="0"/>
            </w:tcBorders>
            <w:vAlign w:val="top"/>
          </w:tcPr>
          <w:p w14:paraId="76E807E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71B35376">
            <w:pPr>
              <w:pStyle w:val="14"/>
              <w:widowControl w:val="0"/>
              <w:rPr>
                <w:rFonts w:ascii="Times New Roman" w:hAnsi="Times New Roman"/>
                <w:bCs/>
                <w:sz w:val="21"/>
                <w:szCs w:val="21"/>
              </w:rPr>
            </w:pPr>
          </w:p>
        </w:tc>
        <w:tc>
          <w:tcPr>
            <w:tcW w:w="1798" w:type="dxa"/>
            <w:vAlign w:val="top"/>
          </w:tcPr>
          <w:p w14:paraId="5ED6EF4D">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7A768A2E">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平时作业</w:t>
            </w:r>
          </w:p>
        </w:tc>
        <w:tc>
          <w:tcPr>
            <w:tcW w:w="2063" w:type="dxa"/>
            <w:shd w:val="clear" w:color="auto" w:fill="auto"/>
            <w:vAlign w:val="center"/>
          </w:tcPr>
          <w:p w14:paraId="087A44A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14:paraId="115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9" w:hRule="atLeast"/>
          <w:jc w:val="center"/>
        </w:trPr>
        <w:tc>
          <w:tcPr>
            <w:tcW w:w="2082" w:type="dxa"/>
            <w:tcBorders>
              <w:left w:val="single" w:color="auto" w:sz="12" w:space="0"/>
            </w:tcBorders>
            <w:vAlign w:val="top"/>
          </w:tcPr>
          <w:p w14:paraId="1F29A495">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64501A1C">
            <w:pPr>
              <w:pStyle w:val="14"/>
              <w:widowControl w:val="0"/>
              <w:jc w:val="both"/>
              <w:rPr>
                <w:rFonts w:hint="default" w:ascii="Times New Roman" w:hAnsi="Times New Roman" w:eastAsia="宋体"/>
                <w:bCs/>
                <w:sz w:val="21"/>
                <w:szCs w:val="21"/>
                <w:lang w:val="en-US" w:eastAsia="zh-CN"/>
              </w:rPr>
            </w:pPr>
          </w:p>
        </w:tc>
        <w:tc>
          <w:tcPr>
            <w:tcW w:w="1798" w:type="dxa"/>
            <w:vAlign w:val="top"/>
          </w:tcPr>
          <w:p w14:paraId="53058AB0">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446176D5">
            <w:pPr>
              <w:widowControl w:val="0"/>
              <w:snapToGrid w:val="0"/>
              <w:jc w:val="left"/>
              <w:rPr>
                <w:rFonts w:ascii="Times New Roman" w:hAnsi="Times New Roman"/>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2EF92B3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w:t>
            </w:r>
          </w:p>
        </w:tc>
      </w:tr>
      <w:tr w14:paraId="64D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72BA5B36">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27024CD0">
            <w:pPr>
              <w:pStyle w:val="14"/>
              <w:widowControl w:val="0"/>
              <w:rPr>
                <w:rFonts w:ascii="Times New Roman" w:hAnsi="Times New Roman"/>
                <w:bCs/>
                <w:sz w:val="21"/>
                <w:szCs w:val="21"/>
              </w:rPr>
            </w:pPr>
          </w:p>
        </w:tc>
        <w:tc>
          <w:tcPr>
            <w:tcW w:w="1798" w:type="dxa"/>
            <w:vAlign w:val="top"/>
          </w:tcPr>
          <w:p w14:paraId="6EEE34F2">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57EA9496">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平时作业</w:t>
            </w:r>
          </w:p>
        </w:tc>
        <w:tc>
          <w:tcPr>
            <w:tcW w:w="2063" w:type="dxa"/>
            <w:shd w:val="clear" w:color="auto" w:fill="auto"/>
            <w:vAlign w:val="center"/>
          </w:tcPr>
          <w:p w14:paraId="06B8D3A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1D6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2EF69B93">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4434658D">
            <w:pPr>
              <w:pStyle w:val="14"/>
              <w:widowControl w:val="0"/>
              <w:rPr>
                <w:rFonts w:ascii="Times New Roman" w:hAnsi="Times New Roman"/>
                <w:bCs/>
                <w:sz w:val="21"/>
                <w:szCs w:val="21"/>
              </w:rPr>
            </w:pPr>
          </w:p>
        </w:tc>
        <w:tc>
          <w:tcPr>
            <w:tcW w:w="1798" w:type="dxa"/>
            <w:vAlign w:val="top"/>
          </w:tcPr>
          <w:p w14:paraId="51D62320">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3DDCCF7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平时作业</w:t>
            </w:r>
          </w:p>
        </w:tc>
        <w:tc>
          <w:tcPr>
            <w:tcW w:w="2063" w:type="dxa"/>
            <w:shd w:val="clear" w:color="auto" w:fill="auto"/>
            <w:vAlign w:val="center"/>
          </w:tcPr>
          <w:p w14:paraId="53B2ACF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7B85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63808A4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15D3376C">
            <w:pPr>
              <w:pStyle w:val="14"/>
              <w:widowControl w:val="0"/>
              <w:rPr>
                <w:rFonts w:ascii="Times New Roman" w:hAnsi="Times New Roman"/>
                <w:bCs/>
                <w:sz w:val="21"/>
                <w:szCs w:val="21"/>
              </w:rPr>
            </w:pPr>
          </w:p>
        </w:tc>
        <w:tc>
          <w:tcPr>
            <w:tcW w:w="1798" w:type="dxa"/>
            <w:vAlign w:val="top"/>
          </w:tcPr>
          <w:p w14:paraId="676D81D2">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68E27671">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平时作业</w:t>
            </w:r>
          </w:p>
        </w:tc>
        <w:tc>
          <w:tcPr>
            <w:tcW w:w="2063" w:type="dxa"/>
            <w:shd w:val="clear" w:color="auto" w:fill="auto"/>
            <w:vAlign w:val="center"/>
          </w:tcPr>
          <w:p w14:paraId="4121C57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5B4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50FCAC39">
            <w:pPr>
              <w:pStyle w:val="14"/>
              <w:widowControl w:val="0"/>
              <w:jc w:val="left"/>
              <w:rPr>
                <w:rFonts w:hint="default" w:ascii="Times New Roman" w:hAnsi="Times New Roman" w:eastAsia="宋体"/>
                <w:bCs/>
                <w:sz w:val="21"/>
                <w:szCs w:val="21"/>
                <w:lang w:val="en-US" w:eastAsia="zh-CN"/>
              </w:rPr>
            </w:pPr>
            <w:r>
              <w:rPr>
                <w:rFonts w:hint="eastAsia"/>
                <w:bCs/>
                <w:sz w:val="21"/>
                <w:szCs w:val="21"/>
                <w:lang w:val="en-US" w:eastAsia="zh-CN"/>
              </w:rPr>
              <w:t>复习与答疑</w:t>
            </w:r>
          </w:p>
        </w:tc>
        <w:tc>
          <w:tcPr>
            <w:tcW w:w="1798" w:type="dxa"/>
            <w:vAlign w:val="top"/>
          </w:tcPr>
          <w:p w14:paraId="5878D8AE">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1DADCDA0">
            <w:pPr>
              <w:widowControl w:val="0"/>
              <w:snapToGrid w:val="0"/>
              <w:jc w:val="left"/>
              <w:rPr>
                <w:rFonts w:ascii="Times New Roman" w:hAnsi="Times New Roman"/>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2259292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69A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2" w:hRule="atLeast"/>
          <w:jc w:val="center"/>
        </w:trPr>
        <w:tc>
          <w:tcPr>
            <w:tcW w:w="6000" w:type="dxa"/>
            <w:gridSpan w:val="3"/>
            <w:tcBorders>
              <w:left w:val="single" w:color="auto" w:sz="12" w:space="0"/>
              <w:bottom w:val="single" w:color="auto" w:sz="12" w:space="0"/>
            </w:tcBorders>
            <w:vAlign w:val="center"/>
          </w:tcPr>
          <w:p w14:paraId="6839E154">
            <w:pPr>
              <w:pStyle w:val="13"/>
              <w:widowControl w:val="0"/>
            </w:pPr>
            <w:r>
              <w:rPr>
                <w:rFonts w:hint="eastAsia"/>
              </w:rPr>
              <w:t>合计</w:t>
            </w:r>
          </w:p>
        </w:tc>
        <w:tc>
          <w:tcPr>
            <w:tcW w:w="2063" w:type="dxa"/>
            <w:tcBorders>
              <w:bottom w:val="single" w:color="auto" w:sz="12" w:space="0"/>
            </w:tcBorders>
            <w:vAlign w:val="center"/>
          </w:tcPr>
          <w:p w14:paraId="6895A92F">
            <w:pPr>
              <w:pStyle w:val="13"/>
              <w:widowControl w:val="0"/>
              <w:rPr>
                <w:rFonts w:hint="default" w:eastAsia="黑体"/>
                <w:lang w:val="en-US" w:eastAsia="zh-CN"/>
              </w:rPr>
            </w:pPr>
            <w:r>
              <w:rPr>
                <w:rFonts w:hint="eastAsia"/>
                <w:lang w:val="en-US" w:eastAsia="zh-CN"/>
              </w:rPr>
              <w:t>32</w:t>
            </w:r>
          </w:p>
        </w:tc>
      </w:tr>
    </w:tbl>
    <w:p w14:paraId="5A3EA2A8">
      <w:pPr>
        <w:pStyle w:val="16"/>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8496"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2493"/>
        <w:gridCol w:w="6003"/>
      </w:tblGrid>
      <w:tr w14:paraId="0DBF5B4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bottom w:val="single" w:color="000000" w:sz="8" w:space="0"/>
              <w:right w:val="single" w:color="000000" w:sz="8" w:space="0"/>
              <w:tl2br w:val="nil"/>
              <w:tr2bl w:val="nil"/>
            </w:tcBorders>
            <w:shd w:val="clear" w:color="auto" w:fill="FFFFFF"/>
          </w:tcPr>
          <w:p w14:paraId="7F3BDF53">
            <w:pPr>
              <w:pStyle w:val="14"/>
              <w:widowControl w:val="0"/>
              <w:jc w:val="left"/>
              <w:rPr>
                <w:rFonts w:hint="default" w:eastAsia="宋体"/>
                <w:b/>
                <w:bCs/>
                <w:vertAlign w:val="baseline"/>
                <w:lang w:val="en-US" w:eastAsia="zh-CN"/>
              </w:rPr>
            </w:pPr>
            <w:r>
              <w:rPr>
                <w:rFonts w:hint="eastAsia"/>
                <w:b/>
                <w:bCs/>
                <w:vertAlign w:val="baseline"/>
                <w:lang w:val="en-US" w:eastAsia="zh-CN"/>
              </w:rPr>
              <w:t>教学单元</w:t>
            </w:r>
          </w:p>
        </w:tc>
        <w:tc>
          <w:tcPr>
            <w:tcW w:w="6003" w:type="dxa"/>
            <w:tcBorders>
              <w:left w:val="single" w:color="000000" w:sz="8" w:space="0"/>
              <w:bottom w:val="single" w:color="000000" w:sz="8" w:space="0"/>
              <w:tl2br w:val="nil"/>
              <w:tr2bl w:val="nil"/>
            </w:tcBorders>
            <w:shd w:val="clear" w:color="auto" w:fill="FFFFFF"/>
          </w:tcPr>
          <w:p w14:paraId="697C5C8F">
            <w:pPr>
              <w:pStyle w:val="14"/>
              <w:widowControl w:val="0"/>
              <w:jc w:val="left"/>
              <w:rPr>
                <w:rFonts w:hint="default" w:eastAsia="宋体"/>
                <w:b/>
                <w:bCs/>
                <w:vertAlign w:val="baseline"/>
                <w:lang w:val="en-US" w:eastAsia="zh-CN"/>
              </w:rPr>
            </w:pPr>
            <w:r>
              <w:rPr>
                <w:rFonts w:hint="eastAsia"/>
                <w:b/>
                <w:bCs/>
                <w:vertAlign w:val="baseline"/>
                <w:lang w:val="en-US" w:eastAsia="zh-CN"/>
              </w:rPr>
              <w:t>课程思政教学设计</w:t>
            </w:r>
          </w:p>
        </w:tc>
      </w:tr>
      <w:tr w14:paraId="51CCEC9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32528DC">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50C0F74B">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7493E2E7">
            <w:pPr>
              <w:pStyle w:val="14"/>
              <w:widowControl w:val="0"/>
              <w:jc w:val="left"/>
              <w:rPr>
                <w:rFonts w:hint="default" w:eastAsia="宋体"/>
                <w:b w:val="0"/>
                <w:sz w:val="21"/>
                <w:szCs w:val="21"/>
                <w:vertAlign w:val="baseline"/>
                <w:lang w:val="en-US" w:eastAsia="zh-CN"/>
              </w:rPr>
            </w:pPr>
            <w:r>
              <w:rPr>
                <w:rFonts w:hint="eastAsia"/>
                <w:b w:val="0"/>
                <w:sz w:val="21"/>
                <w:szCs w:val="21"/>
                <w:vertAlign w:val="baseline"/>
                <w:lang w:val="en-US" w:eastAsia="zh-CN"/>
              </w:rPr>
              <w:t>根据幼儿身心发展特点，观察幼儿，理解幼儿，树立专业自信。</w:t>
            </w:r>
          </w:p>
        </w:tc>
      </w:tr>
      <w:tr w14:paraId="1EA31CD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4B7B05D7">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48A2041C">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0D7CF827">
            <w:pPr>
              <w:pStyle w:val="14"/>
              <w:widowControl w:val="0"/>
              <w:jc w:val="left"/>
              <w:rPr>
                <w:rFonts w:hint="default" w:eastAsia="宋体"/>
                <w:b w:val="0"/>
                <w:sz w:val="21"/>
                <w:szCs w:val="21"/>
                <w:vertAlign w:val="baseline"/>
                <w:lang w:val="en-US" w:eastAsia="zh-CN"/>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2ADE71F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0DE89F71">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125F0562">
            <w:pPr>
              <w:pStyle w:val="14"/>
              <w:widowControl w:val="0"/>
              <w:jc w:val="both"/>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25D135C6">
            <w:pPr>
              <w:pStyle w:val="14"/>
              <w:widowControl w:val="0"/>
              <w:jc w:val="left"/>
              <w:rPr>
                <w:rFonts w:hint="default" w:eastAsia="宋体"/>
                <w:b w:val="0"/>
                <w:sz w:val="21"/>
                <w:szCs w:val="21"/>
                <w:vertAlign w:val="baseline"/>
                <w:lang w:val="en-US" w:eastAsia="zh-CN"/>
              </w:rPr>
            </w:pPr>
            <w:r>
              <w:rPr>
                <w:rFonts w:hint="eastAsia" w:hAnsi="楷体"/>
                <w:bCs/>
                <w:color w:val="000000" w:themeColor="text1"/>
                <w:sz w:val="21"/>
                <w:szCs w:val="21"/>
                <w:lang w:val="en-US" w:eastAsia="zh-CN"/>
                <w14:textFill>
                  <w14:solidFill>
                    <w14:schemeClr w14:val="tx1"/>
                  </w14:solidFill>
                </w14:textFill>
              </w:rPr>
              <w:t>结合幼儿的一日生活，</w:t>
            </w: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0C3CE55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DFB74E9">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3F6EFAB2">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332FE9C7">
            <w:pPr>
              <w:pStyle w:val="14"/>
              <w:widowControl w:val="0"/>
              <w:jc w:val="left"/>
              <w:rPr>
                <w:rFonts w:hint="default"/>
                <w:b w:val="0"/>
                <w:sz w:val="21"/>
                <w:szCs w:val="21"/>
                <w:vertAlign w:val="baseline"/>
                <w:lang w:val="en-US"/>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62E72D4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8752241">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5A92D69E">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474AD449">
            <w:pPr>
              <w:pStyle w:val="14"/>
              <w:widowControl w:val="0"/>
              <w:jc w:val="left"/>
              <w:rPr>
                <w:b w:val="0"/>
                <w:sz w:val="21"/>
                <w:szCs w:val="21"/>
                <w:vertAlign w:val="baseline"/>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02FE675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6B399B0D">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24A062C9">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35DE89E2">
            <w:pPr>
              <w:pStyle w:val="14"/>
              <w:widowControl w:val="0"/>
              <w:jc w:val="left"/>
              <w:rPr>
                <w:b w:val="0"/>
                <w:sz w:val="21"/>
                <w:szCs w:val="21"/>
                <w:vertAlign w:val="baseline"/>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3B95273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right w:val="single" w:color="000000" w:sz="8" w:space="0"/>
              <w:tl2br w:val="nil"/>
              <w:tr2bl w:val="nil"/>
            </w:tcBorders>
            <w:shd w:val="clear" w:color="auto" w:fill="FFFFFF"/>
            <w:vAlign w:val="top"/>
          </w:tcPr>
          <w:p w14:paraId="4A6E703B">
            <w:pPr>
              <w:pStyle w:val="14"/>
              <w:widowControl w:val="0"/>
              <w:jc w:val="left"/>
              <w:rPr>
                <w:rFonts w:hint="default" w:ascii="宋体" w:hAnsi="宋体" w:eastAsia="宋体" w:cs="宋体"/>
                <w:b w:val="0"/>
                <w:bCs/>
                <w:color w:val="000000"/>
                <w:sz w:val="21"/>
                <w:szCs w:val="21"/>
                <w:vertAlign w:val="baseline"/>
                <w:lang w:val="en-US" w:eastAsia="zh-CN" w:bidi="ar-SA"/>
              </w:rPr>
            </w:pPr>
            <w:r>
              <w:rPr>
                <w:rFonts w:hint="eastAsia"/>
                <w:bCs/>
                <w:sz w:val="21"/>
                <w:szCs w:val="21"/>
                <w:lang w:val="en-US" w:eastAsia="zh-CN"/>
              </w:rPr>
              <w:t>复习与答疑</w:t>
            </w:r>
          </w:p>
        </w:tc>
        <w:tc>
          <w:tcPr>
            <w:tcW w:w="6003" w:type="dxa"/>
            <w:tcBorders>
              <w:top w:val="single" w:color="000000" w:sz="8" w:space="0"/>
              <w:left w:val="single" w:color="000000" w:sz="8" w:space="0"/>
              <w:tl2br w:val="nil"/>
              <w:tr2bl w:val="nil"/>
            </w:tcBorders>
            <w:shd w:val="clear" w:color="auto" w:fill="FFFFFF"/>
          </w:tcPr>
          <w:p w14:paraId="685C3F87">
            <w:pPr>
              <w:pStyle w:val="14"/>
              <w:widowControl w:val="0"/>
              <w:jc w:val="left"/>
              <w:rPr>
                <w:b w:val="0"/>
                <w:sz w:val="21"/>
                <w:szCs w:val="21"/>
                <w:vertAlign w:val="baseline"/>
              </w:rPr>
            </w:pPr>
            <w:r>
              <w:rPr>
                <w:rFonts w:hint="eastAsia"/>
                <w:b w:val="0"/>
                <w:sz w:val="21"/>
                <w:szCs w:val="21"/>
                <w:vertAlign w:val="baseline"/>
                <w:lang w:val="en-US" w:eastAsia="zh-CN"/>
              </w:rPr>
              <w:t>根据幼儿身心发展特点，观察幼儿，理解幼儿，树立专业自信。</w:t>
            </w:r>
          </w:p>
        </w:tc>
      </w:tr>
    </w:tbl>
    <w:p w14:paraId="08A85BA3">
      <w:pPr>
        <w:pStyle w:val="16"/>
        <w:numPr>
          <w:ilvl w:val="0"/>
          <w:numId w:val="11"/>
        </w:numPr>
        <w:spacing w:before="326" w:beforeLines="100" w:line="360" w:lineRule="auto"/>
        <w:rPr>
          <w:rFonts w:hint="eastAsia" w:ascii="黑体" w:hAnsi="宋体"/>
        </w:rPr>
      </w:pPr>
      <w:r>
        <w:rPr>
          <w:rFonts w:hint="eastAsia" w:ascii="黑体" w:hAnsi="宋体"/>
        </w:rPr>
        <w:t>课程考核</w:t>
      </w:r>
      <w:bookmarkStart w:id="2" w:name="OLE_LINK4"/>
      <w:bookmarkStart w:id="3" w:name="OLE_LINK3"/>
    </w:p>
    <w:p w14:paraId="07E8269B">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2C77F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35EDBB95">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3338BE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48318DD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0C8E2E0D">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期末考试</w:t>
            </w:r>
          </w:p>
        </w:tc>
        <w:tc>
          <w:tcPr>
            <w:tcW w:w="2268" w:type="dxa"/>
            <w:tcBorders>
              <w:tl2br w:val="nil"/>
              <w:tr2bl w:val="nil"/>
            </w:tcBorders>
            <w:shd w:val="clear" w:color="auto" w:fill="auto"/>
            <w:vAlign w:val="top"/>
          </w:tcPr>
          <w:p w14:paraId="31CB3DB3">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期末</w:t>
            </w:r>
            <w:r>
              <w:rPr>
                <w:rFonts w:hint="eastAsia" w:cs="宋体"/>
                <w:kern w:val="0"/>
                <w:sz w:val="21"/>
                <w:szCs w:val="21"/>
                <w:lang w:val="en-US" w:eastAsia="zh-CN"/>
              </w:rPr>
              <w:t>开</w:t>
            </w:r>
            <w:r>
              <w:rPr>
                <w:rFonts w:hint="eastAsia" w:ascii="宋体" w:hAnsi="宋体" w:eastAsia="宋体" w:cs="宋体"/>
                <w:kern w:val="0"/>
                <w:sz w:val="21"/>
                <w:szCs w:val="21"/>
              </w:rPr>
              <w:t>卷考试（纸笔测试）</w:t>
            </w:r>
          </w:p>
        </w:tc>
        <w:tc>
          <w:tcPr>
            <w:tcW w:w="1610" w:type="dxa"/>
            <w:tcBorders>
              <w:tl2br w:val="nil"/>
              <w:tr2bl w:val="nil"/>
            </w:tcBorders>
            <w:shd w:val="clear" w:color="auto" w:fill="auto"/>
            <w:vAlign w:val="center"/>
          </w:tcPr>
          <w:p w14:paraId="1C7A5EAF">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45%</w:t>
            </w:r>
          </w:p>
        </w:tc>
      </w:tr>
      <w:tr w14:paraId="19B2C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4DC656E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09812E72">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轶事观察记录表</w:t>
            </w:r>
          </w:p>
        </w:tc>
        <w:tc>
          <w:tcPr>
            <w:tcW w:w="2268" w:type="dxa"/>
            <w:tcBorders>
              <w:tl2br w:val="nil"/>
              <w:tr2bl w:val="nil"/>
            </w:tcBorders>
            <w:shd w:val="clear" w:color="auto" w:fill="auto"/>
            <w:vAlign w:val="top"/>
          </w:tcPr>
          <w:p w14:paraId="4EF17A3E">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课后作业</w:t>
            </w:r>
          </w:p>
        </w:tc>
        <w:tc>
          <w:tcPr>
            <w:tcW w:w="1610" w:type="dxa"/>
            <w:tcBorders>
              <w:tl2br w:val="nil"/>
              <w:tr2bl w:val="nil"/>
            </w:tcBorders>
            <w:shd w:val="clear" w:color="auto" w:fill="auto"/>
            <w:vAlign w:val="center"/>
          </w:tcPr>
          <w:p w14:paraId="24A92508">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25</w:t>
            </w:r>
            <w:r>
              <w:rPr>
                <w:rFonts w:hint="eastAsia" w:ascii="宋体" w:hAnsi="宋体" w:eastAsia="宋体" w:cs="宋体"/>
                <w:b w:val="0"/>
                <w:bCs w:val="0"/>
                <w:color w:val="000000"/>
                <w:sz w:val="21"/>
                <w:szCs w:val="21"/>
                <w:highlight w:val="none"/>
                <w:lang w:val="en-US" w:eastAsia="zh-CN" w:bidi="ar-SA"/>
              </w:rPr>
              <w:t>%</w:t>
            </w:r>
          </w:p>
        </w:tc>
      </w:tr>
      <w:tr w14:paraId="018AEB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4C818B02">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6C412740">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取样观察记录/</w:t>
            </w:r>
            <w:r>
              <w:rPr>
                <w:rFonts w:hint="eastAsia" w:ascii="宋体" w:hAnsi="宋体" w:eastAsia="宋体" w:cs="宋体"/>
                <w:kern w:val="0"/>
                <w:sz w:val="21"/>
                <w:szCs w:val="21"/>
                <w:lang w:eastAsia="zh-CN"/>
              </w:rPr>
              <w:t>等级评定</w:t>
            </w:r>
            <w:r>
              <w:rPr>
                <w:rFonts w:hint="eastAsia" w:cs="宋体"/>
                <w:kern w:val="0"/>
                <w:sz w:val="21"/>
                <w:szCs w:val="21"/>
                <w:lang w:val="en-US" w:eastAsia="zh-CN"/>
              </w:rPr>
              <w:t>表</w:t>
            </w:r>
          </w:p>
        </w:tc>
        <w:tc>
          <w:tcPr>
            <w:tcW w:w="2268" w:type="dxa"/>
            <w:tcBorders>
              <w:tl2br w:val="nil"/>
              <w:tr2bl w:val="nil"/>
            </w:tcBorders>
            <w:shd w:val="clear" w:color="auto" w:fill="auto"/>
            <w:vAlign w:val="top"/>
          </w:tcPr>
          <w:p w14:paraId="0C6DC42D">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平时表现</w:t>
            </w:r>
          </w:p>
        </w:tc>
        <w:tc>
          <w:tcPr>
            <w:tcW w:w="1610" w:type="dxa"/>
            <w:tcBorders>
              <w:tl2br w:val="nil"/>
              <w:tr2bl w:val="nil"/>
            </w:tcBorders>
            <w:shd w:val="clear" w:color="auto" w:fill="auto"/>
            <w:vAlign w:val="center"/>
          </w:tcPr>
          <w:p w14:paraId="16BE4B93">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r w14:paraId="45B824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2E33450A">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cs="宋体"/>
                <w:b/>
                <w:bCs/>
                <w:color w:val="000000"/>
                <w:sz w:val="21"/>
                <w:szCs w:val="21"/>
                <w:highlight w:val="none"/>
                <w:lang w:val="en-US" w:eastAsia="zh-CN" w:bidi="ar-SA"/>
              </w:rPr>
              <w:t>目标4</w:t>
            </w:r>
          </w:p>
        </w:tc>
        <w:tc>
          <w:tcPr>
            <w:tcW w:w="2551" w:type="dxa"/>
            <w:tcBorders>
              <w:tl2br w:val="nil"/>
              <w:tr2bl w:val="nil"/>
            </w:tcBorders>
            <w:shd w:val="clear" w:color="auto" w:fill="auto"/>
            <w:vAlign w:val="center"/>
          </w:tcPr>
          <w:p w14:paraId="1431E21C">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学习小结</w:t>
            </w:r>
          </w:p>
        </w:tc>
        <w:tc>
          <w:tcPr>
            <w:tcW w:w="2268" w:type="dxa"/>
            <w:tcBorders>
              <w:tl2br w:val="nil"/>
              <w:tr2bl w:val="nil"/>
            </w:tcBorders>
            <w:shd w:val="clear" w:color="auto" w:fill="auto"/>
            <w:vAlign w:val="top"/>
          </w:tcPr>
          <w:p w14:paraId="77E1B25E">
            <w:pPr>
              <w:widowControl w:val="0"/>
              <w:tabs>
                <w:tab w:val="left" w:pos="532"/>
              </w:tabs>
              <w:spacing w:line="340" w:lineRule="exact"/>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kern w:val="0"/>
                <w:sz w:val="21"/>
                <w:szCs w:val="21"/>
              </w:rPr>
              <w:t>反思小结</w:t>
            </w:r>
          </w:p>
        </w:tc>
        <w:tc>
          <w:tcPr>
            <w:tcW w:w="1610" w:type="dxa"/>
            <w:tcBorders>
              <w:tl2br w:val="nil"/>
              <w:tr2bl w:val="nil"/>
            </w:tcBorders>
            <w:shd w:val="clear" w:color="auto" w:fill="auto"/>
            <w:vAlign w:val="center"/>
          </w:tcPr>
          <w:p w14:paraId="5A16A344">
            <w:pPr>
              <w:widowControl w:val="0"/>
              <w:spacing w:line="36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45018235">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06"/>
        <w:gridCol w:w="1686"/>
        <w:gridCol w:w="1608"/>
        <w:gridCol w:w="1613"/>
        <w:gridCol w:w="1551"/>
      </w:tblGrid>
      <w:tr w14:paraId="0B6E1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restart"/>
            <w:vAlign w:val="center"/>
          </w:tcPr>
          <w:p w14:paraId="4303B8A2">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65586E8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6918E022">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8" w:type="pct"/>
            <w:gridSpan w:val="4"/>
            <w:vAlign w:val="center"/>
          </w:tcPr>
          <w:p w14:paraId="5D314108">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6E981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5" w:type="pct"/>
            <w:vMerge w:val="continue"/>
          </w:tcPr>
          <w:p w14:paraId="1F661D3F">
            <w:pPr>
              <w:pStyle w:val="16"/>
              <w:widowControl w:val="0"/>
              <w:jc w:val="both"/>
              <w:rPr>
                <w:rFonts w:hint="eastAsia" w:ascii="黑体" w:hAnsi="黑体"/>
                <w:bCs/>
                <w:sz w:val="21"/>
                <w:szCs w:val="21"/>
              </w:rPr>
            </w:pPr>
          </w:p>
        </w:tc>
        <w:tc>
          <w:tcPr>
            <w:tcW w:w="766" w:type="pct"/>
            <w:vMerge w:val="continue"/>
          </w:tcPr>
          <w:p w14:paraId="48361A2C">
            <w:pPr>
              <w:pStyle w:val="16"/>
              <w:widowControl w:val="0"/>
              <w:jc w:val="both"/>
              <w:rPr>
                <w:rFonts w:hint="eastAsia" w:ascii="黑体" w:hAnsi="黑体"/>
                <w:bCs/>
                <w:sz w:val="21"/>
                <w:szCs w:val="21"/>
              </w:rPr>
            </w:pPr>
          </w:p>
        </w:tc>
        <w:tc>
          <w:tcPr>
            <w:tcW w:w="989" w:type="pct"/>
            <w:vAlign w:val="center"/>
          </w:tcPr>
          <w:p w14:paraId="349BBE3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64B367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C9D4B8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46F75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6300F04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6A4E52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9" w:type="pct"/>
            <w:vAlign w:val="center"/>
          </w:tcPr>
          <w:p w14:paraId="2FA1CDD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F8C9CB">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7D9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2CB7704C">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shd w:val="clear" w:color="auto" w:fill="auto"/>
            <w:vAlign w:val="top"/>
          </w:tcPr>
          <w:p w14:paraId="74362D32">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期末</w:t>
            </w:r>
            <w:r>
              <w:rPr>
                <w:rFonts w:hint="eastAsia" w:cs="宋体"/>
                <w:kern w:val="0"/>
                <w:sz w:val="21"/>
                <w:szCs w:val="21"/>
                <w:lang w:val="en-US" w:eastAsia="zh-CN"/>
              </w:rPr>
              <w:t>开</w:t>
            </w:r>
            <w:r>
              <w:rPr>
                <w:rFonts w:hint="eastAsia" w:ascii="宋体" w:hAnsi="宋体" w:eastAsia="宋体" w:cs="宋体"/>
                <w:kern w:val="0"/>
                <w:sz w:val="21"/>
                <w:szCs w:val="21"/>
              </w:rPr>
              <w:t>卷考试（纸笔测试）</w:t>
            </w:r>
            <w:r>
              <w:rPr>
                <w:rFonts w:hint="eastAsia" w:cs="宋体"/>
                <w:kern w:val="0"/>
                <w:sz w:val="21"/>
                <w:szCs w:val="21"/>
                <w:lang w:eastAsia="zh-CN"/>
              </w:rPr>
              <w:t>，</w:t>
            </w:r>
            <w:r>
              <w:rPr>
                <w:rFonts w:hint="eastAsia" w:eastAsia="宋体"/>
                <w:color w:val="000000"/>
                <w:sz w:val="21"/>
                <w:szCs w:val="21"/>
              </w:rPr>
              <w:t>期末考试题涉及到各个章节内容，题量适中，侧重考查学生的综合应用能力。具体题型包括：辨析题；简答题；评析题；分析题；综合应用题</w:t>
            </w:r>
            <w:r>
              <w:rPr>
                <w:rFonts w:hint="eastAsia"/>
                <w:color w:val="000000"/>
                <w:sz w:val="21"/>
                <w:szCs w:val="21"/>
                <w:lang w:val="en-US" w:eastAsia="zh-CN"/>
              </w:rPr>
              <w:t>等</w:t>
            </w:r>
            <w:r>
              <w:rPr>
                <w:rFonts w:hint="eastAsia" w:eastAsia="宋体"/>
                <w:color w:val="000000"/>
                <w:sz w:val="21"/>
                <w:szCs w:val="21"/>
              </w:rPr>
              <w:t>。</w:t>
            </w:r>
          </w:p>
        </w:tc>
        <w:tc>
          <w:tcPr>
            <w:tcW w:w="1686" w:type="dxa"/>
            <w:vAlign w:val="top"/>
          </w:tcPr>
          <w:p w14:paraId="0AB8E12F">
            <w:pPr>
              <w:pStyle w:val="14"/>
              <w:widowControl w:val="0"/>
              <w:jc w:val="both"/>
            </w:pPr>
            <w:r>
              <w:t>在</w:t>
            </w:r>
            <w:r>
              <w:rPr>
                <w:rFonts w:hint="eastAsia"/>
                <w:lang w:val="en-US" w:eastAsia="zh-CN"/>
              </w:rPr>
              <w:t>期末考试</w:t>
            </w:r>
            <w:r>
              <w:t>中，对各知识单元的</w:t>
            </w:r>
            <w:r>
              <w:rPr>
                <w:rFonts w:hint="eastAsia"/>
              </w:rPr>
              <w:t>理解、</w:t>
            </w:r>
            <w:r>
              <w:t>掌握与运用</w:t>
            </w:r>
            <w:r>
              <w:rPr>
                <w:rFonts w:hint="eastAsia"/>
                <w:lang w:val="en-US" w:eastAsia="zh-CN"/>
              </w:rPr>
              <w:t>较为</w:t>
            </w:r>
            <w:r>
              <w:t>全面</w:t>
            </w:r>
            <w:r>
              <w:rPr>
                <w:rFonts w:hint="eastAsia"/>
                <w:lang w:eastAsia="zh-CN"/>
              </w:rPr>
              <w:t>，</w:t>
            </w:r>
            <w:r>
              <w:t>错误率在10%以下。</w:t>
            </w:r>
          </w:p>
        </w:tc>
        <w:tc>
          <w:tcPr>
            <w:tcW w:w="1608" w:type="dxa"/>
            <w:vAlign w:val="top"/>
          </w:tcPr>
          <w:p w14:paraId="49F3E52E">
            <w:pPr>
              <w:pStyle w:val="14"/>
              <w:widowControl w:val="0"/>
              <w:jc w:val="both"/>
            </w:pPr>
            <w:r>
              <w:t>在</w:t>
            </w:r>
            <w:r>
              <w:rPr>
                <w:rFonts w:hint="eastAsia"/>
                <w:lang w:val="en-US" w:eastAsia="zh-CN"/>
              </w:rPr>
              <w:t>期末考试</w:t>
            </w:r>
            <w:r>
              <w:t>中，对各知识单元的</w:t>
            </w:r>
            <w:r>
              <w:rPr>
                <w:rFonts w:hint="eastAsia"/>
              </w:rPr>
              <w:t>理解、</w:t>
            </w:r>
            <w:r>
              <w:t>掌握与运用程度较好，错误率在20%左右。</w:t>
            </w:r>
          </w:p>
        </w:tc>
        <w:tc>
          <w:tcPr>
            <w:tcW w:w="1613" w:type="dxa"/>
            <w:vAlign w:val="top"/>
          </w:tcPr>
          <w:p w14:paraId="49DB0A4C">
            <w:pPr>
              <w:pStyle w:val="14"/>
              <w:widowControl w:val="0"/>
              <w:jc w:val="both"/>
            </w:pPr>
            <w:r>
              <w:t>在</w:t>
            </w:r>
            <w:r>
              <w:rPr>
                <w:rFonts w:hint="eastAsia"/>
                <w:lang w:val="en-US" w:eastAsia="zh-CN"/>
              </w:rPr>
              <w:t>期末考试</w:t>
            </w:r>
            <w:r>
              <w:t>中，对各知识单元的</w:t>
            </w:r>
            <w:r>
              <w:rPr>
                <w:rFonts w:hint="eastAsia"/>
              </w:rPr>
              <w:t>理解、</w:t>
            </w:r>
            <w:r>
              <w:t>掌握与运用程度基本</w:t>
            </w:r>
            <w:r>
              <w:rPr>
                <w:rFonts w:hint="eastAsia"/>
                <w:lang w:val="en-US" w:eastAsia="zh-CN"/>
              </w:rPr>
              <w:t>可以</w:t>
            </w:r>
            <w:r>
              <w:t>，错误率在30%左右。</w:t>
            </w:r>
          </w:p>
        </w:tc>
        <w:tc>
          <w:tcPr>
            <w:tcW w:w="1550" w:type="dxa"/>
            <w:vAlign w:val="top"/>
          </w:tcPr>
          <w:p w14:paraId="61541504">
            <w:pPr>
              <w:pStyle w:val="6"/>
              <w:widowControl/>
              <w:shd w:val="clear" w:color="auto" w:fill="FFFFFF"/>
              <w:jc w:val="both"/>
              <w:rPr>
                <w:rFonts w:hint="eastAsia"/>
                <w:sz w:val="21"/>
                <w:szCs w:val="21"/>
              </w:rPr>
            </w:pPr>
            <w:r>
              <w:rPr>
                <w:rFonts w:ascii="Times New Roman" w:hAnsi="Times New Roman" w:eastAsia="宋体"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期末考试</w:t>
            </w:r>
            <w:r>
              <w:rPr>
                <w:rFonts w:ascii="Times New Roman" w:hAnsi="Times New Roman" w:eastAsia="宋体" w:cs="宋体"/>
                <w:color w:val="000000"/>
                <w:sz w:val="21"/>
                <w:szCs w:val="21"/>
                <w:lang w:val="en-US" w:eastAsia="zh-CN" w:bidi="ar-SA"/>
              </w:rPr>
              <w:t>中，</w:t>
            </w:r>
            <w:r>
              <w:rPr>
                <w:sz w:val="21"/>
                <w:szCs w:val="21"/>
              </w:rPr>
              <w:t>对各知识单元的</w:t>
            </w:r>
            <w:r>
              <w:rPr>
                <w:rFonts w:hint="eastAsia" w:ascii="Times New Roman" w:hAnsi="Times New Roman" w:eastAsia="宋体" w:cs="宋体"/>
                <w:color w:val="000000"/>
                <w:sz w:val="21"/>
                <w:szCs w:val="21"/>
                <w:lang w:val="en-US" w:eastAsia="zh-CN" w:bidi="ar-SA"/>
              </w:rPr>
              <w:t>理解、</w:t>
            </w:r>
            <w:r>
              <w:rPr>
                <w:sz w:val="21"/>
                <w:szCs w:val="21"/>
              </w:rPr>
              <w:t>掌握与运用程度</w:t>
            </w:r>
            <w:r>
              <w:rPr>
                <w:rFonts w:hint="eastAsia"/>
                <w:sz w:val="21"/>
                <w:szCs w:val="21"/>
                <w:lang w:val="en-US" w:eastAsia="zh-CN"/>
              </w:rPr>
              <w:t>未及格</w:t>
            </w:r>
            <w:r>
              <w:rPr>
                <w:sz w:val="21"/>
                <w:szCs w:val="21"/>
              </w:rPr>
              <w:t>，错误率在40%以上。</w:t>
            </w:r>
          </w:p>
        </w:tc>
      </w:tr>
      <w:tr w14:paraId="6FB43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45" w:type="pct"/>
            <w:vAlign w:val="center"/>
          </w:tcPr>
          <w:p w14:paraId="2C2ECDD1">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766" w:type="pct"/>
            <w:shd w:val="clear" w:color="auto" w:fill="auto"/>
            <w:vAlign w:val="top"/>
          </w:tcPr>
          <w:p w14:paraId="43390935">
            <w:pPr>
              <w:widowControl w:val="0"/>
              <w:tabs>
                <w:tab w:val="left" w:pos="532"/>
              </w:tabs>
              <w:spacing w:line="34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rPr>
              <w:t>课后作业</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借助《小人国》视频中的《锡坤投物》片段，要求学生提交一份观察记录，主要考核同学们对授课后一个月课堂所受课内容的接受程度和掌握程度，特别考察观察记录格式的完整性、每一块面撰写的规范性</w:t>
            </w:r>
          </w:p>
        </w:tc>
        <w:tc>
          <w:tcPr>
            <w:tcW w:w="989" w:type="pct"/>
            <w:vAlign w:val="top"/>
          </w:tcPr>
          <w:p w14:paraId="06E26F2E">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5D42D0C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标题清晰明确，能准确体现观察内容（如“《小人国》之《锡坤投物》观察记录”）。</w:t>
            </w:r>
          </w:p>
          <w:p w14:paraId="7E92357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观察时间、地点、观察对象（锡坤及其他相关人物）等基本信息记录详细且准确，无遗漏。</w:t>
            </w:r>
          </w:p>
          <w:p w14:paraId="0754406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观察目的阐述清晰，与课程要求紧密贴合，如明确指出是为了考察对课堂内容的接受和掌握程度。</w:t>
            </w:r>
          </w:p>
          <w:p w14:paraId="4D89FB5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观察记录正文部分结构合理，有明确的开头、中间过程和结尾总结，逻辑连贯。</w:t>
            </w:r>
          </w:p>
          <w:p w14:paraId="511BC182">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228A8B5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锡坤投物》片段中人物行为、语言、场景等细节观察细致入微。例如，能准确记录锡坤投掷物品时的动作（是用力扔还是轻轻抛，是单手还是双手）、表情（是愤怒还是顽皮），以及周围小人国居民的反应（是惊慌躲避还是好奇围观）等，细节描写丰富且真实。</w:t>
            </w:r>
          </w:p>
          <w:p w14:paraId="3E196BB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够运用课堂所学的观察方法和理论知识对观察内容进行深入分析。比如，从心理学角度分析锡坤投物行为背后可能的心理动机，或者从社会学视角探讨小人国居民对这种行为的反应所反映出的社会规范和群体心理，分析过程有理有据，与课堂知识紧密结合。</w:t>
            </w:r>
          </w:p>
          <w:p w14:paraId="6E64491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语言表达流畅、准确，用词恰当，无明显语病和错别字，书写工整（如果是手写）或排版规范（如果是电子文档）。</w:t>
            </w:r>
          </w:p>
          <w:p w14:paraId="1A463D9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观察记录内容完整，涵盖了课堂要求的所有观察要点，且能从不同角度对同一现象进行多维度分析，如从行为学、文化学等多学科视角对锡坤投物事件进行剖析，展现出学生对课堂知识的全面掌握和深刻理解。</w:t>
            </w:r>
          </w:p>
          <w:p w14:paraId="14EC9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43" w:type="pct"/>
            <w:vAlign w:val="top"/>
          </w:tcPr>
          <w:p w14:paraId="0E800537">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45B1981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标题较为明确，能基本体现观察主题。</w:t>
            </w:r>
          </w:p>
          <w:p w14:paraId="04288E4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观察时间、地点、对象等基本信息记录基本完整，但可能在某些细节上稍显模糊，如观察时间只记录了日期而没有具体时段。</w:t>
            </w:r>
          </w:p>
          <w:p w14:paraId="48FFDA14">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观察目的表述清楚，与课程要求相符合，但可能缺乏一些深度和具体性。</w:t>
            </w:r>
          </w:p>
          <w:p w14:paraId="77425B9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观察记录正文结构较为清晰，有开头、过程和结尾，但逻辑衔接可能稍有欠缺，部分段落之间的过渡不够自然。</w:t>
            </w:r>
          </w:p>
          <w:p w14:paraId="10D3BAAE">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163406DE">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对观察片段中的内容有一定细节描写，但细节不够丰富。例如，能记录锡坤投物的大致动作和周围人群的反应，但对于人物的细微表情、动作的连贯性等描述不够细致。</w:t>
            </w:r>
          </w:p>
          <w:p w14:paraId="0622D5A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能运用部分课堂所学知识对观察内容进行分析，但分析的深度和广度有限。比如，只是简单地从一个学科角度进行分析，或者分析时引用的课堂知识不够准确或全面。</w:t>
            </w:r>
          </w:p>
          <w:p w14:paraId="591F89A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语言表达较为通顺，用词基本恰当，但可能存在少量语病或错别字，书写或排版基本符合要求。</w:t>
            </w:r>
          </w:p>
          <w:p w14:paraId="43CE9B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观察记录内容基本涵盖了课堂要求的要点，但在某些方面可能不够全面，或者对某些要点的分析不够深入，只能从单一角度进行探讨。</w:t>
            </w:r>
          </w:p>
          <w:p w14:paraId="3F26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46" w:type="pct"/>
            <w:vAlign w:val="top"/>
          </w:tcPr>
          <w:p w14:paraId="6873792F">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2950FF0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标题不够明确，可能无法准确反映观察内容。</w:t>
            </w:r>
          </w:p>
          <w:p w14:paraId="5967480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观察时间、地点、对象等基本信息记录不完整，存在明显遗漏，如缺少观察对象的详细描述。</w:t>
            </w:r>
          </w:p>
          <w:p w14:paraId="3975951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观察目的表述不够清晰，与课程要求的关联性不强，甚至可能偏离主题。</w:t>
            </w:r>
          </w:p>
          <w:p w14:paraId="5C0FB68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观察记录正文结构混乱，缺乏明确的开头、过程和结尾，逻辑不连贯，阅读起来较为困难。</w:t>
            </w:r>
          </w:p>
          <w:p w14:paraId="535A3555">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26723CC4">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对观察内容的记录较为粗糙，只有大致情节描述，缺乏细节。例如，只是简单提到锡坤投物这一事件，但对具体过程、人物状态等没有详细描写。</w:t>
            </w:r>
          </w:p>
          <w:p w14:paraId="7A5B014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分析部分与课堂知识的联系不够紧密，甚至可能出现错误理解或应用不当的情况。比如，将课堂知识生搬硬套到观察内容中，或者分析时完全脱离课堂所学。</w:t>
            </w:r>
          </w:p>
          <w:p w14:paraId="23150B9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语言表达不够流畅，存在较多语病和错别字，书写潦草或排版混乱，影响阅读理解。</w:t>
            </w:r>
          </w:p>
          <w:p w14:paraId="02802B2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观察记录内容不完整，存在明显缺失，或者对观察要点的理解有偏差，导致分析内容与实际观察现象不符。</w:t>
            </w:r>
          </w:p>
          <w:p w14:paraId="4A4442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09" w:type="pct"/>
            <w:vAlign w:val="top"/>
          </w:tcPr>
          <w:p w14:paraId="0FAE9C81">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05C2638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标题缺失或完全不符合要求。</w:t>
            </w:r>
          </w:p>
          <w:p w14:paraId="412A41D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观察时间、地点、对象等基本信息缺失严重，无法从记录中获取基本的观察背景信息。</w:t>
            </w:r>
          </w:p>
          <w:p w14:paraId="7C03F68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观察目的缺失或与课程要求完全不相关，甚至出现与课程主题背道而驰的情况。</w:t>
            </w:r>
          </w:p>
          <w:p w14:paraId="5F829D2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观察记录正文没有明确的结构，内容杂乱无章，无法区分不同部分。</w:t>
            </w:r>
          </w:p>
          <w:p w14:paraId="69CAE7CC">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522DFE6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观察内容记录不真实或完全虚构，与《锡坤投物》片段实际情节不符，无法体现对观察对象的任何真实观察。</w:t>
            </w:r>
          </w:p>
          <w:p w14:paraId="41FA3B2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分析部分完全脱离课堂知识，甚至出现违背常识或逻辑的错误观点，显示出学生对课堂内容没有基本的接受和掌握。</w:t>
            </w:r>
          </w:p>
          <w:p w14:paraId="4DAE0B0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语言表达混乱，语病和错别字众多，书写或排版极差，严重影响阅读，甚至无法理解其表达意图。</w:t>
            </w:r>
          </w:p>
          <w:p w14:paraId="3EEDF51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观察记录内容严重缺失，或者内容与观察主题完全无关，无法体现学生对课堂要求的任何理解和执行。</w:t>
            </w:r>
          </w:p>
          <w:p w14:paraId="3D1E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r>
      <w:tr w14:paraId="7AE9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14CFC8B6">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shd w:val="clear" w:color="auto" w:fill="auto"/>
            <w:vAlign w:val="top"/>
          </w:tcPr>
          <w:p w14:paraId="02BBB157">
            <w:pPr>
              <w:widowControl w:val="0"/>
              <w:tabs>
                <w:tab w:val="left" w:pos="532"/>
              </w:tabs>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平时表现</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要求用“取样观察记录+等级评定表”对同一幼儿同一行为连续跟踪三次：先选时距或事件取样法做客观速记，再按教师提供的5级评定表打分。记录须含时间、情境、 verbatim 描述；评定表需填各维度得分并附简短证据。最后将量化结果与文字记录对照，用150字说明行为变化趋势及教育启示。</w:t>
            </w:r>
          </w:p>
        </w:tc>
        <w:tc>
          <w:tcPr>
            <w:tcW w:w="989" w:type="pct"/>
            <w:vAlign w:val="top"/>
          </w:tcPr>
          <w:p w14:paraId="27303B1B">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设计科学，连续三次记录完整、客观、细节丰富；等级评定表各维度打分依据明确，与原始记录一一对应；量化结果与文字分析相互印证，能精准描述行为变化趋势；教育启示深刻、具体，体现理论与实践的深度融合。</w:t>
            </w:r>
          </w:p>
        </w:tc>
        <w:tc>
          <w:tcPr>
            <w:tcW w:w="943" w:type="pct"/>
            <w:vAlign w:val="top"/>
          </w:tcPr>
          <w:p w14:paraId="6C1372A9">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取样方法正确，三次记录较完整，偶有细节遗漏；等级评定表评分基本合理，但个别维度证据略单薄；量化与文字分析大体一致，能指出行为变化方向；教育启示较为具体，但深度一般。</w:t>
            </w:r>
          </w:p>
        </w:tc>
        <w:tc>
          <w:tcPr>
            <w:tcW w:w="946" w:type="pct"/>
            <w:vAlign w:val="top"/>
          </w:tcPr>
          <w:p w14:paraId="3E479043">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取样方法单一或间隔不均，记录片段化；等级评定表打分笼统，缺少具体证据；量化与文字分析关联度不高，仅简单描述结果；教育启示空泛，未结合理论。</w:t>
            </w:r>
          </w:p>
        </w:tc>
        <w:tc>
          <w:tcPr>
            <w:tcW w:w="909" w:type="pct"/>
            <w:vAlign w:val="top"/>
          </w:tcPr>
          <w:p w14:paraId="7BFCA355">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取样随意，记录缺失或主观臆断；等级评定表缺项或评分无依据；量化与文字分析脱节；未提供教育启示或明显抄袭。</w:t>
            </w:r>
          </w:p>
        </w:tc>
      </w:tr>
      <w:tr w14:paraId="54401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6009E79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4</w:t>
            </w:r>
          </w:p>
        </w:tc>
        <w:tc>
          <w:tcPr>
            <w:tcW w:w="766" w:type="pct"/>
            <w:shd w:val="clear" w:color="auto" w:fill="auto"/>
            <w:vAlign w:val="top"/>
          </w:tcPr>
          <w:p w14:paraId="038B38E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反思小结</w:t>
            </w:r>
            <w:r>
              <w:rPr>
                <w:rFonts w:hint="eastAsia" w:cs="宋体"/>
                <w:i w:val="0"/>
                <w:iCs w:val="0"/>
                <w:caps w:val="0"/>
                <w:spacing w:val="0"/>
                <w:kern w:val="0"/>
                <w:sz w:val="21"/>
                <w:szCs w:val="21"/>
                <w:shd w:val="clear" w:fill="FFFFFF"/>
                <w:lang w:val="en-US" w:eastAsia="zh-CN" w:bidi="ar"/>
              </w:rPr>
              <w:t>，</w:t>
            </w:r>
            <w:r>
              <w:rPr>
                <w:rFonts w:hint="eastAsia" w:eastAsia="宋体"/>
                <w:color w:val="000000"/>
                <w:sz w:val="21"/>
                <w:szCs w:val="21"/>
              </w:rPr>
              <w:t>借助幼儿园见习期间，要求学生观察并记录三份观察记录，最终提交一份自认为质量最优的儿童游戏活动观察记录，主要考核同学们对过去半个学期课程学习内容的接受程度和掌握程度，特别考察观察记录格式的完整性、每一块面撰写的规范性、每一块面撰写的专业性。</w:t>
            </w:r>
          </w:p>
        </w:tc>
        <w:tc>
          <w:tcPr>
            <w:tcW w:w="989" w:type="pct"/>
            <w:vAlign w:val="top"/>
          </w:tcPr>
          <w:p w14:paraId="5033E26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主题聚焦：紧扣“学前儿童行为观察”核心，问题意识鲜明，反思切口小而深。</w:t>
            </w:r>
          </w:p>
          <w:p w14:paraId="730AF86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理论支撑：能准确调用并整合≥3种权威理论（如皮亚杰认知发展、维果茨基最近发展区、布朗芬布伦纳生态系统理论等），引用规范，解释到位。</w:t>
            </w:r>
          </w:p>
          <w:p w14:paraId="70F0CBA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观察证据：呈现完整、连续、客观的原始记录（文字/视频/图片），数据充分，情境信息详实；能用量表或编码进行二次分析。</w:t>
            </w:r>
          </w:p>
          <w:p w14:paraId="576F2C1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反思深度：能由表及里，揭示行为背后的心理机制、发展需求及教育意义；提出2条以上可操作、可评估的改进策略，并说明预期效果与风险预案。</w:t>
            </w:r>
          </w:p>
          <w:p w14:paraId="03F9AF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结构与表达：逻辑递进清晰，首尾呼应；语言学术且生动，术语使用准确；格式规范，参考文献≥5篇且近5年文献占50%以上。</w:t>
            </w:r>
          </w:p>
        </w:tc>
        <w:tc>
          <w:tcPr>
            <w:tcW w:w="943" w:type="pct"/>
            <w:vAlign w:val="top"/>
          </w:tcPr>
          <w:p w14:paraId="455750B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主题较聚焦，能围绕一个典型行为展开反思。</w:t>
            </w:r>
          </w:p>
          <w:p w14:paraId="2BE145E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理论支撑：引用2种相关理论，解释基本正确，偶有概念混用。</w:t>
            </w:r>
          </w:p>
          <w:p w14:paraId="29BC85A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观察证据：记录较完整，但细节略欠缺；有简单量化分析意识，但方法单一。</w:t>
            </w:r>
          </w:p>
          <w:p w14:paraId="42D71BC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反思深度：能联系儿童发展特点，指出主要影响因素；提出1–2条改进策略，可操作性尚可，但缺少评估指标。</w:t>
            </w:r>
          </w:p>
          <w:p w14:paraId="3A6C105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结构与表达：条理较清晰，语言通顺；格式基本规范，参考文献≥3篇，有一定时效性。</w:t>
            </w:r>
          </w:p>
          <w:p w14:paraId="445C81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29E18F7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c>
          <w:tcPr>
            <w:tcW w:w="946" w:type="pct"/>
            <w:vAlign w:val="top"/>
          </w:tcPr>
          <w:p w14:paraId="037B613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主题宽泛或边缘化，与“行为观察”关联度一般。</w:t>
            </w:r>
          </w:p>
          <w:p w14:paraId="7323DA9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理论支撑：仅提及1种理论，且解释停留在字面；存在引用格式错误。</w:t>
            </w:r>
          </w:p>
          <w:p w14:paraId="370376D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观察证据：记录片段化，缺少时间轴或情境描述；无二次分析。</w:t>
            </w:r>
          </w:p>
          <w:p w14:paraId="623E94E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反思深度：多为感性描述或经验罗列，缺乏学理分析；改进策略空泛（如“多关注孩子”），无可测指标。</w:t>
            </w:r>
          </w:p>
          <w:p w14:paraId="3AD38AD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结构与表达：逻辑跳跃，语句口语化；格式凌乱，参考文献数量不足或老旧。</w:t>
            </w:r>
          </w:p>
          <w:p w14:paraId="26D0EE9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4AE839A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c>
          <w:tcPr>
            <w:tcW w:w="909" w:type="pct"/>
            <w:vAlign w:val="top"/>
          </w:tcPr>
          <w:p w14:paraId="363B4AE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主题偏离：反思内容与学前儿童行为观察无关或抄袭。</w:t>
            </w:r>
          </w:p>
          <w:p w14:paraId="4D21CCD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理论缺失：未引用任何理论，或出现明显错误、张冠李戴。</w:t>
            </w:r>
          </w:p>
          <w:p w14:paraId="540C69F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观察证据：无原始记录，或记录严重失真、主观臆断。</w:t>
            </w:r>
          </w:p>
          <w:p w14:paraId="5484F74E">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反思缺位：仅复述观察过程，无问题剖析及改进思考。</w:t>
            </w:r>
          </w:p>
          <w:p w14:paraId="7B3E9FE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结构与表达：结构混乱，错别字、语法错误频出；无参考文献或格式严重不合规。</w:t>
            </w:r>
          </w:p>
          <w:p w14:paraId="7FB5FAC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0A1BB92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r>
    </w:tbl>
    <w:p w14:paraId="61F24C4B">
      <w:pPr>
        <w:pStyle w:val="16"/>
        <w:rPr>
          <w:rFonts w:hint="eastAsia" w:ascii="黑体" w:hAnsi="宋体"/>
          <w:sz w:val="18"/>
          <w:szCs w:val="16"/>
        </w:rPr>
      </w:pPr>
    </w:p>
    <w:p w14:paraId="60A98BA3">
      <w:pPr>
        <w:pStyle w:val="16"/>
        <w:numPr>
          <w:ilvl w:val="0"/>
          <w:numId w:val="0"/>
        </w:numPr>
        <w:spacing w:before="326" w:beforeLines="100" w:line="360" w:lineRule="auto"/>
        <w:outlineLvl w:val="0"/>
        <w:rPr>
          <w:rFonts w:hint="eastAsia" w:ascii="黑体" w:hAnsi="宋体"/>
        </w:rPr>
      </w:pPr>
    </w:p>
    <w:p w14:paraId="38B96AE4">
      <w:pPr>
        <w:pStyle w:val="16"/>
        <w:numPr>
          <w:ilvl w:val="0"/>
          <w:numId w:val="0"/>
        </w:numPr>
        <w:spacing w:before="326" w:beforeLines="100" w:line="360" w:lineRule="auto"/>
        <w:outlineLvl w:val="0"/>
        <w:rPr>
          <w:rFonts w:hint="eastAsia" w:ascii="黑体" w:hAnsi="宋体"/>
        </w:rPr>
      </w:pPr>
    </w:p>
    <w:p w14:paraId="02A65084">
      <w:pPr>
        <w:pStyle w:val="16"/>
        <w:numPr>
          <w:ilvl w:val="0"/>
          <w:numId w:val="0"/>
        </w:numPr>
        <w:spacing w:before="326" w:beforeLines="100" w:line="360" w:lineRule="auto"/>
        <w:outlineLvl w:val="0"/>
        <w:rPr>
          <w:rFonts w:hint="eastAsia" w:ascii="黑体" w:hAnsi="宋体"/>
        </w:rPr>
      </w:pPr>
    </w:p>
    <w:p w14:paraId="18F19E4B">
      <w:pPr>
        <w:pStyle w:val="16"/>
        <w:numPr>
          <w:ilvl w:val="0"/>
          <w:numId w:val="0"/>
        </w:numPr>
        <w:spacing w:before="326" w:beforeLines="100" w:line="360" w:lineRule="auto"/>
        <w:outlineLvl w:val="0"/>
        <w:rPr>
          <w:rFonts w:hint="eastAsia" w:ascii="黑体" w:hAnsi="宋体"/>
        </w:rPr>
      </w:pPr>
    </w:p>
    <w:p w14:paraId="71FCEF51">
      <w:pPr>
        <w:pStyle w:val="16"/>
        <w:numPr>
          <w:ilvl w:val="0"/>
          <w:numId w:val="0"/>
        </w:numPr>
        <w:spacing w:before="326" w:beforeLines="100" w:line="360" w:lineRule="auto"/>
        <w:outlineLvl w:val="0"/>
        <w:rPr>
          <w:rFonts w:hint="eastAsia" w:ascii="黑体" w:hAnsi="宋体"/>
        </w:rPr>
      </w:pPr>
    </w:p>
    <w:p w14:paraId="4A61F41D">
      <w:pPr>
        <w:pStyle w:val="16"/>
        <w:numPr>
          <w:ilvl w:val="0"/>
          <w:numId w:val="0"/>
        </w:numPr>
        <w:spacing w:before="326" w:beforeLines="100" w:line="360" w:lineRule="auto"/>
        <w:outlineLvl w:val="0"/>
        <w:rPr>
          <w:rFonts w:hint="eastAsia" w:ascii="黑体" w:hAnsi="宋体"/>
        </w:rPr>
      </w:pPr>
    </w:p>
    <w:p w14:paraId="58EB5FC0">
      <w:pPr>
        <w:pStyle w:val="16"/>
        <w:numPr>
          <w:ilvl w:val="0"/>
          <w:numId w:val="0"/>
        </w:numPr>
        <w:spacing w:before="326" w:beforeLines="100" w:line="360" w:lineRule="auto"/>
        <w:outlineLvl w:val="0"/>
        <w:rPr>
          <w:rFonts w:hint="eastAsia" w:ascii="黑体" w:hAnsi="宋体"/>
        </w:rPr>
      </w:pPr>
    </w:p>
    <w:p w14:paraId="41B0AF52">
      <w:pPr>
        <w:pStyle w:val="16"/>
        <w:numPr>
          <w:ilvl w:val="0"/>
          <w:numId w:val="0"/>
        </w:numPr>
        <w:spacing w:before="326" w:beforeLines="100" w:line="360" w:lineRule="auto"/>
        <w:outlineLvl w:val="0"/>
        <w:rPr>
          <w:rFonts w:hint="eastAsia" w:ascii="黑体" w:hAnsi="宋体"/>
        </w:rPr>
      </w:pPr>
    </w:p>
    <w:p w14:paraId="786004F1">
      <w:pPr>
        <w:pStyle w:val="16"/>
        <w:numPr>
          <w:ilvl w:val="0"/>
          <w:numId w:val="0"/>
        </w:numPr>
        <w:spacing w:before="326" w:beforeLines="100" w:line="360" w:lineRule="auto"/>
        <w:outlineLvl w:val="0"/>
        <w:rPr>
          <w:rFonts w:hint="eastAsia" w:ascii="黑体" w:hAnsi="宋体"/>
        </w:rPr>
      </w:pPr>
    </w:p>
    <w:p w14:paraId="671D1C81">
      <w:pPr>
        <w:pStyle w:val="16"/>
        <w:numPr>
          <w:ilvl w:val="0"/>
          <w:numId w:val="0"/>
        </w:numPr>
        <w:spacing w:before="326" w:beforeLines="100" w:line="360" w:lineRule="auto"/>
        <w:outlineLvl w:val="0"/>
        <w:rPr>
          <w:rFonts w:hint="eastAsia" w:ascii="黑体" w:hAnsi="宋体"/>
        </w:rPr>
      </w:pPr>
    </w:p>
    <w:p w14:paraId="58B6197B">
      <w:pPr>
        <w:pStyle w:val="16"/>
        <w:numPr>
          <w:ilvl w:val="0"/>
          <w:numId w:val="0"/>
        </w:numPr>
        <w:spacing w:before="326" w:beforeLines="100" w:line="360" w:lineRule="auto"/>
        <w:outlineLvl w:val="0"/>
        <w:rPr>
          <w:rFonts w:hint="eastAsia" w:ascii="黑体" w:hAnsi="宋体"/>
        </w:rPr>
      </w:pPr>
    </w:p>
    <w:bookmarkEnd w:id="2"/>
    <w:bookmarkEnd w:id="3"/>
    <w:p w14:paraId="475C2E55">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508B">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74E34"/>
    <w:multiLevelType w:val="singleLevel"/>
    <w:tmpl w:val="DD474E34"/>
    <w:lvl w:ilvl="0" w:tentative="0">
      <w:start w:val="5"/>
      <w:numFmt w:val="chineseCounting"/>
      <w:suff w:val="nothing"/>
      <w:lvlText w:val="%1、"/>
      <w:lvlJc w:val="left"/>
      <w:rPr>
        <w:rFonts w:hint="eastAsia"/>
      </w:rPr>
    </w:lvl>
  </w:abstractNum>
  <w:abstractNum w:abstractNumId="1">
    <w:nsid w:val="0A452338"/>
    <w:multiLevelType w:val="multilevel"/>
    <w:tmpl w:val="0A45233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F65655"/>
    <w:multiLevelType w:val="multilevel"/>
    <w:tmpl w:val="26F6565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63536D"/>
    <w:multiLevelType w:val="multilevel"/>
    <w:tmpl w:val="3563536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0F70BF"/>
    <w:multiLevelType w:val="multilevel"/>
    <w:tmpl w:val="420F70B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F32561"/>
    <w:multiLevelType w:val="multilevel"/>
    <w:tmpl w:val="4DF3256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3A07556"/>
    <w:multiLevelType w:val="multilevel"/>
    <w:tmpl w:val="53A0755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79071A7"/>
    <w:multiLevelType w:val="multilevel"/>
    <w:tmpl w:val="579071A7"/>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F3C476C"/>
    <w:multiLevelType w:val="multilevel"/>
    <w:tmpl w:val="5F3C476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F21653B"/>
    <w:multiLevelType w:val="singleLevel"/>
    <w:tmpl w:val="6F21653B"/>
    <w:lvl w:ilvl="0" w:tentative="0">
      <w:start w:val="2"/>
      <w:numFmt w:val="chineseCounting"/>
      <w:suff w:val="nothing"/>
      <w:lvlText w:val="（%1）"/>
      <w:lvlJc w:val="left"/>
      <w:rPr>
        <w:rFonts w:hint="eastAsia"/>
      </w:rPr>
    </w:lvl>
  </w:abstractNum>
  <w:abstractNum w:abstractNumId="10">
    <w:nsid w:val="6F2822DD"/>
    <w:multiLevelType w:val="multilevel"/>
    <w:tmpl w:val="6F2822D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17C"/>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D31B9A"/>
    <w:rsid w:val="093702A3"/>
    <w:rsid w:val="0A8128A6"/>
    <w:rsid w:val="0BF32A1B"/>
    <w:rsid w:val="0CF56E5C"/>
    <w:rsid w:val="10BD2C22"/>
    <w:rsid w:val="12DD3D55"/>
    <w:rsid w:val="20CC33B3"/>
    <w:rsid w:val="22987C80"/>
    <w:rsid w:val="24186914"/>
    <w:rsid w:val="24192CCC"/>
    <w:rsid w:val="2B580837"/>
    <w:rsid w:val="2D1C6FC6"/>
    <w:rsid w:val="2E530969"/>
    <w:rsid w:val="35607F39"/>
    <w:rsid w:val="39A66CD4"/>
    <w:rsid w:val="3CD52CE1"/>
    <w:rsid w:val="410F2E6A"/>
    <w:rsid w:val="42990A11"/>
    <w:rsid w:val="43483523"/>
    <w:rsid w:val="4430136C"/>
    <w:rsid w:val="4AB0382B"/>
    <w:rsid w:val="5438377A"/>
    <w:rsid w:val="569868B5"/>
    <w:rsid w:val="57707123"/>
    <w:rsid w:val="58865664"/>
    <w:rsid w:val="5C527BB5"/>
    <w:rsid w:val="5F982D6C"/>
    <w:rsid w:val="611F6817"/>
    <w:rsid w:val="618B6346"/>
    <w:rsid w:val="66CA1754"/>
    <w:rsid w:val="6AF06AA5"/>
    <w:rsid w:val="6B566B19"/>
    <w:rsid w:val="6CC15954"/>
    <w:rsid w:val="6F1E65D4"/>
    <w:rsid w:val="6F266C86"/>
    <w:rsid w:val="6F5042C2"/>
    <w:rsid w:val="70420D6E"/>
    <w:rsid w:val="711C20B9"/>
    <w:rsid w:val="74316312"/>
    <w:rsid w:val="76B53601"/>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Table Paragraph"/>
    <w:basedOn w:val="1"/>
    <w:autoRedefine/>
    <w:qFormat/>
    <w:uiPriority w:val="1"/>
    <w:pPr>
      <w:jc w:val="left"/>
    </w:pPr>
    <w:rPr>
      <w:kern w:val="0"/>
      <w:sz w:val="22"/>
      <w:lang w:eastAsia="en-US"/>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3570</Words>
  <Characters>3699</Characters>
  <Lines>6</Lines>
  <Paragraphs>1</Paragraphs>
  <TotalTime>0</TotalTime>
  <ScaleCrop>false</ScaleCrop>
  <LinksUpToDate>false</LinksUpToDate>
  <CharactersWithSpaces>3718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2025-02-12T03:44:00Z</cp:lastPrinted>
  <dcterms:modified xsi:type="dcterms:W3CDTF">2025-09-25T09:58:13Z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