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639"/>
        <w:gridCol w:w="1389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5162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孙迪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24244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国贸B25-1;国贸B25-2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一教20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四教10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四教304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zh-TW" w:eastAsia="zh-CN"/>
              </w:rPr>
              <w:t>时间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:周一5-8节    </w:t>
            </w:r>
            <w:r>
              <w:rPr>
                <w:rFonts w:hint="eastAsia" w:eastAsia="宋体"/>
                <w:sz w:val="21"/>
                <w:szCs w:val="21"/>
                <w:lang w:val="zh-TW" w:eastAsia="zh-CN"/>
              </w:rPr>
              <w:t>地点：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教育学院235  </w:t>
            </w:r>
            <w:r>
              <w:rPr>
                <w:rFonts w:hint="eastAsia" w:eastAsia="宋体"/>
                <w:sz w:val="21"/>
                <w:szCs w:val="21"/>
                <w:lang w:val="zh-CN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zh-TW" w:eastAsia="zh-CN"/>
              </w:rPr>
              <w:t>电话：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云班课：7372662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孙迪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BF56429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455326C"/>
    <w:rsid w:val="253A6C52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773DA3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1359</Words>
  <Characters>1601</Characters>
  <Lines>2</Lines>
  <Paragraphs>1</Paragraphs>
  <TotalTime>1</TotalTime>
  <ScaleCrop>false</ScaleCrop>
  <LinksUpToDate>false</LinksUpToDate>
  <CharactersWithSpaces>1660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Weinstein</cp:lastModifiedBy>
  <cp:lastPrinted>2015-03-18T03:45:00Z</cp:lastPrinted>
  <dcterms:modified xsi:type="dcterms:W3CDTF">2025-09-11T08:50:40Z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eyJoZGlkIjoiM2FjZTVhYTdiNjdlYjY2MmE1YTdkZDMyZmU1ZmQ5ODQiLCJ1c2VySWQiOiIzNTUzMjQ2ODUifQ==</vt:lpwstr>
  </property>
  <property fmtid="{D5CDD505-2E9C-101B-9397-08002B2CF9AE}" pid="4" name="ICV">
    <vt:lpwstr>4D33687FC7C74D4D9D459F00E0381656_13</vt:lpwstr>
  </property>
</Properties>
</file>