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F19E8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《生活中的</w:t>
      </w:r>
      <w:r>
        <w:rPr>
          <w:rFonts w:ascii="黑体" w:hAnsi="黑体" w:eastAsia="黑体"/>
          <w:bCs/>
          <w:sz w:val="32"/>
          <w:szCs w:val="32"/>
        </w:rPr>
        <w:t>民法典</w:t>
      </w:r>
      <w:r>
        <w:rPr>
          <w:rFonts w:hint="eastAsia" w:ascii="黑体" w:hAnsi="黑体" w:eastAsia="黑体"/>
          <w:bCs/>
          <w:sz w:val="32"/>
          <w:szCs w:val="32"/>
        </w:rPr>
        <w:t>》课程教学大纲</w:t>
      </w:r>
    </w:p>
    <w:p w14:paraId="6D5A9F51">
      <w:pPr>
        <w:pStyle w:val="16"/>
        <w:spacing w:before="312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6"/>
        <w:gridCol w:w="2268"/>
        <w:gridCol w:w="1276"/>
        <w:gridCol w:w="851"/>
        <w:gridCol w:w="567"/>
        <w:gridCol w:w="850"/>
        <w:gridCol w:w="788"/>
      </w:tblGrid>
      <w:tr w14:paraId="0581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1D9D8E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600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60A9469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生活中的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</w:t>
            </w:r>
          </w:p>
        </w:tc>
      </w:tr>
      <w:tr w14:paraId="5719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10E92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21CB87EC">
            <w:pPr>
              <w:widowControl w:val="0"/>
              <w:jc w:val="center"/>
              <w:rPr>
                <w:color w:val="000000" w:themeColor="text1"/>
                <w:sz w:val="21"/>
                <w:szCs w:val="21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《Civil Code of the People's Republic of China》in Daily Life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14:paraId="057D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EF0E6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25A367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t>2138096</w:t>
            </w:r>
          </w:p>
        </w:tc>
        <w:tc>
          <w:tcPr>
            <w:tcW w:w="2127" w:type="dxa"/>
            <w:gridSpan w:val="2"/>
            <w:vAlign w:val="center"/>
          </w:tcPr>
          <w:p w14:paraId="63E1053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205" w:type="dxa"/>
            <w:gridSpan w:val="3"/>
            <w:tcBorders>
              <w:right w:val="single" w:color="auto" w:sz="12" w:space="0"/>
            </w:tcBorders>
            <w:vAlign w:val="center"/>
          </w:tcPr>
          <w:p w14:paraId="1E11C35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F86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4B301D1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EBD8F1C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6" w:type="dxa"/>
            <w:vAlign w:val="center"/>
          </w:tcPr>
          <w:p w14:paraId="245256F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1" w:type="dxa"/>
            <w:vAlign w:val="center"/>
          </w:tcPr>
          <w:p w14:paraId="173FBC6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14:paraId="752E5C8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8" w:type="dxa"/>
            <w:tcBorders>
              <w:right w:val="single" w:color="auto" w:sz="12" w:space="0"/>
            </w:tcBorders>
            <w:vAlign w:val="center"/>
          </w:tcPr>
          <w:p w14:paraId="664E759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DD2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A20A42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8" w:type="dxa"/>
            <w:vAlign w:val="center"/>
          </w:tcPr>
          <w:p w14:paraId="3922CB63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7" w:type="dxa"/>
            <w:gridSpan w:val="2"/>
            <w:vAlign w:val="center"/>
          </w:tcPr>
          <w:p w14:paraId="2E1B3E0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205" w:type="dxa"/>
            <w:gridSpan w:val="3"/>
            <w:tcBorders>
              <w:right w:val="single" w:color="auto" w:sz="12" w:space="0"/>
            </w:tcBorders>
            <w:vAlign w:val="center"/>
          </w:tcPr>
          <w:p w14:paraId="3257ABED">
            <w:pPr>
              <w:widowControl w:val="0"/>
              <w:jc w:val="center"/>
              <w:rPr>
                <w:color w:val="000000" w:themeColor="text1"/>
                <w:sz w:val="21"/>
                <w:szCs w:val="21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全校本科</w:t>
            </w:r>
          </w:p>
        </w:tc>
      </w:tr>
      <w:tr w14:paraId="3A95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7F69D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8" w:type="dxa"/>
            <w:vAlign w:val="center"/>
          </w:tcPr>
          <w:p w14:paraId="3D143CF1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127" w:type="dxa"/>
            <w:gridSpan w:val="2"/>
            <w:vAlign w:val="center"/>
          </w:tcPr>
          <w:p w14:paraId="27FF57E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205" w:type="dxa"/>
            <w:gridSpan w:val="3"/>
            <w:tcBorders>
              <w:right w:val="single" w:color="auto" w:sz="12" w:space="0"/>
            </w:tcBorders>
            <w:vAlign w:val="center"/>
          </w:tcPr>
          <w:p w14:paraId="14E49BF8">
            <w:pPr>
              <w:widowControl w:val="0"/>
              <w:jc w:val="center"/>
              <w:rPr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考察</w:t>
            </w:r>
          </w:p>
        </w:tc>
      </w:tr>
      <w:tr w14:paraId="2133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FF0F7F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3EC193AA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主教材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《中华人民共和国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》中国法制出服社 2020年5月28日出版</w:t>
            </w:r>
          </w:p>
        </w:tc>
      </w:tr>
      <w:tr w14:paraId="148F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02CACD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49B950A0">
            <w:pPr>
              <w:widowControl w:val="0"/>
              <w:jc w:val="center"/>
              <w:rPr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34C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45762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402F3068">
            <w:pPr>
              <w:widowControl w:val="0"/>
              <w:ind w:firstLine="420" w:firstLineChars="200"/>
              <w:jc w:val="both"/>
              <w:textAlignment w:val="baseline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2021年1月1日起施行的《中华人民共和国民法典》是一部社会生活的百科全书，是人民民事权利的保护法典，生活中的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课程以首部《中华人民共和国民法典》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为依托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，通过学习和解读民法典的物权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、合同、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人格权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婚姻家庭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、继承、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侵权责任等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法律关系，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民事权利，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结合生活中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民事法律案件，分析民法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典的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基础知识以及法律诉讼的程序。通过学习这门课程，使学生了解新时代我国社会主义法治建设的重大成果，民法典建设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的重大意义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法律的基本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原则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，掌握法律方面的基础知识，能够运用所学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理论和知识，分析解决实际生活中的法律问题；提高大学生的政治觉悟、公民意识，培养高尚的思想情操和道德观念。对社会主义法律意识和对依法治国、建设社会主义法治国家的必要性和渐进性的认识；提高学生将来依法参与治理国家的工作能力和工作效率。同时培养大学生成为知法、懂法、自觉守法的21世纪合格人才。</w:t>
            </w:r>
          </w:p>
        </w:tc>
      </w:tr>
      <w:tr w14:paraId="49E6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50033D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600" w:type="dxa"/>
            <w:gridSpan w:val="6"/>
            <w:tcBorders>
              <w:bottom w:val="double" w:color="auto" w:sz="4" w:space="0"/>
              <w:right w:val="single" w:color="auto" w:sz="12" w:space="0"/>
            </w:tcBorders>
            <w:vAlign w:val="center"/>
          </w:tcPr>
          <w:p w14:paraId="2DD12952">
            <w:pPr>
              <w:widowControl w:val="0"/>
              <w:snapToGrid w:val="0"/>
              <w:spacing w:line="360" w:lineRule="auto"/>
              <w:ind w:left="408" w:leftChars="17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适用于各种专业的学生</w:t>
            </w:r>
          </w:p>
        </w:tc>
      </w:tr>
      <w:tr w14:paraId="1E8A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4E45A7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8" w:name="_GoBack" w:colFirst="4" w:colLast="5"/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44" w:type="dxa"/>
            <w:gridSpan w:val="2"/>
            <w:tcBorders>
              <w:top w:val="double" w:color="auto" w:sz="4" w:space="0"/>
            </w:tcBorders>
            <w:vAlign w:val="center"/>
          </w:tcPr>
          <w:p w14:paraId="402E44BD">
            <w:pPr>
              <w:widowControl w:val="0"/>
              <w:wordWrap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361315" cy="546100"/>
                  <wp:effectExtent l="0" t="0" r="2540" b="4445"/>
                  <wp:docPr id="4" name="图片 4" descr="窦红霞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窦红霞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1315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</w:tcBorders>
            <w:vAlign w:val="center"/>
          </w:tcPr>
          <w:p w14:paraId="3C842B3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制/修定</w:t>
            </w:r>
            <w:bookmarkStart w:id="0" w:name="OLE_LINK20"/>
            <w:bookmarkStart w:id="1" w:name="OLE_LINK19"/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  <w:bookmarkEnd w:id="0"/>
            <w:bookmarkEnd w:id="1"/>
          </w:p>
        </w:tc>
        <w:tc>
          <w:tcPr>
            <w:tcW w:w="163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3C8D9F0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2025.8</w:t>
            </w:r>
          </w:p>
        </w:tc>
      </w:tr>
      <w:tr w14:paraId="060E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F69F19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44" w:type="dxa"/>
            <w:gridSpan w:val="2"/>
            <w:vAlign w:val="center"/>
          </w:tcPr>
          <w:p w14:paraId="2FBC91A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529590" cy="358775"/>
                  <wp:effectExtent l="0" t="0" r="3810" b="698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vAlign w:val="center"/>
          </w:tcPr>
          <w:p w14:paraId="319864E2">
            <w:pPr>
              <w:widowControl w:val="0"/>
              <w:jc w:val="center"/>
              <w:rPr>
                <w:sz w:val="21"/>
                <w:szCs w:val="21"/>
              </w:rPr>
            </w:pPr>
            <w:bookmarkStart w:id="2" w:name="OLE_LINK12"/>
            <w:bookmarkStart w:id="3" w:name="OLE_LINK11"/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</w:t>
            </w:r>
            <w:bookmarkEnd w:id="2"/>
            <w:bookmarkEnd w:id="3"/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638" w:type="dxa"/>
            <w:gridSpan w:val="2"/>
            <w:tcBorders>
              <w:right w:val="single" w:color="auto" w:sz="12" w:space="0"/>
            </w:tcBorders>
            <w:vAlign w:val="center"/>
          </w:tcPr>
          <w:p w14:paraId="12689AAE">
            <w:pPr>
              <w:pStyle w:val="14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2025.8</w:t>
            </w:r>
          </w:p>
        </w:tc>
      </w:tr>
      <w:tr w14:paraId="0DC5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DAF3F1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44" w:type="dxa"/>
            <w:gridSpan w:val="2"/>
            <w:tcBorders>
              <w:bottom w:val="single" w:color="auto" w:sz="12" w:space="0"/>
            </w:tcBorders>
            <w:vAlign w:val="center"/>
          </w:tcPr>
          <w:p w14:paraId="1C16423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597535" cy="297815"/>
                  <wp:effectExtent l="0" t="0" r="1206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tcBorders>
              <w:bottom w:val="single" w:color="auto" w:sz="12" w:space="0"/>
            </w:tcBorders>
            <w:vAlign w:val="center"/>
          </w:tcPr>
          <w:p w14:paraId="4AAA743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批准日期</w:t>
            </w:r>
          </w:p>
        </w:tc>
        <w:tc>
          <w:tcPr>
            <w:tcW w:w="163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ACAC3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2025.8</w:t>
            </w:r>
          </w:p>
        </w:tc>
      </w:tr>
      <w:bookmarkEnd w:id="8"/>
    </w:tbl>
    <w:p w14:paraId="02824660">
      <w:pPr>
        <w:spacing w:line="100" w:lineRule="exact"/>
      </w:pPr>
    </w:p>
    <w:p w14:paraId="13F7D45F">
      <w:pPr>
        <w:spacing w:line="100" w:lineRule="exact"/>
      </w:pPr>
    </w:p>
    <w:p w14:paraId="177402C8">
      <w:pPr>
        <w:pStyle w:val="16"/>
        <w:spacing w:before="312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74E00F9A">
      <w:pPr>
        <w:pStyle w:val="17"/>
        <w:spacing w:before="156" w:after="156"/>
      </w:pPr>
      <w:r>
        <w:rPr>
          <w:rFonts w:hint="eastAsia"/>
        </w:rPr>
        <w:t xml:space="preserve">（一）课程目标 </w:t>
      </w:r>
    </w:p>
    <w:p w14:paraId="26DC849A">
      <w:pPr>
        <w:widowControl w:val="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24BF9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776C118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9730C9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3240F36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BBE8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24C7B66A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96AB2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3993EFA0">
            <w:pPr>
              <w:pStyle w:val="14"/>
              <w:jc w:val="left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通过学习和分析法律案件，了解法的基本原理、结构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掌握民法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典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的基础知识以及法律诉讼的程序。 </w:t>
            </w:r>
          </w:p>
        </w:tc>
      </w:tr>
      <w:tr w14:paraId="76282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1428BE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E874CF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09326029">
            <w:pPr>
              <w:pStyle w:val="14"/>
              <w:jc w:val="left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能够运用法学的基本理论和基础知识，分析解决实际生活中的问题</w:t>
            </w:r>
          </w:p>
        </w:tc>
      </w:tr>
      <w:tr w14:paraId="482B8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7AF9B88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B82F80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791D310D">
            <w:pPr>
              <w:pStyle w:val="14"/>
              <w:jc w:val="left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能具备自主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表达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沟通，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团队协作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依法参与治理实践能力</w:t>
            </w:r>
          </w:p>
        </w:tc>
      </w:tr>
      <w:tr w14:paraId="6F4FA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5B11F52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42A7700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bCs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E168F6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7050AB6">
            <w:pPr>
              <w:pStyle w:val="14"/>
              <w:jc w:val="left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树立正确的价值观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提高大学生的政治觉悟、民主意识，培养高尚的思想情操和道德观念。培养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知法、懂法、自觉守法和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规则意识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，明确爱国、诚信、敬业、友爱的精神，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协作创新精神</w:t>
            </w:r>
          </w:p>
        </w:tc>
      </w:tr>
    </w:tbl>
    <w:p w14:paraId="5A29E740">
      <w:pPr>
        <w:pStyle w:val="17"/>
        <w:spacing w:before="156" w:after="156"/>
      </w:pPr>
      <w:r>
        <w:rPr>
          <w:rFonts w:hint="eastAsia"/>
        </w:rPr>
        <w:t>（二）课程支撑的毕业要求</w:t>
      </w:r>
    </w:p>
    <w:p w14:paraId="21DE114B">
      <w:pPr>
        <w:widowControl w:val="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4C903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76" w:type="dxa"/>
          </w:tcPr>
          <w:p w14:paraId="68C83471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LO1</w:t>
            </w:r>
            <w:r>
              <w:rPr>
                <w:rFonts w:cs="Times New Roman"/>
                <w:b/>
              </w:rPr>
              <w:t>品德修养：</w:t>
            </w:r>
            <w:r>
              <w:rPr>
                <w:rFonts w:cs="Times New Roman"/>
              </w:rPr>
              <w:t>拥护</w:t>
            </w:r>
            <w:r>
              <w:rPr>
                <w:rFonts w:hint="eastAsia" w:cs="Times New Roman"/>
              </w:rPr>
              <w:t>中国共产</w:t>
            </w:r>
            <w:r>
              <w:rPr>
                <w:rFonts w:cs="Times New Roman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 w:cs="Times New Roman"/>
              </w:rPr>
              <w:t>“感恩、回报、爱心、责任”</w:t>
            </w:r>
            <w:r>
              <w:rPr>
                <w:rFonts w:cs="Times New Roman"/>
              </w:rPr>
              <w:t>八字校训，积极服务他人、服务社会、诚信尽责、爱岗敬业。</w:t>
            </w:r>
          </w:p>
          <w:p w14:paraId="55B401BB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④</w:t>
            </w:r>
            <w:r>
              <w:rPr>
                <w:rFonts w:cs="Times New Roman"/>
              </w:rPr>
              <w:t xml:space="preserve">诚信尽责，为人诚实，信守承诺，勤奋努力，精益求精，勇于担责。 </w:t>
            </w:r>
          </w:p>
        </w:tc>
      </w:tr>
      <w:tr w14:paraId="02115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4D662DF">
            <w:pPr>
              <w:widowControl w:val="0"/>
              <w:tabs>
                <w:tab w:val="left" w:pos="4200"/>
              </w:tabs>
              <w:spacing w:line="360" w:lineRule="auto"/>
              <w:jc w:val="both"/>
              <w:rPr>
                <w:rFonts w:asciiTheme="minorEastAsia" w:hAnsiTheme="minorEastAsia" w:eastAsiaTheme="minorEastAsia"/>
                <w:bCs/>
                <w:sz w:val="21"/>
                <w:szCs w:val="20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1"/>
                <w:szCs w:val="20"/>
              </w:rPr>
              <w:t>LO4</w:t>
            </w:r>
            <w:r>
              <w:rPr>
                <w:rFonts w:asciiTheme="minorEastAsia" w:hAnsiTheme="minorEastAsia" w:eastAsiaTheme="minorEastAsia"/>
                <w:b/>
                <w:sz w:val="21"/>
                <w:szCs w:val="20"/>
              </w:rPr>
              <w:t>自主学习</w:t>
            </w:r>
            <w:r>
              <w:rPr>
                <w:rFonts w:asciiTheme="minorEastAsia" w:hAnsiTheme="minorEastAsia" w:eastAsiaTheme="minorEastAsia"/>
                <w:bCs/>
                <w:sz w:val="21"/>
                <w:szCs w:val="20"/>
              </w:rPr>
              <w:t>：能根据环境需要确定自己的学习目标，并主动地通过搜集信息、分析信息、讨论、实践、质疑、创造等方法来实现学习目标。</w:t>
            </w:r>
          </w:p>
          <w:p w14:paraId="49FBD947">
            <w:pPr>
              <w:pStyle w:val="15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20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0"/>
              </w:rPr>
              <w:t>能根据需要确定学习目标，并设计学习计划。</w:t>
            </w:r>
          </w:p>
        </w:tc>
      </w:tr>
      <w:tr w14:paraId="1AA4F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276" w:type="dxa"/>
          </w:tcPr>
          <w:p w14:paraId="5F173C05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LO6</w:t>
            </w:r>
            <w:r>
              <w:rPr>
                <w:rFonts w:cs="Times New Roman"/>
                <w:b/>
              </w:rPr>
              <w:t>协同创新</w:t>
            </w:r>
            <w:r>
              <w:rPr>
                <w:rFonts w:cs="Times New Roman"/>
              </w:rPr>
              <w:t>：同群体保持良好的合作关系，做集体中的积极成员，善于自我管理和团队管理；善于从多个维度思考问题，利用自己的知识与实践来提出新设想。</w:t>
            </w:r>
          </w:p>
          <w:p w14:paraId="21517100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③</w:t>
            </w:r>
            <w:r>
              <w:rPr>
                <w:rFonts w:cs="Times New Roman"/>
              </w:rPr>
              <w:t>能用创新的方法或者多种方法解决复杂问题或真实问题。</w:t>
            </w:r>
          </w:p>
        </w:tc>
      </w:tr>
    </w:tbl>
    <w:p w14:paraId="15ACCBA2">
      <w:pPr>
        <w:pStyle w:val="17"/>
        <w:spacing w:before="156" w:after="156"/>
      </w:pPr>
      <w:r>
        <w:rPr>
          <w:rFonts w:hint="eastAsia"/>
        </w:rPr>
        <w:t>（三）毕业要求与课程目标的关系</w:t>
      </w:r>
    </w:p>
    <w:p w14:paraId="4D2130F3">
      <w:pPr>
        <w:widowControl w:val="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43DB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F5379A0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14FFCF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459BA7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44E002D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616159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8FC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F665848">
            <w:pPr>
              <w:pStyle w:val="1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034353B2">
            <w:pPr>
              <w:pStyle w:val="14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6F2D0DA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7F35E241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培养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知法、懂法、</w:t>
            </w:r>
            <w:r>
              <w:t>增强法律意识，培养法律思维，自觉遵守法律 法规、校纪校规。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2DA90A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3219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5F79CA0">
            <w:pPr>
              <w:pStyle w:val="1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LO4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17A7F04F">
            <w:pPr>
              <w:pStyle w:val="14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2365E29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34519BB4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具备自主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表达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沟通，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团队协作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依法参与治理实践创新能力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39EA64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  <w:tr w14:paraId="5154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6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E79D017">
            <w:pPr>
              <w:pStyle w:val="14"/>
              <w:rPr>
                <w:rFonts w:cs="Times New Roman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24D8D9D0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DE121BD">
            <w:pPr>
              <w:pStyle w:val="14"/>
              <w:rPr>
                <w:rFonts w:cs="Times New Roman"/>
              </w:rPr>
            </w:pPr>
          </w:p>
        </w:tc>
        <w:tc>
          <w:tcPr>
            <w:tcW w:w="4651" w:type="dxa"/>
            <w:vAlign w:val="center"/>
          </w:tcPr>
          <w:p w14:paraId="02217449">
            <w:pPr>
              <w:pStyle w:val="14"/>
              <w:jc w:val="left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能够运用法学知识，处理解决实际生活中的纠纷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997778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  <w:tr w14:paraId="71225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7DC48A8">
            <w:pPr>
              <w:pStyle w:val="1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LO6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0EC0FA6C">
            <w:pPr>
              <w:pStyle w:val="14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2E8B203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42809440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通过学习和分析法律案件， 掌握实体法的基础知识以及法律诉讼的程序。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F7FD9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</w:tbl>
    <w:p w14:paraId="7A14C89B">
      <w:pPr>
        <w:pStyle w:val="17"/>
        <w:spacing w:before="156" w:after="156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1620417">
      <w:pPr>
        <w:pStyle w:val="16"/>
        <w:spacing w:before="312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C439F7E">
      <w:pPr>
        <w:pStyle w:val="17"/>
        <w:spacing w:before="156" w:after="156"/>
      </w:pPr>
      <w:r>
        <w:rPr>
          <w:rFonts w:hint="eastAsia"/>
        </w:rPr>
        <w:t>（一）各教学单元预期学习成果与教学内容</w:t>
      </w:r>
    </w:p>
    <w:p w14:paraId="595D562B">
      <w:pPr>
        <w:widowControl w:val="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462A2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C106DBE">
            <w:pPr>
              <w:widowControl w:val="0"/>
              <w:spacing w:line="360" w:lineRule="auto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第一章 民法学概论</w:t>
            </w:r>
          </w:p>
          <w:p w14:paraId="64E11389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通过简述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，使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学生了解我国民法学的法制建设过程，了解我国法治建设的发展，民法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典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的重大意义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和发展成果。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深对民法的理解，培养法律思维。</w:t>
            </w:r>
          </w:p>
          <w:p w14:paraId="19A300FD"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教学重点：民法典的法制建设过程对中国法制进程的积极影响；</w:t>
            </w:r>
          </w:p>
          <w:p w14:paraId="5CF9A964"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难点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 民法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典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的重大意义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和发展成果</w:t>
            </w:r>
          </w:p>
        </w:tc>
      </w:tr>
      <w:tr w14:paraId="144BB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43111B8">
            <w:pPr>
              <w:widowControl w:val="0"/>
              <w:spacing w:line="360" w:lineRule="auto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第二章  民法典-总则编</w:t>
            </w:r>
          </w:p>
          <w:p w14:paraId="5F78DA8A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学习民法典总则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部分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民事主体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，自然人、法人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民事行为能力，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权利能力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、民事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责任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等基础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法律知识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法律行为的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效力。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06DDB96D"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重点：民事主体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，自然人、法人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民事行为能力</w:t>
            </w:r>
          </w:p>
          <w:p w14:paraId="675C31E1"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难点：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民事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责任、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民事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法律行为的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效力</w:t>
            </w:r>
          </w:p>
        </w:tc>
      </w:tr>
      <w:tr w14:paraId="20885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02E1B9E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第三章  基本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原则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篇</w:t>
            </w:r>
          </w:p>
          <w:p w14:paraId="5005D2E9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通过民法基本理论的学习了解民法的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原则、通过生活中的案例评析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使学生了解民法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典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的六大基本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原则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生活中的运用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ACEEC3C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重点：民法典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公平原则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、诚信原则基础知识</w:t>
            </w:r>
          </w:p>
          <w:p w14:paraId="7A2F4C03"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难点：民法典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公序良序法律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规定和案件分析</w:t>
            </w:r>
          </w:p>
        </w:tc>
      </w:tr>
      <w:tr w14:paraId="48341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FF7F937">
            <w:pPr>
              <w:widowControl w:val="0"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第四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、五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章  物权编</w:t>
            </w:r>
          </w:p>
          <w:p w14:paraId="5C445CD2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学习了解物权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设立变更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消失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等一般规定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；结合案例分析，使学生了解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动产及物的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所有权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、物权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保护、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用益物权、担保物权、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占有等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相关的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法律知识，学会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解决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生活中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问题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4249730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重点：了解物权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设立变更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消失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等一般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规定</w:t>
            </w:r>
          </w:p>
          <w:p w14:paraId="1FEDB940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教学难点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所有权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、物权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保护、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用益物权法律规定</w:t>
            </w:r>
          </w:p>
        </w:tc>
      </w:tr>
      <w:tr w14:paraId="52C05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54707D4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第六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、七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章  合同篇</w:t>
            </w:r>
          </w:p>
          <w:p w14:paraId="711F649B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通过合同案例评析使学生了解合同种类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订立、变更、终止等概念，掌握合同订立程序、违约责任，通过典型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准合同案例分析，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学会处理生活中关于合同方面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法律问题。</w:t>
            </w:r>
          </w:p>
          <w:p w14:paraId="4E9EA27C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重点：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了解合同订立、变更、终止基础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知识。</w:t>
            </w:r>
          </w:p>
          <w:p w14:paraId="293424B6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难点：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典型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准合同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违约责任</w:t>
            </w:r>
          </w:p>
        </w:tc>
      </w:tr>
      <w:tr w14:paraId="55F89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2F0D957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第八章  人格权篇</w:t>
            </w:r>
          </w:p>
          <w:p w14:paraId="19009BA3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通过人身权案例评析使学生了解有关人格权的概念、分类及民法保护，学会分析解决生活中的实际法律问题。</w:t>
            </w:r>
          </w:p>
          <w:p w14:paraId="4D23D51D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重点：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人身权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隐私权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法律知识</w:t>
            </w:r>
          </w:p>
          <w:p w14:paraId="651A15A1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难点：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人格权及其法律责任</w:t>
            </w:r>
          </w:p>
        </w:tc>
      </w:tr>
      <w:tr w14:paraId="61593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B7C0E66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第九章  婚姻家庭篇</w:t>
            </w:r>
          </w:p>
          <w:p w14:paraId="4FAEFC50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通过学习使学生理解结婚及离婚的条件的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一般规定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、家庭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关系、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收养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的法律效力和收养关系解除等法律知识，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学会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分析解决生活中的法律问题。</w:t>
            </w:r>
          </w:p>
          <w:p w14:paraId="4E4E68F9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教学重点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：结婚以及离婚的条件规定</w:t>
            </w:r>
          </w:p>
          <w:p w14:paraId="09A1CBCF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难点：收养关系及解除、收养法律效力</w:t>
            </w:r>
          </w:p>
        </w:tc>
      </w:tr>
      <w:tr w14:paraId="1D360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276" w:type="dxa"/>
          </w:tcPr>
          <w:p w14:paraId="6F0D33CD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第十章  继承篇</w:t>
            </w:r>
          </w:p>
          <w:p w14:paraId="1CDE49B7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通过婚姻家庭案例评析使学生理解法定继承的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一般规定、遗嘱继承和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遗产处理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的基本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、法律意识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学会用理论知识分析生活中的实际问题。</w:t>
            </w:r>
          </w:p>
          <w:p w14:paraId="4EEA2691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重点：婚姻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家庭继承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知识</w:t>
            </w:r>
          </w:p>
          <w:p w14:paraId="270E0FFE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难点：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继承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顺序和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财产分割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案件解析</w:t>
            </w:r>
          </w:p>
        </w:tc>
      </w:tr>
      <w:tr w14:paraId="53D83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276" w:type="dxa"/>
          </w:tcPr>
          <w:p w14:paraId="095EA2B8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第十一、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十二章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侵权责任编</w:t>
            </w:r>
          </w:p>
          <w:p w14:paraId="037D3C2B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通过学习使学生理解侵权责任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、损害赔偿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责任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主体、产品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责任效力范围等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知识，掌握几种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侵权责任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规定，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学会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处理生活中的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侵权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问题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4714630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重点：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侵权责任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规定</w:t>
            </w:r>
          </w:p>
          <w:p w14:paraId="7A5A259A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难点：民法典之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侵权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损害赔偿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界定</w:t>
            </w:r>
          </w:p>
        </w:tc>
      </w:tr>
      <w:tr w14:paraId="16832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52EE988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第十三章  民事诉讼法</w:t>
            </w:r>
          </w:p>
          <w:p w14:paraId="192D293A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通过诉讼法案例评析使学生了解民事诉讼法的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一般规定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管辖、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诉讼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程序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诉讼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基本原理，掌握民事诉讼程序，学会解决生活中的诉讼法律问题。</w:t>
            </w:r>
          </w:p>
          <w:p w14:paraId="1206FF39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重点：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民事诉讼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原理</w:t>
            </w:r>
          </w:p>
          <w:p w14:paraId="6A9C4D0B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难点：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民事诉讼程序</w:t>
            </w:r>
          </w:p>
        </w:tc>
      </w:tr>
      <w:tr w14:paraId="0D2CE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CFC50BA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第十四章  法院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旁听</w:t>
            </w:r>
          </w:p>
          <w:p w14:paraId="3171F292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组织参观法院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旁听的实践活动，了解掌握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民事诉讼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案件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庭审过程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A535142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重点：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法院旁听</w:t>
            </w:r>
          </w:p>
          <w:p w14:paraId="1B94F030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教学难点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诉讼庭审过程</w:t>
            </w:r>
          </w:p>
        </w:tc>
      </w:tr>
      <w:tr w14:paraId="414C7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0B11297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第十五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民事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法律文书写作</w:t>
            </w:r>
          </w:p>
          <w:p w14:paraId="3EB5E76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通过学习，了解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民事法律文书的种类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掌握民事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法律文书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写作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的格式，学会写起诉状。</w:t>
            </w:r>
          </w:p>
          <w:p w14:paraId="56F7491E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重点：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民事法律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文书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  <w:p w14:paraId="5554197E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难点：学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写民事起诉状</w:t>
            </w:r>
          </w:p>
        </w:tc>
      </w:tr>
      <w:tr w14:paraId="16FB9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619C669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第十六周  综合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考核</w:t>
            </w:r>
          </w:p>
          <w:p w14:paraId="373BA387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通过综合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了解和评定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学掌握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知识状况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，按照占比给出成绩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31D1BD0">
      <w:pPr>
        <w:pStyle w:val="17"/>
        <w:spacing w:before="156" w:after="156"/>
      </w:pPr>
    </w:p>
    <w:p w14:paraId="2F3EECD5">
      <w:pPr>
        <w:pStyle w:val="17"/>
        <w:spacing w:before="156" w:after="156"/>
      </w:pPr>
    </w:p>
    <w:p w14:paraId="5503FF64">
      <w:pPr>
        <w:pStyle w:val="17"/>
        <w:spacing w:before="156" w:after="156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220"/>
        <w:gridCol w:w="1314"/>
        <w:gridCol w:w="1314"/>
        <w:gridCol w:w="1314"/>
        <w:gridCol w:w="1314"/>
      </w:tblGrid>
      <w:tr w14:paraId="0282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38" w:hRule="atLeast"/>
          <w:jc w:val="center"/>
        </w:trPr>
        <w:tc>
          <w:tcPr>
            <w:tcW w:w="314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BCED67D">
            <w:pPr>
              <w:pStyle w:val="13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956C2F9">
            <w:pPr>
              <w:pStyle w:val="13"/>
              <w:ind w:right="210"/>
              <w:jc w:val="left"/>
              <w:rPr>
                <w:szCs w:val="16"/>
              </w:rPr>
            </w:pPr>
          </w:p>
          <w:p w14:paraId="377018D3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283" w:type="dxa"/>
            <w:tcBorders>
              <w:top w:val="single" w:color="auto" w:sz="12" w:space="0"/>
            </w:tcBorders>
            <w:vAlign w:val="center"/>
          </w:tcPr>
          <w:p w14:paraId="1B0104AC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283" w:type="dxa"/>
            <w:tcBorders>
              <w:top w:val="single" w:color="auto" w:sz="12" w:space="0"/>
            </w:tcBorders>
            <w:vAlign w:val="center"/>
          </w:tcPr>
          <w:p w14:paraId="0268739B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283" w:type="dxa"/>
            <w:tcBorders>
              <w:top w:val="single" w:color="auto" w:sz="12" w:space="0"/>
            </w:tcBorders>
            <w:vAlign w:val="center"/>
          </w:tcPr>
          <w:p w14:paraId="6BE19870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28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33E0FA3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14:paraId="13E9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44" w:type="dxa"/>
            <w:tcBorders>
              <w:left w:val="single" w:color="auto" w:sz="12" w:space="0"/>
            </w:tcBorders>
            <w:vAlign w:val="center"/>
          </w:tcPr>
          <w:p w14:paraId="7B226B1D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民法学概述、渊源</w:t>
            </w:r>
          </w:p>
        </w:tc>
        <w:tc>
          <w:tcPr>
            <w:tcW w:w="1283" w:type="dxa"/>
            <w:vAlign w:val="center"/>
          </w:tcPr>
          <w:p w14:paraId="0343BFA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5718A37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7C68209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tcBorders>
              <w:right w:val="single" w:color="auto" w:sz="12" w:space="0"/>
            </w:tcBorders>
            <w:vAlign w:val="center"/>
          </w:tcPr>
          <w:p w14:paraId="4C6C95E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AAF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44" w:type="dxa"/>
            <w:tcBorders>
              <w:left w:val="single" w:color="auto" w:sz="12" w:space="0"/>
            </w:tcBorders>
            <w:vAlign w:val="center"/>
          </w:tcPr>
          <w:p w14:paraId="31877373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-总则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1283" w:type="dxa"/>
            <w:vAlign w:val="center"/>
          </w:tcPr>
          <w:p w14:paraId="534543E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55BDC15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3CEDA87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tcBorders>
              <w:right w:val="single" w:color="auto" w:sz="12" w:space="0"/>
            </w:tcBorders>
            <w:vAlign w:val="center"/>
          </w:tcPr>
          <w:p w14:paraId="3F14451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368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44" w:type="dxa"/>
            <w:tcBorders>
              <w:left w:val="single" w:color="auto" w:sz="12" w:space="0"/>
            </w:tcBorders>
            <w:vAlign w:val="center"/>
          </w:tcPr>
          <w:p w14:paraId="7C21814A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原则</w:t>
            </w:r>
          </w:p>
        </w:tc>
        <w:tc>
          <w:tcPr>
            <w:tcW w:w="1283" w:type="dxa"/>
            <w:vAlign w:val="center"/>
          </w:tcPr>
          <w:p w14:paraId="1374113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5EC4EAB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104D8C1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tcBorders>
              <w:right w:val="single" w:color="auto" w:sz="12" w:space="0"/>
            </w:tcBorders>
            <w:vAlign w:val="center"/>
          </w:tcPr>
          <w:p w14:paraId="2EA1857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CC9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44" w:type="dxa"/>
            <w:tcBorders>
              <w:left w:val="single" w:color="auto" w:sz="12" w:space="0"/>
            </w:tcBorders>
            <w:vAlign w:val="center"/>
          </w:tcPr>
          <w:p w14:paraId="0B6C2DE8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之-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物权编</w:t>
            </w:r>
          </w:p>
        </w:tc>
        <w:tc>
          <w:tcPr>
            <w:tcW w:w="1283" w:type="dxa"/>
            <w:vAlign w:val="center"/>
          </w:tcPr>
          <w:p w14:paraId="70189C2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7FE84F4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1DAF3CC7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tcBorders>
              <w:right w:val="single" w:color="auto" w:sz="12" w:space="0"/>
            </w:tcBorders>
            <w:vAlign w:val="center"/>
          </w:tcPr>
          <w:p w14:paraId="091C504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F6E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44" w:type="dxa"/>
            <w:tcBorders>
              <w:left w:val="single" w:color="auto" w:sz="12" w:space="0"/>
            </w:tcBorders>
            <w:vAlign w:val="center"/>
          </w:tcPr>
          <w:p w14:paraId="41313621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之-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物权编</w:t>
            </w:r>
          </w:p>
        </w:tc>
        <w:tc>
          <w:tcPr>
            <w:tcW w:w="1283" w:type="dxa"/>
            <w:vAlign w:val="center"/>
          </w:tcPr>
          <w:p w14:paraId="1949BCE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5D7B150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3F81ACF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tcBorders>
              <w:right w:val="single" w:color="auto" w:sz="12" w:space="0"/>
            </w:tcBorders>
            <w:vAlign w:val="center"/>
          </w:tcPr>
          <w:p w14:paraId="35EC16F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356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44" w:type="dxa"/>
            <w:tcBorders>
              <w:left w:val="single" w:color="auto" w:sz="12" w:space="0"/>
            </w:tcBorders>
            <w:vAlign w:val="center"/>
          </w:tcPr>
          <w:p w14:paraId="36001D73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-合同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1283" w:type="dxa"/>
            <w:vAlign w:val="center"/>
          </w:tcPr>
          <w:p w14:paraId="3FC742C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530F797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026DECF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tcBorders>
              <w:right w:val="single" w:color="auto" w:sz="12" w:space="0"/>
            </w:tcBorders>
            <w:vAlign w:val="center"/>
          </w:tcPr>
          <w:p w14:paraId="0C0E8D0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7E09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44" w:type="dxa"/>
            <w:tcBorders>
              <w:left w:val="single" w:color="auto" w:sz="12" w:space="0"/>
            </w:tcBorders>
            <w:vAlign w:val="center"/>
          </w:tcPr>
          <w:p w14:paraId="38B2AC48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-合同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1283" w:type="dxa"/>
            <w:vAlign w:val="center"/>
          </w:tcPr>
          <w:p w14:paraId="47091EC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4482F78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6B75727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tcBorders>
              <w:right w:val="single" w:color="auto" w:sz="12" w:space="0"/>
            </w:tcBorders>
            <w:vAlign w:val="center"/>
          </w:tcPr>
          <w:p w14:paraId="442212B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2C0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44" w:type="dxa"/>
            <w:tcBorders>
              <w:left w:val="single" w:color="auto" w:sz="12" w:space="0"/>
            </w:tcBorders>
            <w:vAlign w:val="center"/>
          </w:tcPr>
          <w:p w14:paraId="3CB5761C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人格权编</w:t>
            </w:r>
          </w:p>
        </w:tc>
        <w:tc>
          <w:tcPr>
            <w:tcW w:w="1283" w:type="dxa"/>
            <w:vAlign w:val="center"/>
          </w:tcPr>
          <w:p w14:paraId="0822503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0FECFBB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7310C24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tcBorders>
              <w:right w:val="single" w:color="auto" w:sz="12" w:space="0"/>
            </w:tcBorders>
            <w:vAlign w:val="center"/>
          </w:tcPr>
          <w:p w14:paraId="7713F6A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3B2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44" w:type="dxa"/>
            <w:tcBorders>
              <w:left w:val="single" w:color="auto" w:sz="12" w:space="0"/>
            </w:tcBorders>
            <w:vAlign w:val="center"/>
          </w:tcPr>
          <w:p w14:paraId="4262D69B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之-婚姻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家庭编</w:t>
            </w:r>
          </w:p>
        </w:tc>
        <w:tc>
          <w:tcPr>
            <w:tcW w:w="1283" w:type="dxa"/>
            <w:vAlign w:val="center"/>
          </w:tcPr>
          <w:p w14:paraId="17425C0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07DD131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6CCF29E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tcBorders>
              <w:right w:val="single" w:color="auto" w:sz="12" w:space="0"/>
            </w:tcBorders>
            <w:vAlign w:val="center"/>
          </w:tcPr>
          <w:p w14:paraId="7D5BD36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290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44" w:type="dxa"/>
            <w:tcBorders>
              <w:left w:val="single" w:color="auto" w:sz="12" w:space="0"/>
            </w:tcBorders>
            <w:vAlign w:val="center"/>
          </w:tcPr>
          <w:p w14:paraId="5D5951E5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之-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继承编</w:t>
            </w:r>
          </w:p>
        </w:tc>
        <w:tc>
          <w:tcPr>
            <w:tcW w:w="1283" w:type="dxa"/>
            <w:vAlign w:val="center"/>
          </w:tcPr>
          <w:p w14:paraId="4E080A7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5796FE0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618D930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tcBorders>
              <w:right w:val="single" w:color="auto" w:sz="12" w:space="0"/>
            </w:tcBorders>
            <w:vAlign w:val="center"/>
          </w:tcPr>
          <w:p w14:paraId="773F774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44F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44" w:type="dxa"/>
            <w:tcBorders>
              <w:left w:val="single" w:color="auto" w:sz="12" w:space="0"/>
            </w:tcBorders>
            <w:vAlign w:val="center"/>
          </w:tcPr>
          <w:p w14:paraId="530ECBCD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之-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侵权责任编</w:t>
            </w:r>
          </w:p>
        </w:tc>
        <w:tc>
          <w:tcPr>
            <w:tcW w:w="1283" w:type="dxa"/>
            <w:vAlign w:val="center"/>
          </w:tcPr>
          <w:p w14:paraId="39D5E72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163A466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58672EA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tcBorders>
              <w:right w:val="single" w:color="auto" w:sz="12" w:space="0"/>
            </w:tcBorders>
            <w:vAlign w:val="center"/>
          </w:tcPr>
          <w:p w14:paraId="76A0145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50B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44" w:type="dxa"/>
            <w:tcBorders>
              <w:left w:val="single" w:color="auto" w:sz="12" w:space="0"/>
            </w:tcBorders>
            <w:vAlign w:val="center"/>
          </w:tcPr>
          <w:p w14:paraId="36B3692D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之-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侵权责任编</w:t>
            </w:r>
          </w:p>
        </w:tc>
        <w:tc>
          <w:tcPr>
            <w:tcW w:w="1283" w:type="dxa"/>
            <w:vAlign w:val="center"/>
          </w:tcPr>
          <w:p w14:paraId="5391A9F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7FAEF7D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6BE05C8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tcBorders>
              <w:right w:val="single" w:color="auto" w:sz="12" w:space="0"/>
            </w:tcBorders>
            <w:vAlign w:val="center"/>
          </w:tcPr>
          <w:p w14:paraId="1BF5F0B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604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44" w:type="dxa"/>
            <w:tcBorders>
              <w:left w:val="single" w:color="auto" w:sz="12" w:space="0"/>
            </w:tcBorders>
            <w:vAlign w:val="center"/>
          </w:tcPr>
          <w:p w14:paraId="27D9E156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诉讼法</w:t>
            </w:r>
          </w:p>
        </w:tc>
        <w:tc>
          <w:tcPr>
            <w:tcW w:w="1283" w:type="dxa"/>
            <w:vAlign w:val="center"/>
          </w:tcPr>
          <w:p w14:paraId="0ADFC6A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1EBDC65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27D6822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tcBorders>
              <w:right w:val="single" w:color="auto" w:sz="12" w:space="0"/>
            </w:tcBorders>
            <w:vAlign w:val="center"/>
          </w:tcPr>
          <w:p w14:paraId="1F79030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40AC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44" w:type="dxa"/>
            <w:tcBorders>
              <w:left w:val="single" w:color="auto" w:sz="12" w:space="0"/>
            </w:tcBorders>
            <w:vAlign w:val="center"/>
          </w:tcPr>
          <w:p w14:paraId="0682A191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诉讼法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法院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旁听</w:t>
            </w:r>
          </w:p>
        </w:tc>
        <w:tc>
          <w:tcPr>
            <w:tcW w:w="1283" w:type="dxa"/>
            <w:vAlign w:val="center"/>
          </w:tcPr>
          <w:p w14:paraId="39B204E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4111DE7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721DC8A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tcBorders>
              <w:right w:val="single" w:color="auto" w:sz="12" w:space="0"/>
            </w:tcBorders>
            <w:vAlign w:val="center"/>
          </w:tcPr>
          <w:p w14:paraId="223121A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76C7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44" w:type="dxa"/>
            <w:tcBorders>
              <w:left w:val="single" w:color="auto" w:sz="12" w:space="0"/>
            </w:tcBorders>
            <w:vAlign w:val="center"/>
          </w:tcPr>
          <w:p w14:paraId="0C429F4F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法律文书写作</w:t>
            </w:r>
          </w:p>
        </w:tc>
        <w:tc>
          <w:tcPr>
            <w:tcW w:w="1283" w:type="dxa"/>
            <w:vAlign w:val="center"/>
          </w:tcPr>
          <w:p w14:paraId="4072B42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430C464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vAlign w:val="center"/>
          </w:tcPr>
          <w:p w14:paraId="730D29D7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tcBorders>
              <w:right w:val="single" w:color="auto" w:sz="12" w:space="0"/>
            </w:tcBorders>
            <w:vAlign w:val="center"/>
          </w:tcPr>
          <w:p w14:paraId="3BAA0A7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9C9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4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D30D313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综合测评考查</w:t>
            </w:r>
          </w:p>
        </w:tc>
        <w:tc>
          <w:tcPr>
            <w:tcW w:w="1283" w:type="dxa"/>
            <w:tcBorders>
              <w:bottom w:val="single" w:color="auto" w:sz="12" w:space="0"/>
            </w:tcBorders>
            <w:vAlign w:val="center"/>
          </w:tcPr>
          <w:p w14:paraId="1B3B77B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tcBorders>
              <w:bottom w:val="single" w:color="auto" w:sz="12" w:space="0"/>
            </w:tcBorders>
            <w:vAlign w:val="center"/>
          </w:tcPr>
          <w:p w14:paraId="4702B45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tcBorders>
              <w:bottom w:val="single" w:color="auto" w:sz="12" w:space="0"/>
            </w:tcBorders>
            <w:vAlign w:val="center"/>
          </w:tcPr>
          <w:p w14:paraId="2451236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F76EA2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2B2958DA">
      <w:pPr>
        <w:pStyle w:val="17"/>
        <w:spacing w:before="156" w:after="156"/>
      </w:pPr>
    </w:p>
    <w:p w14:paraId="6F497286">
      <w:pPr>
        <w:pStyle w:val="17"/>
        <w:spacing w:before="156" w:after="156"/>
      </w:pPr>
      <w:r>
        <w:rPr>
          <w:rFonts w:hint="eastAsia"/>
        </w:rPr>
        <w:t>（三）教学方法与学时分配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888"/>
        <w:gridCol w:w="1739"/>
        <w:gridCol w:w="1738"/>
        <w:gridCol w:w="725"/>
        <w:gridCol w:w="669"/>
        <w:gridCol w:w="717"/>
      </w:tblGrid>
      <w:tr w14:paraId="13310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820" w:type="dxa"/>
            <w:vMerge w:val="restart"/>
            <w:vAlign w:val="center"/>
          </w:tcPr>
          <w:p w14:paraId="3283F5E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698" w:type="dxa"/>
            <w:vMerge w:val="restart"/>
            <w:vAlign w:val="center"/>
          </w:tcPr>
          <w:p w14:paraId="58FEA624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vAlign w:val="center"/>
          </w:tcPr>
          <w:p w14:paraId="3B12E3BD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评价方式</w:t>
            </w:r>
          </w:p>
        </w:tc>
        <w:tc>
          <w:tcPr>
            <w:tcW w:w="2061" w:type="dxa"/>
            <w:gridSpan w:val="3"/>
            <w:vAlign w:val="center"/>
          </w:tcPr>
          <w:p w14:paraId="5535BED7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020C2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820" w:type="dxa"/>
            <w:vMerge w:val="continue"/>
          </w:tcPr>
          <w:p w14:paraId="79ED971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</w:tcPr>
          <w:p w14:paraId="7A9728A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5BB4ED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7D641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34EEE54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vAlign w:val="center"/>
          </w:tcPr>
          <w:p w14:paraId="7887183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C0C9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20" w:type="dxa"/>
            <w:vAlign w:val="center"/>
          </w:tcPr>
          <w:p w14:paraId="0857D32D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民法学概述、渊源</w:t>
            </w:r>
          </w:p>
        </w:tc>
        <w:tc>
          <w:tcPr>
            <w:tcW w:w="1698" w:type="dxa"/>
            <w:vAlign w:val="center"/>
          </w:tcPr>
          <w:p w14:paraId="69BBAED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0867773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  <w:vAlign w:val="center"/>
          </w:tcPr>
          <w:p w14:paraId="64B9A7C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56866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</w:tcPr>
          <w:p w14:paraId="3A73BB6A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A97B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20" w:type="dxa"/>
            <w:vAlign w:val="center"/>
          </w:tcPr>
          <w:p w14:paraId="481C2BB2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-总则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1698" w:type="dxa"/>
          </w:tcPr>
          <w:p w14:paraId="28B2FF65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</w:tcPr>
          <w:p w14:paraId="7F77AF41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</w:tcPr>
          <w:p w14:paraId="5EBC60D2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37CB5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</w:tcPr>
          <w:p w14:paraId="6C0EE05B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2F30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20" w:type="dxa"/>
            <w:vAlign w:val="center"/>
          </w:tcPr>
          <w:p w14:paraId="5C25E3F8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原则</w:t>
            </w:r>
          </w:p>
        </w:tc>
        <w:tc>
          <w:tcPr>
            <w:tcW w:w="1698" w:type="dxa"/>
          </w:tcPr>
          <w:p w14:paraId="739ED21E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</w:tcPr>
          <w:p w14:paraId="509B5D67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</w:tcPr>
          <w:p w14:paraId="4765ED6F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48677C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</w:tcPr>
          <w:p w14:paraId="1D07EEBD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1DEA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2820" w:type="dxa"/>
            <w:vAlign w:val="center"/>
          </w:tcPr>
          <w:p w14:paraId="077E3BD7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之-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物权编</w:t>
            </w:r>
          </w:p>
        </w:tc>
        <w:tc>
          <w:tcPr>
            <w:tcW w:w="1698" w:type="dxa"/>
          </w:tcPr>
          <w:p w14:paraId="21E242C7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</w:tcPr>
          <w:p w14:paraId="7728D115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</w:tcPr>
          <w:p w14:paraId="30BAC8F4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964D05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</w:tcPr>
          <w:p w14:paraId="738C8A1E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7ECC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2820" w:type="dxa"/>
            <w:vAlign w:val="center"/>
          </w:tcPr>
          <w:p w14:paraId="54789015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之-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物权编</w:t>
            </w:r>
          </w:p>
        </w:tc>
        <w:tc>
          <w:tcPr>
            <w:tcW w:w="1698" w:type="dxa"/>
          </w:tcPr>
          <w:p w14:paraId="0A88DB83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</w:tcPr>
          <w:p w14:paraId="07FC7297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</w:tcPr>
          <w:p w14:paraId="35C50B27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FDECD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</w:tcPr>
          <w:p w14:paraId="3FE9D9C8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93BE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2820" w:type="dxa"/>
            <w:vAlign w:val="center"/>
          </w:tcPr>
          <w:p w14:paraId="60AEB80B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-合同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1698" w:type="dxa"/>
          </w:tcPr>
          <w:p w14:paraId="1EA5520D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</w:tcPr>
          <w:p w14:paraId="38C3477C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</w:tcPr>
          <w:p w14:paraId="3FFA0330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F3E29F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</w:tcPr>
          <w:p w14:paraId="7078DF72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9F8E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2820" w:type="dxa"/>
            <w:vAlign w:val="center"/>
          </w:tcPr>
          <w:p w14:paraId="38E74725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-合同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1698" w:type="dxa"/>
          </w:tcPr>
          <w:p w14:paraId="15AC79FC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</w:tcPr>
          <w:p w14:paraId="4360C7B7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</w:tcPr>
          <w:p w14:paraId="6A802F33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0704AF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</w:tcPr>
          <w:p w14:paraId="027F600E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94E0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2820" w:type="dxa"/>
            <w:vAlign w:val="center"/>
          </w:tcPr>
          <w:p w14:paraId="15446DBA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人格权编</w:t>
            </w:r>
          </w:p>
        </w:tc>
        <w:tc>
          <w:tcPr>
            <w:tcW w:w="1698" w:type="dxa"/>
          </w:tcPr>
          <w:p w14:paraId="6757BE31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</w:tcPr>
          <w:p w14:paraId="5D98B268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</w:tcPr>
          <w:p w14:paraId="4C361B11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71A9F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</w:tcPr>
          <w:p w14:paraId="42E1FE4C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0F0D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2820" w:type="dxa"/>
            <w:vAlign w:val="center"/>
          </w:tcPr>
          <w:p w14:paraId="370A0A98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之-婚姻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家庭编</w:t>
            </w:r>
          </w:p>
        </w:tc>
        <w:tc>
          <w:tcPr>
            <w:tcW w:w="1698" w:type="dxa"/>
          </w:tcPr>
          <w:p w14:paraId="067FF75B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</w:tcPr>
          <w:p w14:paraId="2ECADD60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</w:tcPr>
          <w:p w14:paraId="4D4C853B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3B9FE99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</w:tcPr>
          <w:p w14:paraId="7D7586F0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67D7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2820" w:type="dxa"/>
            <w:vAlign w:val="center"/>
          </w:tcPr>
          <w:p w14:paraId="6BDB2878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之-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继承编</w:t>
            </w:r>
          </w:p>
        </w:tc>
        <w:tc>
          <w:tcPr>
            <w:tcW w:w="1698" w:type="dxa"/>
          </w:tcPr>
          <w:p w14:paraId="3A12ADBB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</w:tcPr>
          <w:p w14:paraId="75782D77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</w:tcPr>
          <w:p w14:paraId="03F72E74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F6D885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</w:tcPr>
          <w:p w14:paraId="6D4AE05D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4B9A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2820" w:type="dxa"/>
            <w:vAlign w:val="center"/>
          </w:tcPr>
          <w:p w14:paraId="65EC9E60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之-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侵权责任编</w:t>
            </w:r>
          </w:p>
        </w:tc>
        <w:tc>
          <w:tcPr>
            <w:tcW w:w="1698" w:type="dxa"/>
          </w:tcPr>
          <w:p w14:paraId="22379093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</w:tcPr>
          <w:p w14:paraId="050260C4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</w:tcPr>
          <w:p w14:paraId="09CB6ACB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2AC19F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</w:tcPr>
          <w:p w14:paraId="63805A27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F72D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2820" w:type="dxa"/>
            <w:vAlign w:val="center"/>
          </w:tcPr>
          <w:p w14:paraId="79599E98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民法典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之-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侵权责任编</w:t>
            </w:r>
          </w:p>
        </w:tc>
        <w:tc>
          <w:tcPr>
            <w:tcW w:w="1698" w:type="dxa"/>
          </w:tcPr>
          <w:p w14:paraId="6EDA3AC3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</w:tcPr>
          <w:p w14:paraId="7F3ED5E7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</w:tcPr>
          <w:p w14:paraId="087A09D8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06DAD4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</w:tcPr>
          <w:p w14:paraId="6F1D4D7B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7682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2820" w:type="dxa"/>
            <w:vAlign w:val="center"/>
          </w:tcPr>
          <w:p w14:paraId="1D070AB7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诉讼法</w:t>
            </w:r>
          </w:p>
        </w:tc>
        <w:tc>
          <w:tcPr>
            <w:tcW w:w="1698" w:type="dxa"/>
          </w:tcPr>
          <w:p w14:paraId="721738E8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</w:tcPr>
          <w:p w14:paraId="41408D12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</w:tcPr>
          <w:p w14:paraId="12D88C7C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E5D225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</w:tcPr>
          <w:p w14:paraId="76652AA1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71C3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2820" w:type="dxa"/>
            <w:vAlign w:val="center"/>
          </w:tcPr>
          <w:p w14:paraId="225CAE99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诉讼法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法院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旁听</w:t>
            </w:r>
          </w:p>
        </w:tc>
        <w:tc>
          <w:tcPr>
            <w:tcW w:w="1698" w:type="dxa"/>
          </w:tcPr>
          <w:p w14:paraId="58534FEF">
            <w:pPr>
              <w:widowControl w:val="0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参观实践</w:t>
            </w:r>
          </w:p>
        </w:tc>
        <w:tc>
          <w:tcPr>
            <w:tcW w:w="1697" w:type="dxa"/>
          </w:tcPr>
          <w:p w14:paraId="3A8D5E95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</w:tcPr>
          <w:p w14:paraId="41C67503">
            <w:pPr>
              <w:widowControl w:val="0"/>
              <w:jc w:val="center"/>
            </w:pPr>
          </w:p>
        </w:tc>
        <w:tc>
          <w:tcPr>
            <w:tcW w:w="653" w:type="dxa"/>
            <w:vAlign w:val="center"/>
          </w:tcPr>
          <w:p w14:paraId="003CB5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</w:tcPr>
          <w:p w14:paraId="7E25C186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5B36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2820" w:type="dxa"/>
            <w:vAlign w:val="center"/>
          </w:tcPr>
          <w:p w14:paraId="4455ED90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民事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法律文书写作</w:t>
            </w:r>
          </w:p>
        </w:tc>
        <w:tc>
          <w:tcPr>
            <w:tcW w:w="1698" w:type="dxa"/>
          </w:tcPr>
          <w:p w14:paraId="45A66099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</w:tcPr>
          <w:p w14:paraId="408B775F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</w:tcPr>
          <w:p w14:paraId="508B6EC6">
            <w:pPr>
              <w:widowControl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14:paraId="73AF6D8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</w:tcPr>
          <w:p w14:paraId="7B457C3A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020A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2820" w:type="dxa"/>
            <w:vAlign w:val="center"/>
          </w:tcPr>
          <w:p w14:paraId="09E9232D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综合测评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</w:tc>
        <w:tc>
          <w:tcPr>
            <w:tcW w:w="1698" w:type="dxa"/>
          </w:tcPr>
          <w:p w14:paraId="19C10105">
            <w:pPr>
              <w:widowControl w:val="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1697" w:type="dxa"/>
            <w:vAlign w:val="center"/>
          </w:tcPr>
          <w:p w14:paraId="61A4316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  <w:vAlign w:val="center"/>
          </w:tcPr>
          <w:p w14:paraId="7B81496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AFD4DE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</w:tcPr>
          <w:p w14:paraId="5702396D">
            <w:pPr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0FE4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vAlign w:val="center"/>
          </w:tcPr>
          <w:p w14:paraId="54D30C22">
            <w:pPr>
              <w:pStyle w:val="13"/>
              <w:widowControl w:val="0"/>
            </w:pPr>
            <w:r>
              <w:rPr>
                <w:rFonts w:ascii="宋体" w:hAnsi="宋体"/>
                <w:sz w:val="18"/>
                <w:szCs w:val="18"/>
              </w:rPr>
              <w:t>讲课</w:t>
            </w: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vAlign w:val="center"/>
          </w:tcPr>
          <w:p w14:paraId="0FBF619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30</w:t>
            </w:r>
          </w:p>
        </w:tc>
        <w:tc>
          <w:tcPr>
            <w:tcW w:w="653" w:type="dxa"/>
            <w:vAlign w:val="center"/>
          </w:tcPr>
          <w:p w14:paraId="1F6D1BC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14:paraId="042125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42915C56">
      <w:pPr>
        <w:widowControl w:val="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4" w:name="OLE_LINK1"/>
      <w:bookmarkStart w:id="5" w:name="OLE_LINK2"/>
    </w:p>
    <w:p w14:paraId="448B6671">
      <w:pPr>
        <w:widowControl w:val="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bookmarkEnd w:id="4"/>
    <w:bookmarkEnd w:id="5"/>
    <w:p w14:paraId="613620B3">
      <w:pPr>
        <w:pStyle w:val="16"/>
        <w:spacing w:before="312" w:beforeLines="100" w:line="360" w:lineRule="auto"/>
        <w:rPr>
          <w:rFonts w:ascii="黑体" w:hAnsi="宋体"/>
        </w:rPr>
      </w:pPr>
      <w:bookmarkStart w:id="6" w:name="OLE_LINK4"/>
      <w:bookmarkStart w:id="7" w:name="OLE_LINK3"/>
      <w:r>
        <w:rPr>
          <w:rFonts w:hint="eastAsia" w:ascii="黑体" w:hAnsi="宋体"/>
        </w:rPr>
        <w:t>四、课程思政教学设计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177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8FF2FBD">
            <w:pPr>
              <w:widowControl/>
              <w:ind w:firstLine="420" w:firstLineChars="200"/>
              <w:jc w:val="left"/>
              <w:rPr>
                <w:bCs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根据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学校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人才培养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八大核心素养培养要求和思想政治教育目标，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生活中的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民法典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课程是使学生通过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学习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法律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知识，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树立法治观念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、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遵纪守法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、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提升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法律意识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、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培养法律思维、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自觉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遵守法规、校纪校规的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教育理念，注重爱国主义教育和传统文化教育，积极弘扬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社会主义核心价值观、增强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强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政治认同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，培养学生成为、奋斗有我的信念，激发学生的责任感。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通过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法院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旁听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、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课堂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展示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等实践教学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环节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将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所学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法律知识运用到学习生活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中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，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提升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处理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纠纷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、解决矛盾的技能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，同时将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思想政治教育潜移默化的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渗透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其中，</w:t>
            </w:r>
            <w:r>
              <w:rPr>
                <w:rFonts w:cs="仿宋_GB2312" w:asciiTheme="minorEastAsia" w:hAnsiTheme="minorEastAsia" w:eastAsiaTheme="minorEastAsia"/>
                <w:szCs w:val="20"/>
              </w:rPr>
              <w:t>以价值塑造为宗旨，以国家情怀、文化传承、道德素质为核心；课程中选取现下较为</w:t>
            </w:r>
            <w:r>
              <w:rPr>
                <w:rFonts w:hint="eastAsia" w:cs="仿宋_GB2312" w:asciiTheme="minorEastAsia" w:hAnsiTheme="minorEastAsia" w:eastAsiaTheme="minorEastAsia"/>
                <w:szCs w:val="20"/>
              </w:rPr>
              <w:t>热点</w:t>
            </w:r>
            <w:r>
              <w:rPr>
                <w:rFonts w:cs="仿宋_GB2312" w:asciiTheme="minorEastAsia" w:hAnsiTheme="minorEastAsia" w:eastAsiaTheme="minorEastAsia"/>
                <w:szCs w:val="20"/>
              </w:rPr>
              <w:t>新闻和</w:t>
            </w:r>
            <w:r>
              <w:rPr>
                <w:rFonts w:hint="eastAsia" w:cs="仿宋_GB2312" w:asciiTheme="minorEastAsia" w:hAnsiTheme="minorEastAsia" w:eastAsiaTheme="minorEastAsia"/>
                <w:szCs w:val="20"/>
              </w:rPr>
              <w:t>典型</w:t>
            </w:r>
            <w:r>
              <w:rPr>
                <w:rFonts w:cs="仿宋_GB2312" w:asciiTheme="minorEastAsia" w:hAnsiTheme="minorEastAsia" w:eastAsiaTheme="minorEastAsia"/>
                <w:szCs w:val="20"/>
              </w:rPr>
              <w:t>案件等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，通过</w:t>
            </w:r>
            <w:r>
              <w:rPr>
                <w:rFonts w:hint="eastAsia" w:cs="仿宋_GB2312" w:asciiTheme="minorEastAsia" w:hAnsiTheme="minorEastAsia" w:eastAsiaTheme="minorEastAsia"/>
                <w:szCs w:val="20"/>
              </w:rPr>
              <w:t>案件</w:t>
            </w:r>
            <w:r>
              <w:rPr>
                <w:rFonts w:cs="仿宋_GB2312" w:asciiTheme="minorEastAsia" w:hAnsiTheme="minorEastAsia" w:eastAsiaTheme="minorEastAsia"/>
                <w:szCs w:val="20"/>
              </w:rPr>
              <w:t>分析和解读，</w:t>
            </w:r>
            <w:r>
              <w:rPr>
                <w:rFonts w:hint="eastAsia" w:cs="仿宋_GB2312" w:asciiTheme="minorEastAsia" w:hAnsiTheme="minorEastAsia" w:eastAsiaTheme="minorEastAsia"/>
                <w:szCs w:val="20"/>
              </w:rPr>
              <w:t>提高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学生的</w:t>
            </w:r>
            <w:r>
              <w:rPr>
                <w:rFonts w:hint="eastAsia" w:cs="仿宋_GB2312" w:asciiTheme="minorEastAsia" w:hAnsiTheme="minorEastAsia" w:eastAsiaTheme="minorEastAsia"/>
                <w:szCs w:val="20"/>
              </w:rPr>
              <w:t>分析</w:t>
            </w:r>
            <w:r>
              <w:rPr>
                <w:rFonts w:cs="仿宋_GB2312" w:asciiTheme="minorEastAsia" w:hAnsiTheme="minorEastAsia" w:eastAsiaTheme="minorEastAsia"/>
                <w:szCs w:val="20"/>
              </w:rPr>
              <w:t>解决能力，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和社会责任感；课程中分</w:t>
            </w:r>
            <w:r>
              <w:rPr>
                <w:rFonts w:hint="eastAsia" w:cs="仿宋_GB2312" w:asciiTheme="minorEastAsia" w:hAnsiTheme="minorEastAsia" w:eastAsiaTheme="minorEastAsia"/>
                <w:szCs w:val="20"/>
              </w:rPr>
              <w:t>小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组</w:t>
            </w:r>
            <w:r>
              <w:rPr>
                <w:rFonts w:hint="eastAsia" w:cs="仿宋_GB2312" w:asciiTheme="minorEastAsia" w:hAnsiTheme="minorEastAsia" w:eastAsiaTheme="minorEastAsia"/>
                <w:szCs w:val="20"/>
              </w:rPr>
              <w:t>进行</w:t>
            </w:r>
            <w:r>
              <w:rPr>
                <w:rFonts w:cs="仿宋_GB2312" w:asciiTheme="minorEastAsia" w:hAnsiTheme="minorEastAsia" w:eastAsiaTheme="minorEastAsia"/>
                <w:szCs w:val="20"/>
              </w:rPr>
              <w:t>案件分享与展示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，</w:t>
            </w:r>
            <w:r>
              <w:rPr>
                <w:rFonts w:hint="eastAsia" w:cs="仿宋_GB2312" w:asciiTheme="minorEastAsia" w:hAnsiTheme="minorEastAsia" w:eastAsiaTheme="minorEastAsia"/>
                <w:szCs w:val="20"/>
              </w:rPr>
              <w:t>锻炼</w:t>
            </w:r>
            <w:r>
              <w:rPr>
                <w:rFonts w:cs="仿宋_GB2312" w:asciiTheme="minorEastAsia" w:hAnsiTheme="minorEastAsia" w:eastAsiaTheme="minorEastAsia"/>
                <w:szCs w:val="20"/>
              </w:rPr>
              <w:t>学生</w:t>
            </w:r>
            <w:r>
              <w:rPr>
                <w:rFonts w:hint="eastAsia" w:cs="仿宋_GB2312" w:asciiTheme="minorEastAsia" w:hAnsiTheme="minorEastAsia" w:eastAsiaTheme="minorEastAsia"/>
                <w:szCs w:val="20"/>
              </w:rPr>
              <w:t>语言</w:t>
            </w:r>
            <w:r>
              <w:rPr>
                <w:rFonts w:cs="仿宋_GB2312" w:asciiTheme="minorEastAsia" w:hAnsiTheme="minorEastAsia" w:eastAsiaTheme="minorEastAsia"/>
                <w:szCs w:val="20"/>
              </w:rPr>
              <w:t>表达能力、</w:t>
            </w:r>
            <w:r>
              <w:rPr>
                <w:rFonts w:hint="eastAsia" w:cs="仿宋_GB2312" w:asciiTheme="minorEastAsia" w:hAnsiTheme="minorEastAsia" w:eastAsiaTheme="minorEastAsia"/>
                <w:szCs w:val="20"/>
              </w:rPr>
              <w:t>培养</w:t>
            </w:r>
            <w:r>
              <w:rPr>
                <w:rFonts w:cs="仿宋_GB2312" w:asciiTheme="minorEastAsia" w:hAnsiTheme="minorEastAsia" w:eastAsiaTheme="minorEastAsia"/>
                <w:szCs w:val="20"/>
              </w:rPr>
              <w:t>学生交流交际能力、相互</w:t>
            </w:r>
            <w:r>
              <w:rPr>
                <w:rFonts w:hint="eastAsia" w:cs="仿宋_GB2312" w:asciiTheme="minorEastAsia" w:hAnsiTheme="minorEastAsia" w:eastAsiaTheme="minorEastAsia"/>
                <w:szCs w:val="20"/>
              </w:rPr>
              <w:t>帮助</w:t>
            </w:r>
            <w:r>
              <w:rPr>
                <w:rFonts w:cs="仿宋_GB2312" w:asciiTheme="minorEastAsia" w:hAnsiTheme="minorEastAsia" w:eastAsiaTheme="minorEastAsia"/>
                <w:szCs w:val="20"/>
              </w:rPr>
              <w:t>、</w:t>
            </w:r>
            <w:r>
              <w:rPr>
                <w:rFonts w:hint="eastAsia" w:cs="仿宋_GB2312" w:asciiTheme="minorEastAsia" w:hAnsiTheme="minorEastAsia" w:eastAsiaTheme="minorEastAsia"/>
                <w:szCs w:val="20"/>
              </w:rPr>
              <w:t>协作创新能力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；</w:t>
            </w:r>
            <w:r>
              <w:rPr>
                <w:rFonts w:hint="eastAsia" w:cs="仿宋_GB2312" w:asciiTheme="minorEastAsia" w:hAnsiTheme="minorEastAsia" w:eastAsiaTheme="minorEastAsia"/>
                <w:szCs w:val="20"/>
              </w:rPr>
              <w:t>对</w:t>
            </w:r>
            <w:r>
              <w:rPr>
                <w:rFonts w:cs="仿宋_GB2312" w:asciiTheme="minorEastAsia" w:hAnsiTheme="minorEastAsia" w:eastAsiaTheme="minorEastAsia"/>
                <w:szCs w:val="20"/>
              </w:rPr>
              <w:t>课堂出勤</w:t>
            </w:r>
            <w:r>
              <w:rPr>
                <w:rFonts w:hint="eastAsia" w:cs="仿宋_GB2312" w:asciiTheme="minorEastAsia" w:hAnsiTheme="minorEastAsia" w:eastAsiaTheme="minorEastAsia"/>
                <w:szCs w:val="20"/>
              </w:rPr>
              <w:t>和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课堂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0"/>
              </w:rPr>
              <w:t>纪律</w:t>
            </w:r>
            <w:r>
              <w:rPr>
                <w:rFonts w:hint="eastAsia" w:cs="仿宋_GB2312" w:asciiTheme="minorEastAsia" w:hAnsiTheme="minorEastAsia" w:eastAsiaTheme="minorEastAsia"/>
                <w:szCs w:val="20"/>
              </w:rPr>
              <w:t>的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要求，提高了学生规则意识和社会道德修养；</w:t>
            </w:r>
            <w:r>
              <w:rPr>
                <w:rFonts w:hint="eastAsia" w:cs="仿宋_GB2312" w:asciiTheme="minorEastAsia" w:hAnsiTheme="minorEastAsia" w:eastAsiaTheme="minorEastAsia"/>
                <w:szCs w:val="20"/>
              </w:rPr>
              <w:t>课外</w:t>
            </w:r>
            <w:r>
              <w:rPr>
                <w:rFonts w:cs="仿宋_GB2312" w:asciiTheme="minorEastAsia" w:hAnsiTheme="minorEastAsia" w:eastAsiaTheme="minorEastAsia"/>
                <w:szCs w:val="20"/>
              </w:rPr>
              <w:t>大作业的部署，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提高了学生自主</w:t>
            </w:r>
            <w:r>
              <w:rPr>
                <w:rFonts w:hint="eastAsia" w:cs="仿宋_GB2312" w:asciiTheme="minorEastAsia" w:hAnsiTheme="minorEastAsia" w:eastAsiaTheme="minorEastAsia"/>
                <w:szCs w:val="20"/>
              </w:rPr>
              <w:t>学习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能力，帮助学生树立终身</w:t>
            </w:r>
            <w:r>
              <w:rPr>
                <w:rFonts w:hint="eastAsia" w:cs="仿宋_GB2312" w:asciiTheme="minorEastAsia" w:hAnsiTheme="minorEastAsia" w:eastAsiaTheme="minorEastAsia"/>
                <w:szCs w:val="20"/>
              </w:rPr>
              <w:t>学习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0"/>
              </w:rPr>
              <w:t>意识。</w:t>
            </w:r>
          </w:p>
          <w:p w14:paraId="58B7A832">
            <w:pPr>
              <w:pStyle w:val="14"/>
              <w:widowControl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19EDE8">
      <w:pPr>
        <w:widowControl w:val="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5DA03C3F">
      <w:pPr>
        <w:widowControl w:val="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965CE44">
      <w:pPr>
        <w:pStyle w:val="16"/>
        <w:spacing w:before="312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五、评价方式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43"/>
        <w:gridCol w:w="2350"/>
        <w:gridCol w:w="735"/>
        <w:gridCol w:w="735"/>
        <w:gridCol w:w="735"/>
        <w:gridCol w:w="735"/>
        <w:gridCol w:w="735"/>
        <w:gridCol w:w="706"/>
      </w:tblGrid>
      <w:tr w14:paraId="2AECA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06A522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84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390354C">
            <w:pPr>
              <w:pStyle w:val="16"/>
              <w:widowControl w:val="0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0" w:type="dxa"/>
            <w:vMerge w:val="restart"/>
            <w:tcBorders>
              <w:top w:val="single" w:color="auto" w:sz="12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218D510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5" w:type="dxa"/>
            <w:gridSpan w:val="5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1AAF2D5E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9011EA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83C7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7E385F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14399DBB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0" w:type="dxa"/>
            <w:vMerge w:val="continue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334264B8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9FC84A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E72F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36E28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9605A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E666A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706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2E7C84A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2661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72C56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DB5FAF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3</w:t>
            </w:r>
            <w:r>
              <w:t>0%</w:t>
            </w:r>
          </w:p>
        </w:tc>
        <w:tc>
          <w:tcPr>
            <w:tcW w:w="2350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939FA43">
            <w:pPr>
              <w:pStyle w:val="14"/>
              <w:widowControl w:val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表现\</w:t>
            </w:r>
            <w:r>
              <w:rPr>
                <w:rFonts w:hint="eastAsia" w:ascii="宋体" w:hAnsi="宋体"/>
                <w:sz w:val="18"/>
                <w:szCs w:val="18"/>
              </w:rPr>
              <w:t>大作业</w:t>
            </w:r>
          </w:p>
          <w:p w14:paraId="12A70408">
            <w:pPr>
              <w:pStyle w:val="14"/>
              <w:widowControl w:val="0"/>
            </w:pPr>
            <w:r>
              <w:rPr>
                <w:rFonts w:hint="eastAsia" w:ascii="宋体" w:hAnsi="宋体"/>
                <w:sz w:val="18"/>
                <w:szCs w:val="18"/>
              </w:rPr>
              <w:t>案例分析与展示</w:t>
            </w: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EC660BC">
            <w:pPr>
              <w:pStyle w:val="14"/>
              <w:widowControl w:val="0"/>
            </w:pPr>
            <w:r>
              <w:t>20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195899">
            <w:pPr>
              <w:pStyle w:val="14"/>
              <w:widowControl w:val="0"/>
            </w:pPr>
            <w:r>
              <w:t>20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465F4F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6B7795">
            <w:pPr>
              <w:pStyle w:val="14"/>
              <w:widowControl w:val="0"/>
            </w:pPr>
            <w:r>
              <w:t>20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133853">
            <w:pPr>
              <w:pStyle w:val="14"/>
              <w:widowControl w:val="0"/>
            </w:pPr>
            <w:r>
              <w:t>20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FBE4D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21C9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E8DD2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0637A2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0%</w:t>
            </w:r>
          </w:p>
        </w:tc>
        <w:tc>
          <w:tcPr>
            <w:tcW w:w="2350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72C815F">
            <w:pPr>
              <w:pStyle w:val="14"/>
              <w:widowControl w:val="0"/>
            </w:pPr>
            <w:r>
              <w:rPr>
                <w:rFonts w:hint="eastAsia" w:ascii="宋体" w:hAnsi="宋体"/>
                <w:sz w:val="18"/>
                <w:szCs w:val="18"/>
              </w:rPr>
              <w:t>法院旁听实践环节</w:t>
            </w: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56D90DD9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DB2AC0">
            <w:pPr>
              <w:pStyle w:val="14"/>
              <w:widowControl w:val="0"/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BB1640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AEC00B">
            <w:pPr>
              <w:pStyle w:val="14"/>
              <w:widowControl w:val="0"/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441F6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EB875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FD5C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A637D79">
            <w:pPr>
              <w:widowControl w:val="0"/>
              <w:snapToGrid w:val="0"/>
              <w:jc w:val="center"/>
              <w:rPr>
                <w:rFonts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3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1983001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t>0%</w:t>
            </w:r>
          </w:p>
        </w:tc>
        <w:tc>
          <w:tcPr>
            <w:tcW w:w="2350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E7D16A3">
            <w:pPr>
              <w:pStyle w:val="14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综合</w:t>
            </w:r>
            <w:r>
              <w:rPr>
                <w:rFonts w:hint="eastAsia"/>
                <w:lang w:val="en-US" w:eastAsia="zh-CN"/>
              </w:rPr>
              <w:t>测评</w:t>
            </w: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141C3958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76B78E5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20DCEFE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C8AA89C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249867F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7965964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bookmarkEnd w:id="6"/>
      <w:bookmarkEnd w:id="7"/>
    </w:tbl>
    <w:p w14:paraId="011EEA91">
      <w:pPr>
        <w:rPr>
          <w:color w:val="000000" w:themeColor="text1"/>
          <w:sz w:val="21"/>
          <w:szCs w:val="21"/>
          <w:highlight w:val="cyan"/>
          <w14:textFill>
            <w14:solidFill>
              <w14:schemeClr w14:val="tx1"/>
            </w14:solidFill>
          </w14:textFill>
        </w:rPr>
      </w:pPr>
    </w:p>
    <w:p w14:paraId="48CA9A4B">
      <w:pPr>
        <w:rPr>
          <w:color w:val="000000" w:themeColor="text1"/>
          <w:sz w:val="21"/>
          <w:szCs w:val="21"/>
          <w:highlight w:val="cyan"/>
          <w14:textFill>
            <w14:solidFill>
              <w14:schemeClr w14:val="tx1"/>
            </w14:solidFill>
          </w14:textFill>
        </w:rPr>
      </w:pPr>
    </w:p>
    <w:p w14:paraId="5B696984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8D7A5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4B734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54B7341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C47DC2"/>
    <w:multiLevelType w:val="multilevel"/>
    <w:tmpl w:val="6BC47DC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456C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01A3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0CDD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04BB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0CD913D2"/>
    <w:rsid w:val="10BD2C22"/>
    <w:rsid w:val="1E376B1E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57DA4A85"/>
    <w:rsid w:val="611F6817"/>
    <w:rsid w:val="66CA1754"/>
    <w:rsid w:val="6A5034F9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6</Pages>
  <Words>1061</Words>
  <Characters>1118</Characters>
  <Lines>6</Lines>
  <Paragraphs>1</Paragraphs>
  <TotalTime>0</TotalTime>
  <ScaleCrop>false</ScaleCrop>
  <LinksUpToDate>false</LinksUpToDate>
  <CharactersWithSpaces>1135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2025-04-30T04:59:00Z</dcterms:created>
  <dc:creator>juvg</dc:creator>
  <cp:lastModifiedBy>笑语嫣然</cp:lastModifiedBy>
  <cp:lastPrinted>2023-11-21T00:52:00Z</cp:lastPrinted>
  <dcterms:modified xsi:type="dcterms:W3CDTF">2025-12-05T13:47:26Z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4311498E237E4A6DB5C1DFDB4BC9D24B_13</vt:lpwstr>
  </property>
  <property fmtid="{D5CDD505-2E9C-101B-9397-08002B2CF9AE}" pid="4" name="KSOTemplateDocerSaveRecord">
    <vt:lpwstr>eyJoZGlkIjoiYTkzM2U5MTc2MTk2NmM3NTI0ODQ1NmVjY2Q3OGQ0MjIiLCJ1c2VySWQiOiI5Njk5NzY0OTYifQ==</vt:lpwstr>
  </property>
</Properties>
</file>