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319CD">
      <w:pPr>
        <w:jc w:val="center"/>
        <w:rPr>
          <w:rFonts w:ascii="黑体" w:hAnsi="黑体" w:eastAsia="黑体"/>
          <w:bCs/>
          <w:sz w:val="32"/>
          <w:szCs w:val="32"/>
        </w:rPr>
      </w:pPr>
      <w:r>
        <w:rPr>
          <w:rFonts w:hint="eastAsia" w:ascii="黑体" w:hAnsi="黑体" w:eastAsia="黑体"/>
          <w:bCs/>
          <w:sz w:val="32"/>
          <w:szCs w:val="32"/>
        </w:rPr>
        <w:t>《高等数学》本科课程教学大纲</w:t>
      </w:r>
    </w:p>
    <w:p w14:paraId="7A6C42A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F7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E38E4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8DB992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color w:val="000000" w:themeColor="text1"/>
                <w:sz w:val="21"/>
                <w:szCs w:val="21"/>
                <w14:textFill>
                  <w14:solidFill>
                    <w14:schemeClr w14:val="tx1"/>
                  </w14:solidFill>
                </w14:textFill>
              </w:rPr>
              <w:t>高等</w:t>
            </w:r>
            <w:r>
              <w:rPr>
                <w:rFonts w:hint="eastAsia"/>
                <w:color w:val="000000" w:themeColor="text1"/>
                <w:sz w:val="21"/>
                <w:szCs w:val="21"/>
                <w14:textFill>
                  <w14:solidFill>
                    <w14:schemeClr w14:val="tx1"/>
                  </w14:solidFill>
                </w14:textFill>
              </w:rPr>
              <w:t>数学</w:t>
            </w:r>
          </w:p>
        </w:tc>
      </w:tr>
      <w:tr w14:paraId="3414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280BB1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CF52E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color w:val="000000" w:themeColor="text1"/>
                <w:sz w:val="21"/>
                <w:szCs w:val="21"/>
                <w14:textFill>
                  <w14:solidFill>
                    <w14:schemeClr w14:val="tx1"/>
                  </w14:solidFill>
                </w14:textFill>
              </w:rPr>
              <w:t xml:space="preserve">Advanced Calculus </w:t>
            </w:r>
          </w:p>
        </w:tc>
      </w:tr>
      <w:tr w14:paraId="1C62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CBAD5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218BD0D">
            <w:pPr>
              <w:widowControl w:val="0"/>
              <w:jc w:val="center"/>
              <w:rPr>
                <w:rFonts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2050234</w:t>
            </w:r>
          </w:p>
        </w:tc>
        <w:tc>
          <w:tcPr>
            <w:tcW w:w="2126" w:type="dxa"/>
            <w:gridSpan w:val="2"/>
            <w:vAlign w:val="center"/>
          </w:tcPr>
          <w:p w14:paraId="57BC9D6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FB1E90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16A9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BA740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E7B6CC7">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w:t>
            </w:r>
          </w:p>
        </w:tc>
        <w:tc>
          <w:tcPr>
            <w:tcW w:w="1272" w:type="dxa"/>
            <w:vAlign w:val="center"/>
          </w:tcPr>
          <w:p w14:paraId="6D01312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988DB1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w:t>
            </w:r>
          </w:p>
        </w:tc>
        <w:tc>
          <w:tcPr>
            <w:tcW w:w="1413" w:type="dxa"/>
            <w:gridSpan w:val="2"/>
            <w:vAlign w:val="center"/>
          </w:tcPr>
          <w:p w14:paraId="5F3B091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6EF495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423E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A841A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3C42072">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教育学院</w:t>
            </w:r>
          </w:p>
        </w:tc>
        <w:tc>
          <w:tcPr>
            <w:tcW w:w="2126" w:type="dxa"/>
            <w:gridSpan w:val="2"/>
            <w:vAlign w:val="center"/>
          </w:tcPr>
          <w:p w14:paraId="4E94AC6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E78609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大一健康服务和养老服务专业</w:t>
            </w:r>
          </w:p>
        </w:tc>
      </w:tr>
      <w:tr w14:paraId="3721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E062E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1DC48A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公共基础课</w:t>
            </w:r>
          </w:p>
        </w:tc>
        <w:tc>
          <w:tcPr>
            <w:tcW w:w="2126" w:type="dxa"/>
            <w:gridSpan w:val="2"/>
            <w:vAlign w:val="center"/>
          </w:tcPr>
          <w:p w14:paraId="4CE14FE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41D0D4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02CA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773912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7D0028D">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微积分（上册）（经管类·第五版）</w:t>
            </w:r>
          </w:p>
          <w:p w14:paraId="76FE9ADB">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ISBN：9787300243832</w:t>
            </w:r>
          </w:p>
          <w:p w14:paraId="7E1324AC">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吴赣昌主编 中国人民大学出版社</w:t>
            </w:r>
          </w:p>
        </w:tc>
        <w:tc>
          <w:tcPr>
            <w:tcW w:w="1413" w:type="dxa"/>
            <w:gridSpan w:val="2"/>
            <w:vAlign w:val="center"/>
          </w:tcPr>
          <w:p w14:paraId="1BF8661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406769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A0D9B16">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否</w:t>
            </w:r>
          </w:p>
        </w:tc>
      </w:tr>
      <w:tr w14:paraId="1192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67E06D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986C879">
            <w:pPr>
              <w:pStyle w:val="14"/>
              <w:widowControl w:val="0"/>
              <w:jc w:val="both"/>
            </w:pPr>
            <w:r>
              <w:rPr>
                <w:rFonts w:hint="eastAsia"/>
              </w:rPr>
              <w:t>高中数学</w:t>
            </w:r>
          </w:p>
        </w:tc>
      </w:tr>
      <w:tr w14:paraId="46B9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51ECCA8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C0F03D8">
            <w:pPr>
              <w:widowControl w:val="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高等数学课程的主要内容是微积分，对经济管理类本科生而言，它既是学习线性代数、概率统计及运筹学等数学类课程的先修程，也是学习专业课及专业基础课的通识教育课程。</w:t>
            </w:r>
          </w:p>
          <w:p w14:paraId="21FE2FDA">
            <w:pPr>
              <w:widowControl w:val="0"/>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本课程主要内容为函数、极限、连续及一元函数微分和积分。通过学习，使学生获得基本概念、基本理论和基本运算技能，为学习后续课程奠定必要的数学基础。</w:t>
            </w:r>
          </w:p>
          <w:p w14:paraId="590A9D8C">
            <w:pPr>
              <w:widowControl w:val="0"/>
              <w:ind w:firstLine="420" w:firstLineChars="200"/>
              <w:jc w:val="left"/>
              <w:rPr>
                <w:sz w:val="18"/>
                <w:szCs w:val="18"/>
              </w:rPr>
            </w:pPr>
            <w:r>
              <w:rPr>
                <w:rFonts w:hint="eastAsia"/>
                <w:color w:val="000000" w:themeColor="text1"/>
                <w:sz w:val="21"/>
                <w:szCs w:val="21"/>
                <w14:textFill>
                  <w14:solidFill>
                    <w14:schemeClr w14:val="tx1"/>
                  </w14:solidFill>
                </w14:textFill>
              </w:rPr>
              <w:t>同时，本课程将思政元素融入其中，培养学生们独立思考、合作学习的习惯，诚实守信、质疑创新的素养，爱党爱国、奉献社会的信念。除了获取知识，学生还将从课程中领悟数学家们唯物辩证和思辨的自然哲学思想，提升抽象思维能力、逻辑推理能力、运用所学知识去分析和解决问题的能力。</w:t>
            </w:r>
          </w:p>
        </w:tc>
      </w:tr>
      <w:tr w14:paraId="7E2F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2F9076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7266D8A">
            <w:pPr>
              <w:widowControl w:val="0"/>
              <w:snapToGrid w:val="0"/>
              <w:spacing w:line="288"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本课程适合健康服务和养老服务专业学生在第二学期进行学习。</w:t>
            </w:r>
          </w:p>
        </w:tc>
      </w:tr>
      <w:tr w14:paraId="1FBF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B6BE18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08C1541">
            <w:pPr>
              <w:widowControl w:val="0"/>
              <w:jc w:val="right"/>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周联</w:t>
            </w:r>
            <w:bookmarkStart w:id="6" w:name="_GoBack"/>
            <w:bookmarkEnd w:id="6"/>
          </w:p>
        </w:tc>
        <w:tc>
          <w:tcPr>
            <w:tcW w:w="1425" w:type="dxa"/>
            <w:gridSpan w:val="2"/>
            <w:tcBorders>
              <w:top w:val="double" w:color="auto" w:sz="4" w:space="0"/>
            </w:tcBorders>
            <w:vAlign w:val="center"/>
          </w:tcPr>
          <w:p w14:paraId="16A0516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094E9CA">
            <w:pPr>
              <w:widowControl w:val="0"/>
              <w:jc w:val="center"/>
              <w:rPr>
                <w:rFonts w:ascii="Times New Roman" w:hAnsi="Times New Roman"/>
                <w:color w:val="000000"/>
                <w:sz w:val="21"/>
                <w:szCs w:val="21"/>
              </w:rPr>
            </w:pPr>
            <w:r>
              <w:rPr>
                <w:rFonts w:hint="eastAsia" w:ascii="Times New Roman" w:hAnsi="Times New Roman"/>
                <w:color w:val="000000"/>
                <w:sz w:val="21"/>
                <w:szCs w:val="21"/>
              </w:rPr>
              <w:t>2024.3.1</w:t>
            </w:r>
          </w:p>
        </w:tc>
      </w:tr>
      <w:tr w14:paraId="65C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C6FDD9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C8F694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1FFD8E4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B0E4C7E">
            <w:pPr>
              <w:widowControl w:val="0"/>
              <w:jc w:val="center"/>
              <w:rPr>
                <w:rFonts w:ascii="Times New Roman" w:hAnsi="Times New Roman"/>
                <w:color w:val="000000"/>
                <w:sz w:val="21"/>
                <w:szCs w:val="21"/>
              </w:rPr>
            </w:pPr>
          </w:p>
        </w:tc>
      </w:tr>
      <w:tr w14:paraId="4537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4D986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F044DA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7F2B20A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408E2E7">
            <w:pPr>
              <w:widowControl w:val="0"/>
              <w:jc w:val="center"/>
              <w:rPr>
                <w:rFonts w:ascii="Times New Roman" w:hAnsi="Times New Roman"/>
                <w:color w:val="000000"/>
                <w:sz w:val="21"/>
                <w:szCs w:val="21"/>
              </w:rPr>
            </w:pPr>
          </w:p>
        </w:tc>
      </w:tr>
    </w:tbl>
    <w:p w14:paraId="40FCDFDA">
      <w:pPr>
        <w:spacing w:line="100" w:lineRule="exact"/>
        <w:rPr>
          <w:rFonts w:ascii="Arial" w:hAnsi="Arial" w:eastAsia="黑体"/>
        </w:rPr>
      </w:pPr>
      <w:r>
        <w:br w:type="page"/>
      </w:r>
    </w:p>
    <w:p w14:paraId="0772E7DA">
      <w:pPr>
        <w:pStyle w:val="16"/>
        <w:spacing w:before="326" w:beforeLines="100" w:line="360" w:lineRule="auto"/>
        <w:rPr>
          <w:rFonts w:ascii="黑体" w:hAnsi="宋体"/>
        </w:rPr>
      </w:pPr>
      <w:r>
        <w:rPr>
          <w:rFonts w:hint="eastAsia" w:ascii="黑体" w:hAnsi="宋体"/>
        </w:rPr>
        <w:t>二、课程目标与毕业要求</w:t>
      </w:r>
    </w:p>
    <w:p w14:paraId="62E9C29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9BA0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90C4E6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3AA7C1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18D1E9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1080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6BE923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98B415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0E09EEB">
            <w:pPr>
              <w:spacing w:line="360" w:lineRule="auto"/>
              <w:rPr>
                <w:bCs/>
                <w:color w:val="000000"/>
                <w:sz w:val="21"/>
                <w:szCs w:val="21"/>
              </w:rPr>
            </w:pPr>
            <w:r>
              <w:rPr>
                <w:rFonts w:hint="eastAsia"/>
                <w:bCs/>
                <w:color w:val="000000"/>
                <w:sz w:val="21"/>
                <w:szCs w:val="21"/>
              </w:rPr>
              <w:t>掌握数学基本理论知识(数学概念、定理)、基本技能。</w:t>
            </w:r>
          </w:p>
        </w:tc>
      </w:tr>
      <w:tr w14:paraId="60610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B7D0B3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8A5957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53D6F932">
            <w:pPr>
              <w:spacing w:line="360" w:lineRule="auto"/>
              <w:rPr>
                <w:bCs/>
                <w:color w:val="000000"/>
                <w:sz w:val="21"/>
                <w:szCs w:val="21"/>
              </w:rPr>
            </w:pPr>
            <w:r>
              <w:rPr>
                <w:rFonts w:hint="eastAsia"/>
                <w:bCs/>
                <w:color w:val="000000"/>
                <w:sz w:val="21"/>
                <w:szCs w:val="21"/>
              </w:rPr>
              <w:t>具有一定运算能力、逻辑推理和抽象思维能力。</w:t>
            </w:r>
          </w:p>
        </w:tc>
      </w:tr>
      <w:tr w14:paraId="0525B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84BB952">
            <w:pPr>
              <w:pStyle w:val="14"/>
              <w:rPr>
                <w:rFonts w:ascii="宋体" w:hAnsi="宋体"/>
              </w:rPr>
            </w:pPr>
          </w:p>
        </w:tc>
        <w:tc>
          <w:tcPr>
            <w:tcW w:w="782" w:type="dxa"/>
            <w:shd w:val="clear" w:color="auto" w:fill="auto"/>
            <w:vAlign w:val="center"/>
          </w:tcPr>
          <w:p w14:paraId="02A9BB2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73097318">
            <w:pPr>
              <w:pStyle w:val="14"/>
              <w:jc w:val="left"/>
              <w:rPr>
                <w:rFonts w:ascii="宋体" w:hAnsi="宋体"/>
                <w:bCs/>
              </w:rPr>
            </w:pPr>
            <w:r>
              <w:rPr>
                <w:rFonts w:hint="eastAsia" w:ascii="宋体" w:hAnsi="宋体"/>
                <w:bCs/>
              </w:rPr>
              <w:t>培养学生用数学思想方法解决实际应用问题的能力。</w:t>
            </w:r>
          </w:p>
        </w:tc>
      </w:tr>
      <w:tr w14:paraId="36212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7287B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92FA2E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671CC8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BDA6E7B">
            <w:pPr>
              <w:pStyle w:val="14"/>
              <w:jc w:val="left"/>
              <w:rPr>
                <w:rFonts w:ascii="宋体" w:hAnsi="宋体"/>
                <w:bCs/>
              </w:rPr>
            </w:pPr>
            <w:r>
              <w:rPr>
                <w:rFonts w:hint="eastAsia" w:ascii="宋体" w:hAnsi="宋体"/>
                <w:bCs/>
              </w:rPr>
              <w:t>建立数学思维，具有严谨科学的学习习惯和自主学习能力。</w:t>
            </w:r>
          </w:p>
        </w:tc>
      </w:tr>
      <w:tr w14:paraId="6F9A8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76078DF">
            <w:pPr>
              <w:pStyle w:val="14"/>
              <w:rPr>
                <w:rFonts w:ascii="宋体" w:hAnsi="宋体"/>
              </w:rPr>
            </w:pPr>
          </w:p>
        </w:tc>
        <w:tc>
          <w:tcPr>
            <w:tcW w:w="782" w:type="dxa"/>
            <w:shd w:val="clear" w:color="auto" w:fill="auto"/>
            <w:vAlign w:val="center"/>
          </w:tcPr>
          <w:p w14:paraId="2D63061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42F64559">
            <w:pPr>
              <w:rPr>
                <w:bCs/>
                <w:color w:val="000000"/>
                <w:sz w:val="21"/>
                <w:szCs w:val="21"/>
              </w:rPr>
            </w:pPr>
            <w:r>
              <w:rPr>
                <w:rFonts w:hint="eastAsia"/>
                <w:bCs/>
                <w:color w:val="000000"/>
                <w:sz w:val="21"/>
                <w:szCs w:val="21"/>
              </w:rPr>
              <w:t>基础知识与德育元素结合，提升数学素养，增强文化自信，明确爱国、诚信、敬业、友爱的精神，建立符合社会主义道德要求的价值观和爱党爱国奉献社会的理想信念。</w:t>
            </w:r>
          </w:p>
        </w:tc>
      </w:tr>
    </w:tbl>
    <w:p w14:paraId="4850F450">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58DBBA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93" w:hRule="atLeast"/>
        </w:trPr>
        <w:tc>
          <w:tcPr>
            <w:tcW w:w="8296" w:type="dxa"/>
          </w:tcPr>
          <w:p w14:paraId="4A2C1B93">
            <w:pPr>
              <w:pStyle w:val="14"/>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23940695">
            <w:pPr>
              <w:pStyle w:val="14"/>
              <w:widowControl w:val="0"/>
              <w:jc w:val="left"/>
              <w:rPr>
                <w:rFonts w:ascii="宋体" w:hAnsi="宋体"/>
                <w:bCs/>
              </w:rPr>
            </w:pPr>
            <w:r>
              <w:rPr>
                <w:rFonts w:hint="eastAsia" w:cs="Times New Roman"/>
              </w:rPr>
              <w:t>④</w:t>
            </w:r>
            <w:r>
              <w:rPr>
                <w:rFonts w:cs="Times New Roman"/>
              </w:rPr>
              <w:t>诚信尽责，为人诚实，信守承诺，勤奋努力，精益求精，勇于担责。</w:t>
            </w:r>
          </w:p>
        </w:tc>
      </w:tr>
      <w:tr w14:paraId="7B2823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5595B64">
            <w:pPr>
              <w:pStyle w:val="14"/>
              <w:widowControl w:val="0"/>
              <w:jc w:val="left"/>
              <w:rPr>
                <w:rFonts w:cs="Times New Roman"/>
              </w:rPr>
            </w:pPr>
            <w:r>
              <w:rPr>
                <w:rFonts w:cs="Times New Roman"/>
              </w:rPr>
              <w:t>LO2专业能力：具有人文科学素养，具备从事</w:t>
            </w:r>
            <w:r>
              <w:rPr>
                <w:rFonts w:hint="eastAsia" w:cs="Times New Roman"/>
              </w:rPr>
              <w:t>某项</w:t>
            </w:r>
            <w:r>
              <w:rPr>
                <w:rFonts w:cs="Times New Roman"/>
              </w:rPr>
              <w:t>工作或专业的理论知识、实践能力。</w:t>
            </w:r>
          </w:p>
          <w:p w14:paraId="05E69B96">
            <w:pPr>
              <w:pStyle w:val="14"/>
              <w:widowControl w:val="0"/>
              <w:jc w:val="left"/>
              <w:rPr>
                <w:rFonts w:ascii="宋体" w:hAnsi="宋体"/>
                <w:bCs/>
              </w:rPr>
            </w:pPr>
            <w:r>
              <w:rPr>
                <w:rFonts w:hint="eastAsia" w:cs="Times New Roman"/>
              </w:rPr>
              <w:t>①</w:t>
            </w:r>
            <w:r>
              <w:rPr>
                <w:rFonts w:cs="Times New Roman"/>
              </w:rPr>
              <w:t>具有专业所需的人文科学素养。</w:t>
            </w:r>
          </w:p>
        </w:tc>
      </w:tr>
      <w:tr w14:paraId="79A84C0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EC8727F">
            <w:pPr>
              <w:pStyle w:val="14"/>
              <w:widowControl w:val="0"/>
              <w:jc w:val="left"/>
              <w:rPr>
                <w:rFonts w:cs="Times New Roman"/>
              </w:rPr>
            </w:pPr>
            <w:r>
              <w:rPr>
                <w:rFonts w:cs="Times New Roman"/>
              </w:rPr>
              <w:t>LO4自主学习：能根据环境需要确定自己的学习目标，并主动地通过搜集信息、分析信息、讨论、实践、质疑、创造等方法来实现学习目标。</w:t>
            </w:r>
          </w:p>
          <w:p w14:paraId="5CA30601">
            <w:pPr>
              <w:pStyle w:val="14"/>
              <w:widowControl w:val="0"/>
              <w:jc w:val="left"/>
              <w:rPr>
                <w:rFonts w:ascii="宋体" w:hAnsi="宋体"/>
                <w:bCs/>
              </w:rPr>
            </w:pPr>
            <w:r>
              <w:rPr>
                <w:rFonts w:cs="Times New Roman"/>
              </w:rPr>
              <w:t>①能根据需要确定学习目标，并设计学习计划。</w:t>
            </w:r>
          </w:p>
        </w:tc>
      </w:tr>
    </w:tbl>
    <w:p w14:paraId="77768143">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678"/>
        <w:gridCol w:w="519"/>
        <w:gridCol w:w="554"/>
        <w:gridCol w:w="5573"/>
        <w:gridCol w:w="1152"/>
      </w:tblGrid>
      <w:tr w14:paraId="6D2E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678" w:type="dxa"/>
            <w:tcBorders>
              <w:top w:val="single" w:color="auto" w:sz="12" w:space="0"/>
              <w:left w:val="single" w:color="auto" w:sz="12" w:space="0"/>
              <w:right w:val="single" w:color="auto" w:sz="4" w:space="0"/>
            </w:tcBorders>
            <w:shd w:val="clear" w:color="auto" w:fill="auto"/>
            <w:vAlign w:val="center"/>
          </w:tcPr>
          <w:p w14:paraId="6B4CBCE5">
            <w:pPr>
              <w:pStyle w:val="13"/>
              <w:rPr>
                <w:szCs w:val="16"/>
              </w:rPr>
            </w:pPr>
            <w:r>
              <w:rPr>
                <w:rFonts w:hint="eastAsia" w:ascii="黑体" w:hAnsi="黑体"/>
                <w:szCs w:val="18"/>
              </w:rPr>
              <w:t>毕业要求</w:t>
            </w:r>
          </w:p>
        </w:tc>
        <w:tc>
          <w:tcPr>
            <w:tcW w:w="519" w:type="dxa"/>
            <w:tcBorders>
              <w:top w:val="single" w:color="auto" w:sz="12" w:space="0"/>
              <w:left w:val="single" w:color="auto" w:sz="4" w:space="0"/>
            </w:tcBorders>
            <w:vAlign w:val="center"/>
          </w:tcPr>
          <w:p w14:paraId="29A021A0">
            <w:pPr>
              <w:pStyle w:val="13"/>
              <w:rPr>
                <w:szCs w:val="16"/>
              </w:rPr>
            </w:pPr>
            <w:r>
              <w:rPr>
                <w:rFonts w:hint="eastAsia"/>
                <w:szCs w:val="16"/>
              </w:rPr>
              <w:t>指标点</w:t>
            </w:r>
          </w:p>
        </w:tc>
        <w:tc>
          <w:tcPr>
            <w:tcW w:w="554" w:type="dxa"/>
            <w:tcBorders>
              <w:top w:val="single" w:color="auto" w:sz="12" w:space="0"/>
              <w:right w:val="double" w:color="auto" w:sz="4" w:space="0"/>
            </w:tcBorders>
            <w:shd w:val="clear" w:color="auto" w:fill="auto"/>
            <w:vAlign w:val="center"/>
          </w:tcPr>
          <w:p w14:paraId="1062EB6C">
            <w:pPr>
              <w:pStyle w:val="13"/>
              <w:rPr>
                <w:szCs w:val="16"/>
              </w:rPr>
            </w:pPr>
            <w:r>
              <w:rPr>
                <w:rFonts w:hint="eastAsia"/>
                <w:szCs w:val="16"/>
              </w:rPr>
              <w:t>支撑度</w:t>
            </w:r>
          </w:p>
        </w:tc>
        <w:tc>
          <w:tcPr>
            <w:tcW w:w="5573" w:type="dxa"/>
            <w:tcBorders>
              <w:top w:val="single" w:color="auto" w:sz="12" w:space="0"/>
            </w:tcBorders>
            <w:vAlign w:val="center"/>
          </w:tcPr>
          <w:p w14:paraId="17632948">
            <w:pPr>
              <w:pStyle w:val="13"/>
              <w:rPr>
                <w:szCs w:val="16"/>
              </w:rPr>
            </w:pPr>
            <w:r>
              <w:rPr>
                <w:rFonts w:hint="eastAsia"/>
                <w:szCs w:val="16"/>
              </w:rPr>
              <w:t>课程目标</w:t>
            </w:r>
          </w:p>
        </w:tc>
        <w:tc>
          <w:tcPr>
            <w:tcW w:w="1152" w:type="dxa"/>
            <w:tcBorders>
              <w:top w:val="single" w:color="auto" w:sz="12" w:space="0"/>
              <w:right w:val="single" w:color="auto" w:sz="12" w:space="0"/>
            </w:tcBorders>
            <w:vAlign w:val="center"/>
          </w:tcPr>
          <w:p w14:paraId="2C15A0E1">
            <w:pPr>
              <w:pStyle w:val="13"/>
              <w:rPr>
                <w:szCs w:val="16"/>
              </w:rPr>
            </w:pPr>
            <w:r>
              <w:rPr>
                <w:rFonts w:hint="eastAsia"/>
                <w:szCs w:val="16"/>
              </w:rPr>
              <w:t>对指标点的贡献度</w:t>
            </w:r>
          </w:p>
        </w:tc>
      </w:tr>
      <w:tr w14:paraId="49DD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678" w:type="dxa"/>
            <w:tcBorders>
              <w:left w:val="single" w:color="auto" w:sz="12" w:space="0"/>
              <w:right w:val="single" w:color="auto" w:sz="4" w:space="0"/>
            </w:tcBorders>
            <w:shd w:val="clear" w:color="auto" w:fill="auto"/>
            <w:vAlign w:val="center"/>
          </w:tcPr>
          <w:p w14:paraId="2D34E12F">
            <w:pPr>
              <w:pStyle w:val="14"/>
              <w:rPr>
                <w:b/>
              </w:rPr>
            </w:pPr>
            <w:r>
              <w:rPr>
                <w:rFonts w:cs="Times New Roman"/>
              </w:rPr>
              <w:t>LO1</w:t>
            </w:r>
          </w:p>
        </w:tc>
        <w:tc>
          <w:tcPr>
            <w:tcW w:w="519" w:type="dxa"/>
            <w:tcBorders>
              <w:left w:val="single" w:color="auto" w:sz="4" w:space="0"/>
            </w:tcBorders>
            <w:vAlign w:val="center"/>
          </w:tcPr>
          <w:p w14:paraId="14FC2D4C">
            <w:pPr>
              <w:pStyle w:val="14"/>
              <w:rPr>
                <w:bCs/>
              </w:rPr>
            </w:pPr>
            <w:r>
              <w:rPr>
                <w:rFonts w:hint="eastAsia" w:cs="Times New Roman"/>
              </w:rPr>
              <w:t>④</w:t>
            </w:r>
          </w:p>
        </w:tc>
        <w:tc>
          <w:tcPr>
            <w:tcW w:w="554" w:type="dxa"/>
            <w:tcBorders>
              <w:right w:val="double" w:color="auto" w:sz="4" w:space="0"/>
            </w:tcBorders>
            <w:shd w:val="clear" w:color="auto" w:fill="auto"/>
            <w:vAlign w:val="center"/>
          </w:tcPr>
          <w:p w14:paraId="2EAE531A">
            <w:pPr>
              <w:pStyle w:val="14"/>
              <w:rPr>
                <w:rFonts w:ascii="宋体" w:hAnsi="宋体"/>
              </w:rPr>
            </w:pPr>
            <w:r>
              <w:rPr>
                <w:rFonts w:cs="Times New Roman"/>
              </w:rPr>
              <w:t>M</w:t>
            </w:r>
          </w:p>
        </w:tc>
        <w:tc>
          <w:tcPr>
            <w:tcW w:w="5573" w:type="dxa"/>
            <w:vAlign w:val="center"/>
          </w:tcPr>
          <w:p w14:paraId="55575010">
            <w:pPr>
              <w:pStyle w:val="14"/>
              <w:jc w:val="both"/>
              <w:rPr>
                <w:rFonts w:ascii="宋体" w:hAnsi="宋体"/>
                <w:bCs/>
              </w:rPr>
            </w:pPr>
            <w:r>
              <w:rPr>
                <w:rFonts w:hint="eastAsia" w:ascii="宋体" w:hAnsi="宋体"/>
                <w:bCs/>
              </w:rPr>
              <w:t>5.基础知识与德育元素结合，提升数学素养，增强文化自信</w:t>
            </w:r>
            <w:r>
              <w:rPr>
                <w:rFonts w:hint="eastAsia"/>
                <w:bCs/>
              </w:rPr>
              <w:t>，</w:t>
            </w:r>
            <w:r>
              <w:rPr>
                <w:rFonts w:hint="eastAsia" w:ascii="宋体" w:hAnsi="宋体"/>
                <w:bCs/>
              </w:rPr>
              <w:t>明确爱国、诚信、敬业、友爱的精神，建立符合社会主义道德要求的价值观和爱党爱国奉献社会的理想信念。</w:t>
            </w:r>
          </w:p>
        </w:tc>
        <w:tc>
          <w:tcPr>
            <w:tcW w:w="1152" w:type="dxa"/>
            <w:tcBorders>
              <w:right w:val="single" w:color="auto" w:sz="12" w:space="0"/>
            </w:tcBorders>
            <w:vAlign w:val="center"/>
          </w:tcPr>
          <w:p w14:paraId="70056272">
            <w:pPr>
              <w:pStyle w:val="14"/>
              <w:rPr>
                <w:rFonts w:ascii="宋体" w:hAnsi="宋体"/>
                <w:bCs/>
              </w:rPr>
            </w:pPr>
            <w:r>
              <w:rPr>
                <w:rFonts w:hint="eastAsia" w:ascii="宋体" w:hAnsi="宋体"/>
                <w:bCs/>
              </w:rPr>
              <w:t>100%</w:t>
            </w:r>
          </w:p>
        </w:tc>
      </w:tr>
      <w:tr w14:paraId="40D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678" w:type="dxa"/>
            <w:vMerge w:val="restart"/>
            <w:tcBorders>
              <w:left w:val="single" w:color="auto" w:sz="12" w:space="0"/>
              <w:right w:val="double" w:color="auto" w:sz="4" w:space="0"/>
            </w:tcBorders>
            <w:shd w:val="clear" w:color="auto" w:fill="auto"/>
            <w:vAlign w:val="center"/>
          </w:tcPr>
          <w:p w14:paraId="3BA3AD36">
            <w:pPr>
              <w:pStyle w:val="14"/>
              <w:rPr>
                <w:rFonts w:cs="Times New Roman"/>
              </w:rPr>
            </w:pPr>
          </w:p>
          <w:p w14:paraId="6EEA913E">
            <w:pPr>
              <w:pStyle w:val="14"/>
            </w:pPr>
            <w:r>
              <w:rPr>
                <w:rFonts w:cs="Times New Roman"/>
              </w:rPr>
              <w:t>LO2</w:t>
            </w:r>
          </w:p>
          <w:p w14:paraId="48D67932">
            <w:pPr>
              <w:pStyle w:val="14"/>
              <w:rPr>
                <w:rFonts w:ascii="宋体" w:hAnsi="宋体"/>
              </w:rPr>
            </w:pPr>
          </w:p>
        </w:tc>
        <w:tc>
          <w:tcPr>
            <w:tcW w:w="519" w:type="dxa"/>
            <w:vMerge w:val="restart"/>
            <w:tcBorders>
              <w:left w:val="single" w:color="auto" w:sz="12" w:space="0"/>
              <w:right w:val="double" w:color="auto" w:sz="4" w:space="0"/>
            </w:tcBorders>
            <w:shd w:val="clear" w:color="auto" w:fill="auto"/>
            <w:vAlign w:val="center"/>
          </w:tcPr>
          <w:p w14:paraId="1CF4ADBA">
            <w:pPr>
              <w:pStyle w:val="14"/>
              <w:rPr>
                <w:rFonts w:cs="Times New Roman"/>
              </w:rPr>
            </w:pPr>
          </w:p>
          <w:p w14:paraId="17EB3401">
            <w:pPr>
              <w:pStyle w:val="14"/>
              <w:rPr>
                <w:rFonts w:cs="Times New Roman"/>
                <w:bCs/>
              </w:rPr>
            </w:pPr>
            <w:r>
              <w:rPr>
                <w:rFonts w:hint="eastAsia" w:cs="Times New Roman"/>
              </w:rPr>
              <w:t>①</w:t>
            </w:r>
          </w:p>
          <w:p w14:paraId="07E59E4F">
            <w:pPr>
              <w:pStyle w:val="14"/>
              <w:rPr>
                <w:rFonts w:cs="Times New Roman"/>
              </w:rPr>
            </w:pPr>
          </w:p>
        </w:tc>
        <w:tc>
          <w:tcPr>
            <w:tcW w:w="554" w:type="dxa"/>
            <w:vMerge w:val="restart"/>
            <w:tcBorders>
              <w:left w:val="single" w:color="auto" w:sz="12" w:space="0"/>
              <w:right w:val="double" w:color="auto" w:sz="4" w:space="0"/>
            </w:tcBorders>
            <w:shd w:val="clear" w:color="auto" w:fill="auto"/>
            <w:vAlign w:val="center"/>
          </w:tcPr>
          <w:p w14:paraId="4D6EEDE5">
            <w:pPr>
              <w:pStyle w:val="14"/>
              <w:rPr>
                <w:rFonts w:cs="Times New Roman"/>
              </w:rPr>
            </w:pPr>
            <w:r>
              <w:rPr>
                <w:rFonts w:cs="Times New Roman"/>
              </w:rPr>
              <w:t>M</w:t>
            </w:r>
          </w:p>
        </w:tc>
        <w:tc>
          <w:tcPr>
            <w:tcW w:w="5573" w:type="dxa"/>
            <w:vAlign w:val="center"/>
          </w:tcPr>
          <w:p w14:paraId="52FCB99C">
            <w:pPr>
              <w:pStyle w:val="14"/>
              <w:jc w:val="both"/>
              <w:rPr>
                <w:rFonts w:ascii="宋体" w:hAnsi="宋体"/>
                <w:bCs/>
              </w:rPr>
            </w:pPr>
            <w:r>
              <w:rPr>
                <w:rFonts w:hint="eastAsia" w:ascii="宋体" w:hAnsi="宋体"/>
                <w:bCs/>
              </w:rPr>
              <w:t>1.掌握数学基本理论知识(数学概念、定理)、基本技能。</w:t>
            </w:r>
          </w:p>
        </w:tc>
        <w:tc>
          <w:tcPr>
            <w:tcW w:w="1152" w:type="dxa"/>
            <w:tcBorders>
              <w:right w:val="single" w:color="auto" w:sz="12" w:space="0"/>
            </w:tcBorders>
            <w:vAlign w:val="center"/>
          </w:tcPr>
          <w:p w14:paraId="3E5A03F6">
            <w:pPr>
              <w:pStyle w:val="14"/>
              <w:rPr>
                <w:rFonts w:ascii="宋体" w:hAnsi="宋体"/>
                <w:bCs/>
              </w:rPr>
            </w:pPr>
            <w:r>
              <w:rPr>
                <w:rFonts w:hint="eastAsia" w:ascii="宋体" w:hAnsi="宋体"/>
                <w:bCs/>
              </w:rPr>
              <w:t>60%</w:t>
            </w:r>
          </w:p>
        </w:tc>
      </w:tr>
      <w:tr w14:paraId="34C6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678" w:type="dxa"/>
            <w:vMerge w:val="continue"/>
            <w:tcBorders>
              <w:left w:val="single" w:color="auto" w:sz="12" w:space="0"/>
              <w:right w:val="double" w:color="auto" w:sz="4" w:space="0"/>
            </w:tcBorders>
            <w:shd w:val="clear" w:color="auto" w:fill="auto"/>
            <w:vAlign w:val="center"/>
          </w:tcPr>
          <w:p w14:paraId="59A3081E">
            <w:pPr>
              <w:pStyle w:val="14"/>
              <w:rPr>
                <w:rFonts w:ascii="宋体" w:hAnsi="宋体"/>
              </w:rPr>
            </w:pPr>
          </w:p>
        </w:tc>
        <w:tc>
          <w:tcPr>
            <w:tcW w:w="519" w:type="dxa"/>
            <w:vMerge w:val="continue"/>
            <w:tcBorders>
              <w:left w:val="single" w:color="auto" w:sz="12" w:space="0"/>
              <w:right w:val="double" w:color="auto" w:sz="4" w:space="0"/>
            </w:tcBorders>
            <w:shd w:val="clear" w:color="auto" w:fill="auto"/>
            <w:vAlign w:val="center"/>
          </w:tcPr>
          <w:p w14:paraId="09648968">
            <w:pPr>
              <w:pStyle w:val="14"/>
              <w:rPr>
                <w:rFonts w:ascii="宋体" w:hAnsi="宋体"/>
              </w:rPr>
            </w:pPr>
          </w:p>
        </w:tc>
        <w:tc>
          <w:tcPr>
            <w:tcW w:w="554" w:type="dxa"/>
            <w:vMerge w:val="continue"/>
            <w:tcBorders>
              <w:left w:val="single" w:color="auto" w:sz="12" w:space="0"/>
              <w:right w:val="double" w:color="auto" w:sz="4" w:space="0"/>
            </w:tcBorders>
            <w:shd w:val="clear" w:color="auto" w:fill="auto"/>
            <w:vAlign w:val="center"/>
          </w:tcPr>
          <w:p w14:paraId="736A4BC2">
            <w:pPr>
              <w:pStyle w:val="14"/>
              <w:rPr>
                <w:rFonts w:ascii="宋体" w:hAnsi="宋体"/>
              </w:rPr>
            </w:pPr>
          </w:p>
        </w:tc>
        <w:tc>
          <w:tcPr>
            <w:tcW w:w="5573" w:type="dxa"/>
            <w:vAlign w:val="center"/>
          </w:tcPr>
          <w:p w14:paraId="2FA9D3BF">
            <w:pPr>
              <w:pStyle w:val="14"/>
              <w:jc w:val="both"/>
              <w:rPr>
                <w:rFonts w:ascii="宋体" w:hAnsi="宋体"/>
                <w:bCs/>
              </w:rPr>
            </w:pPr>
            <w:r>
              <w:rPr>
                <w:rFonts w:hint="eastAsia" w:ascii="宋体" w:hAnsi="宋体"/>
                <w:bCs/>
              </w:rPr>
              <w:t>2.具有一定运算能力、逻辑推理和抽象思维能力。</w:t>
            </w:r>
          </w:p>
        </w:tc>
        <w:tc>
          <w:tcPr>
            <w:tcW w:w="1152" w:type="dxa"/>
            <w:tcBorders>
              <w:right w:val="single" w:color="auto" w:sz="12" w:space="0"/>
            </w:tcBorders>
            <w:vAlign w:val="center"/>
          </w:tcPr>
          <w:p w14:paraId="4DFC693D">
            <w:pPr>
              <w:pStyle w:val="14"/>
              <w:rPr>
                <w:rFonts w:ascii="宋体" w:hAnsi="宋体"/>
                <w:bCs/>
              </w:rPr>
            </w:pPr>
            <w:r>
              <w:rPr>
                <w:rFonts w:hint="eastAsia" w:ascii="宋体" w:hAnsi="宋体"/>
                <w:bCs/>
              </w:rPr>
              <w:t>20%</w:t>
            </w:r>
          </w:p>
        </w:tc>
      </w:tr>
      <w:tr w14:paraId="6BD4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678" w:type="dxa"/>
            <w:vMerge w:val="continue"/>
            <w:tcBorders>
              <w:left w:val="single" w:color="auto" w:sz="12" w:space="0"/>
              <w:right w:val="double" w:color="auto" w:sz="4" w:space="0"/>
            </w:tcBorders>
            <w:shd w:val="clear" w:color="auto" w:fill="auto"/>
          </w:tcPr>
          <w:p w14:paraId="58FFF7E4">
            <w:pPr>
              <w:pStyle w:val="14"/>
              <w:rPr>
                <w:rFonts w:ascii="宋体" w:hAnsi="宋体"/>
              </w:rPr>
            </w:pPr>
          </w:p>
        </w:tc>
        <w:tc>
          <w:tcPr>
            <w:tcW w:w="519" w:type="dxa"/>
            <w:vMerge w:val="continue"/>
            <w:tcBorders>
              <w:left w:val="single" w:color="auto" w:sz="12" w:space="0"/>
              <w:right w:val="double" w:color="auto" w:sz="4" w:space="0"/>
            </w:tcBorders>
            <w:shd w:val="clear" w:color="auto" w:fill="auto"/>
          </w:tcPr>
          <w:p w14:paraId="34887F3A">
            <w:pPr>
              <w:pStyle w:val="14"/>
              <w:rPr>
                <w:rFonts w:ascii="宋体" w:hAnsi="宋体"/>
              </w:rPr>
            </w:pPr>
          </w:p>
        </w:tc>
        <w:tc>
          <w:tcPr>
            <w:tcW w:w="554" w:type="dxa"/>
            <w:vMerge w:val="continue"/>
            <w:tcBorders>
              <w:left w:val="single" w:color="auto" w:sz="12" w:space="0"/>
              <w:right w:val="double" w:color="auto" w:sz="4" w:space="0"/>
            </w:tcBorders>
            <w:shd w:val="clear" w:color="auto" w:fill="auto"/>
          </w:tcPr>
          <w:p w14:paraId="203241C4">
            <w:pPr>
              <w:pStyle w:val="14"/>
              <w:rPr>
                <w:rFonts w:ascii="宋体" w:hAnsi="宋体"/>
              </w:rPr>
            </w:pPr>
          </w:p>
        </w:tc>
        <w:tc>
          <w:tcPr>
            <w:tcW w:w="5573" w:type="dxa"/>
            <w:vAlign w:val="center"/>
          </w:tcPr>
          <w:p w14:paraId="2034D3DD">
            <w:pPr>
              <w:pStyle w:val="14"/>
              <w:jc w:val="both"/>
              <w:rPr>
                <w:rFonts w:ascii="宋体" w:hAnsi="宋体"/>
                <w:bCs/>
              </w:rPr>
            </w:pPr>
            <w:r>
              <w:rPr>
                <w:rFonts w:hint="eastAsia" w:ascii="宋体" w:hAnsi="宋体"/>
                <w:bCs/>
              </w:rPr>
              <w:t>3.培养学生用数学思想方法解决实际应用问题的能力。</w:t>
            </w:r>
          </w:p>
        </w:tc>
        <w:tc>
          <w:tcPr>
            <w:tcW w:w="1152" w:type="dxa"/>
            <w:tcBorders>
              <w:right w:val="single" w:color="auto" w:sz="12" w:space="0"/>
            </w:tcBorders>
            <w:vAlign w:val="center"/>
          </w:tcPr>
          <w:p w14:paraId="6311C8B3">
            <w:pPr>
              <w:pStyle w:val="14"/>
              <w:rPr>
                <w:rFonts w:ascii="宋体" w:hAnsi="宋体"/>
                <w:bCs/>
              </w:rPr>
            </w:pPr>
            <w:r>
              <w:rPr>
                <w:rFonts w:hint="eastAsia" w:ascii="宋体" w:hAnsi="宋体"/>
                <w:bCs/>
              </w:rPr>
              <w:t>20%</w:t>
            </w:r>
          </w:p>
        </w:tc>
      </w:tr>
      <w:tr w14:paraId="2802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678" w:type="dxa"/>
            <w:tcBorders>
              <w:left w:val="single" w:color="auto" w:sz="12" w:space="0"/>
              <w:bottom w:val="single" w:color="auto" w:sz="12" w:space="0"/>
              <w:right w:val="single" w:color="auto" w:sz="4" w:space="0"/>
            </w:tcBorders>
            <w:shd w:val="clear" w:color="auto" w:fill="auto"/>
          </w:tcPr>
          <w:p w14:paraId="3157B177">
            <w:pPr>
              <w:pStyle w:val="14"/>
              <w:jc w:val="both"/>
              <w:rPr>
                <w:rFonts w:cs="Times New Roman"/>
              </w:rPr>
            </w:pPr>
            <w:r>
              <w:rPr>
                <w:rFonts w:cs="Times New Roman"/>
              </w:rPr>
              <w:t>LO4</w:t>
            </w:r>
          </w:p>
        </w:tc>
        <w:tc>
          <w:tcPr>
            <w:tcW w:w="519" w:type="dxa"/>
            <w:tcBorders>
              <w:left w:val="single" w:color="auto" w:sz="4" w:space="0"/>
              <w:bottom w:val="single" w:color="auto" w:sz="12" w:space="0"/>
            </w:tcBorders>
            <w:vAlign w:val="center"/>
          </w:tcPr>
          <w:p w14:paraId="03AF446B">
            <w:pPr>
              <w:pStyle w:val="14"/>
              <w:jc w:val="both"/>
              <w:rPr>
                <w:rFonts w:cs="Times New Roman"/>
              </w:rPr>
            </w:pPr>
            <w:r>
              <w:rPr>
                <w:rFonts w:cs="Times New Roman"/>
              </w:rPr>
              <w:t>①</w:t>
            </w:r>
          </w:p>
        </w:tc>
        <w:tc>
          <w:tcPr>
            <w:tcW w:w="554" w:type="dxa"/>
            <w:tcBorders>
              <w:bottom w:val="single" w:color="auto" w:sz="12" w:space="0"/>
              <w:right w:val="double" w:color="auto" w:sz="4" w:space="0"/>
            </w:tcBorders>
            <w:shd w:val="clear" w:color="auto" w:fill="auto"/>
            <w:vAlign w:val="center"/>
          </w:tcPr>
          <w:p w14:paraId="2C352A61">
            <w:pPr>
              <w:pStyle w:val="14"/>
              <w:jc w:val="both"/>
              <w:rPr>
                <w:rFonts w:cs="Times New Roman"/>
              </w:rPr>
            </w:pPr>
            <w:r>
              <w:rPr>
                <w:rFonts w:cs="Times New Roman"/>
              </w:rPr>
              <w:t>M</w:t>
            </w:r>
          </w:p>
        </w:tc>
        <w:tc>
          <w:tcPr>
            <w:tcW w:w="5573" w:type="dxa"/>
            <w:tcBorders>
              <w:bottom w:val="single" w:color="auto" w:sz="12" w:space="0"/>
            </w:tcBorders>
            <w:vAlign w:val="center"/>
          </w:tcPr>
          <w:p w14:paraId="0181AC68">
            <w:pPr>
              <w:pStyle w:val="14"/>
              <w:jc w:val="both"/>
              <w:rPr>
                <w:rFonts w:ascii="宋体" w:hAnsi="宋体"/>
                <w:bCs/>
              </w:rPr>
            </w:pPr>
            <w:r>
              <w:rPr>
                <w:rFonts w:hint="eastAsia" w:ascii="宋体" w:hAnsi="宋体"/>
                <w:bCs/>
              </w:rPr>
              <w:t>4.建立数学思维，具有严谨科学学习习惯和自主学习能力。</w:t>
            </w:r>
          </w:p>
        </w:tc>
        <w:tc>
          <w:tcPr>
            <w:tcW w:w="1152" w:type="dxa"/>
            <w:tcBorders>
              <w:bottom w:val="single" w:color="auto" w:sz="12" w:space="0"/>
              <w:right w:val="single" w:color="auto" w:sz="12" w:space="0"/>
            </w:tcBorders>
            <w:vAlign w:val="center"/>
          </w:tcPr>
          <w:p w14:paraId="03460023">
            <w:pPr>
              <w:pStyle w:val="14"/>
              <w:rPr>
                <w:rFonts w:ascii="宋体" w:hAnsi="宋体"/>
                <w:bCs/>
              </w:rPr>
            </w:pPr>
            <w:r>
              <w:rPr>
                <w:rFonts w:hint="eastAsia" w:ascii="宋体" w:hAnsi="宋体"/>
                <w:bCs/>
              </w:rPr>
              <w:t>100%</w:t>
            </w:r>
          </w:p>
        </w:tc>
      </w:tr>
    </w:tbl>
    <w:p w14:paraId="6F2DD9A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44E3B1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9AA5D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CF27478">
            <w:pPr>
              <w:widowControl w:val="0"/>
              <w:snapToGrid w:val="0"/>
              <w:spacing w:line="288" w:lineRule="auto"/>
              <w:ind w:firstLine="420" w:firstLineChars="200"/>
              <w:jc w:val="both"/>
              <w:rPr>
                <w:bCs/>
                <w:color w:val="000000"/>
                <w:sz w:val="21"/>
                <w:szCs w:val="21"/>
              </w:rPr>
            </w:pPr>
            <w:bookmarkStart w:id="0" w:name="OLE_LINK6"/>
            <w:bookmarkStart w:id="1" w:name="OLE_LINK5"/>
            <w:r>
              <w:rPr>
                <w:rFonts w:hint="eastAsia"/>
                <w:bCs/>
                <w:color w:val="000000"/>
                <w:sz w:val="21"/>
                <w:szCs w:val="21"/>
              </w:rPr>
              <w:t>第一单元 函数、极限与连续</w:t>
            </w:r>
          </w:p>
          <w:p w14:paraId="1F84438F">
            <w:pPr>
              <w:widowControl w:val="0"/>
              <w:snapToGrid w:val="0"/>
              <w:spacing w:line="288" w:lineRule="auto"/>
              <w:ind w:firstLine="420" w:firstLineChars="200"/>
              <w:jc w:val="both"/>
              <w:rPr>
                <w:bCs/>
                <w:color w:val="000000"/>
                <w:sz w:val="21"/>
                <w:szCs w:val="21"/>
              </w:rPr>
            </w:pPr>
            <w:r>
              <w:rPr>
                <w:rFonts w:hint="eastAsia"/>
                <w:bCs/>
                <w:color w:val="000000"/>
                <w:sz w:val="21"/>
                <w:szCs w:val="21"/>
              </w:rPr>
              <w:t>教学知识点</w:t>
            </w:r>
          </w:p>
          <w:p w14:paraId="537CE185">
            <w:pPr>
              <w:widowControl w:val="0"/>
              <w:snapToGrid w:val="0"/>
              <w:spacing w:line="288" w:lineRule="auto"/>
              <w:ind w:firstLine="420" w:firstLineChars="200"/>
              <w:jc w:val="both"/>
              <w:rPr>
                <w:bCs/>
                <w:color w:val="000000"/>
                <w:sz w:val="21"/>
                <w:szCs w:val="21"/>
              </w:rPr>
            </w:pPr>
            <w:r>
              <w:rPr>
                <w:rFonts w:hint="eastAsia"/>
                <w:bCs/>
                <w:color w:val="000000"/>
                <w:sz w:val="21"/>
                <w:szCs w:val="21"/>
              </w:rPr>
              <w:t>集合 函数的概念及表示法 函数的有界性、单调性、周期性和奇偶性 复合函数、反函数、分段函数 基本初等函数的性质及其图形 初等函数 简单应用问题的函数关系建立 数列极限与函数极限的定义及其性质 函数的左极限与右极限 无穷小和无穷大的概念及其关系 无穷小的性质及无穷小的比较 极限的四则运算 极限存在的两个准则：夹逼准则和单调有界准则 两个重要极限 函数连续的概念 函数间断点的类型 初等函数的连续性 闭区间上连续函数的性质（有界性、最大值和最小值定理、介值定理、零点定理）</w:t>
            </w:r>
          </w:p>
          <w:p w14:paraId="29CDB50D">
            <w:pPr>
              <w:widowControl w:val="0"/>
              <w:snapToGrid w:val="0"/>
              <w:spacing w:line="288" w:lineRule="auto"/>
              <w:ind w:firstLine="420" w:firstLineChars="200"/>
              <w:jc w:val="both"/>
              <w:rPr>
                <w:bCs/>
                <w:color w:val="000000"/>
                <w:sz w:val="21"/>
                <w:szCs w:val="21"/>
              </w:rPr>
            </w:pPr>
            <w:r>
              <w:rPr>
                <w:rFonts w:hint="eastAsia"/>
                <w:bCs/>
                <w:color w:val="000000"/>
                <w:sz w:val="21"/>
                <w:szCs w:val="21"/>
              </w:rPr>
              <w:t>教学能力要求</w:t>
            </w:r>
          </w:p>
          <w:p w14:paraId="5D50FA2A">
            <w:pPr>
              <w:widowControl w:val="0"/>
              <w:snapToGrid w:val="0"/>
              <w:spacing w:line="288" w:lineRule="auto"/>
              <w:ind w:firstLine="420" w:firstLineChars="200"/>
              <w:jc w:val="both"/>
              <w:rPr>
                <w:bCs/>
                <w:color w:val="000000"/>
                <w:sz w:val="21"/>
                <w:szCs w:val="21"/>
              </w:rPr>
            </w:pPr>
            <w:r>
              <w:rPr>
                <w:rFonts w:hint="eastAsia"/>
                <w:bCs/>
                <w:color w:val="000000"/>
                <w:sz w:val="21"/>
                <w:szCs w:val="21"/>
              </w:rPr>
              <w:t>（1）理解函数的概念，知道函数的奇偶性、单调性、周期性和有界性。</w:t>
            </w:r>
          </w:p>
          <w:p w14:paraId="7939B8EC">
            <w:pPr>
              <w:widowControl w:val="0"/>
              <w:snapToGrid w:val="0"/>
              <w:spacing w:line="288" w:lineRule="auto"/>
              <w:ind w:firstLine="420" w:firstLineChars="200"/>
              <w:jc w:val="both"/>
              <w:rPr>
                <w:bCs/>
                <w:color w:val="000000"/>
                <w:sz w:val="21"/>
                <w:szCs w:val="21"/>
              </w:rPr>
            </w:pPr>
            <w:r>
              <w:rPr>
                <w:rFonts w:hint="eastAsia"/>
                <w:bCs/>
                <w:color w:val="000000"/>
                <w:sz w:val="21"/>
                <w:szCs w:val="21"/>
              </w:rPr>
              <w:t>（2）理解复合函数的概念，知道反函数的概念，理解初等函数的概念。</w:t>
            </w:r>
          </w:p>
          <w:p w14:paraId="1CCF3B67">
            <w:pPr>
              <w:widowControl w:val="0"/>
              <w:snapToGrid w:val="0"/>
              <w:spacing w:line="288" w:lineRule="auto"/>
              <w:ind w:firstLine="420" w:firstLineChars="200"/>
              <w:jc w:val="both"/>
              <w:rPr>
                <w:bCs/>
                <w:color w:val="000000"/>
                <w:sz w:val="21"/>
                <w:szCs w:val="21"/>
              </w:rPr>
            </w:pPr>
            <w:r>
              <w:rPr>
                <w:rFonts w:hint="eastAsia"/>
                <w:bCs/>
                <w:color w:val="000000"/>
                <w:sz w:val="21"/>
                <w:szCs w:val="21"/>
              </w:rPr>
              <w:t>（3）会运用函数建立简单实际问题中的函数关系式。</w:t>
            </w:r>
          </w:p>
          <w:p w14:paraId="7ADE0680">
            <w:pPr>
              <w:widowControl w:val="0"/>
              <w:snapToGrid w:val="0"/>
              <w:spacing w:line="288" w:lineRule="auto"/>
              <w:ind w:firstLine="420" w:firstLineChars="200"/>
              <w:jc w:val="both"/>
              <w:rPr>
                <w:bCs/>
                <w:color w:val="000000"/>
                <w:sz w:val="21"/>
                <w:szCs w:val="21"/>
              </w:rPr>
            </w:pPr>
            <w:r>
              <w:rPr>
                <w:rFonts w:hint="eastAsia"/>
                <w:bCs/>
                <w:color w:val="000000"/>
                <w:sz w:val="21"/>
                <w:szCs w:val="21"/>
              </w:rPr>
              <w:t>（4）理解几种常用的经济函数（需求函数、供给函数、成本函数、收入函数和利润函数等）。</w:t>
            </w:r>
          </w:p>
          <w:p w14:paraId="4049C162">
            <w:pPr>
              <w:widowControl w:val="0"/>
              <w:snapToGrid w:val="0"/>
              <w:spacing w:line="288" w:lineRule="auto"/>
              <w:ind w:firstLine="420" w:firstLineChars="200"/>
              <w:jc w:val="both"/>
              <w:rPr>
                <w:bCs/>
                <w:color w:val="000000"/>
                <w:sz w:val="21"/>
                <w:szCs w:val="21"/>
              </w:rPr>
            </w:pPr>
            <w:r>
              <w:rPr>
                <w:rFonts w:hint="eastAsia"/>
                <w:bCs/>
                <w:color w:val="000000"/>
                <w:sz w:val="21"/>
                <w:szCs w:val="21"/>
              </w:rPr>
              <w:t>（5）理解极限的概念，知道极限的</w:t>
            </w:r>
            <w:r>
              <w:rPr>
                <w:rFonts w:hint="eastAsia"/>
                <w:bCs/>
                <w:color w:val="000000"/>
                <w:sz w:val="21"/>
                <w:szCs w:val="21"/>
              </w:rPr>
              <w:object>
                <v:shape id="_x0000_i1025" o:spt="75" type="#_x0000_t75" style="height:14.25pt;width:31.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bCs/>
                <w:color w:val="000000"/>
                <w:sz w:val="21"/>
                <w:szCs w:val="21"/>
              </w:rPr>
              <w:t>、</w:t>
            </w:r>
            <w:r>
              <w:rPr>
                <w:rFonts w:hint="eastAsia"/>
                <w:bCs/>
                <w:color w:val="000000"/>
                <w:sz w:val="21"/>
                <w:szCs w:val="21"/>
              </w:rPr>
              <w:object>
                <v:shape id="_x0000_i1026" o:spt="75" type="#_x0000_t75" style="height:14.25pt;width:27.8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bCs/>
                <w:color w:val="000000"/>
                <w:sz w:val="21"/>
                <w:szCs w:val="21"/>
              </w:rPr>
              <w:t>定义（简介）。</w:t>
            </w:r>
          </w:p>
          <w:p w14:paraId="06FC380C">
            <w:pPr>
              <w:widowControl w:val="0"/>
              <w:snapToGrid w:val="0"/>
              <w:spacing w:line="288" w:lineRule="auto"/>
              <w:ind w:firstLine="420" w:firstLineChars="200"/>
              <w:jc w:val="both"/>
              <w:rPr>
                <w:bCs/>
                <w:color w:val="000000"/>
                <w:sz w:val="21"/>
                <w:szCs w:val="21"/>
              </w:rPr>
            </w:pPr>
            <w:r>
              <w:rPr>
                <w:rFonts w:hint="eastAsia"/>
                <w:bCs/>
                <w:color w:val="000000"/>
                <w:sz w:val="21"/>
                <w:szCs w:val="21"/>
              </w:rPr>
              <w:t>（6）会运用函数极限的四则运算法则计算函数的极限，会运用换元法则求某些简单复合函数的极限。</w:t>
            </w:r>
          </w:p>
          <w:p w14:paraId="004E7611">
            <w:pPr>
              <w:widowControl w:val="0"/>
              <w:snapToGrid w:val="0"/>
              <w:spacing w:line="288" w:lineRule="auto"/>
              <w:ind w:firstLine="420" w:firstLineChars="200"/>
              <w:jc w:val="both"/>
              <w:rPr>
                <w:bCs/>
                <w:color w:val="000000"/>
                <w:sz w:val="21"/>
                <w:szCs w:val="21"/>
              </w:rPr>
            </w:pPr>
            <w:r>
              <w:rPr>
                <w:rFonts w:hint="eastAsia"/>
                <w:bCs/>
                <w:color w:val="000000"/>
                <w:sz w:val="21"/>
                <w:szCs w:val="21"/>
              </w:rPr>
              <w:t>（7）理解极限存在的夹逼准则，知道单调有界准则，会运用两个重要极限求极限。</w:t>
            </w:r>
          </w:p>
          <w:p w14:paraId="7FA3FAD9">
            <w:pPr>
              <w:widowControl w:val="0"/>
              <w:snapToGrid w:val="0"/>
              <w:spacing w:line="288" w:lineRule="auto"/>
              <w:ind w:firstLine="420" w:firstLineChars="200"/>
              <w:jc w:val="both"/>
              <w:rPr>
                <w:bCs/>
                <w:color w:val="000000"/>
                <w:sz w:val="21"/>
                <w:szCs w:val="21"/>
              </w:rPr>
            </w:pPr>
            <w:r>
              <w:rPr>
                <w:rFonts w:hint="eastAsia"/>
                <w:bCs/>
                <w:color w:val="000000"/>
                <w:sz w:val="21"/>
                <w:szCs w:val="21"/>
              </w:rPr>
              <w:t>（8）知道无穷小、无穷大以及无穷小的阶的概念。会运用等价无穷小求极限。</w:t>
            </w:r>
          </w:p>
          <w:p w14:paraId="53179DD7">
            <w:pPr>
              <w:widowControl w:val="0"/>
              <w:snapToGrid w:val="0"/>
              <w:spacing w:line="288" w:lineRule="auto"/>
              <w:ind w:firstLine="420" w:firstLineChars="200"/>
              <w:jc w:val="both"/>
              <w:rPr>
                <w:bCs/>
                <w:color w:val="000000"/>
                <w:sz w:val="21"/>
                <w:szCs w:val="21"/>
              </w:rPr>
            </w:pPr>
            <w:r>
              <w:rPr>
                <w:rFonts w:hint="eastAsia"/>
                <w:bCs/>
                <w:color w:val="000000"/>
                <w:sz w:val="21"/>
                <w:szCs w:val="21"/>
              </w:rPr>
              <w:t>（9）理解函数在一点连续和在一个区间上连续的概念，知道函数间断点的概念，并会判别间断点的类型。</w:t>
            </w:r>
          </w:p>
          <w:p w14:paraId="713DCF5E">
            <w:pPr>
              <w:widowControl w:val="0"/>
              <w:snapToGrid w:val="0"/>
              <w:spacing w:line="288" w:lineRule="auto"/>
              <w:ind w:firstLine="420" w:firstLineChars="200"/>
              <w:jc w:val="both"/>
              <w:rPr>
                <w:bCs/>
                <w:color w:val="000000"/>
                <w:sz w:val="21"/>
                <w:szCs w:val="21"/>
              </w:rPr>
            </w:pPr>
            <w:r>
              <w:rPr>
                <w:rFonts w:hint="eastAsia"/>
                <w:bCs/>
                <w:color w:val="000000"/>
                <w:sz w:val="21"/>
                <w:szCs w:val="21"/>
              </w:rPr>
              <w:t>（10）知道初等函数的连续性和闭区间上连续函数的有界性与最大（小）值定理、零点定理和介值定理）。</w:t>
            </w:r>
          </w:p>
          <w:p w14:paraId="14D3251D">
            <w:pPr>
              <w:widowControl w:val="0"/>
              <w:snapToGrid w:val="0"/>
              <w:spacing w:line="288" w:lineRule="auto"/>
              <w:ind w:firstLine="420" w:firstLineChars="200"/>
              <w:jc w:val="both"/>
              <w:rPr>
                <w:bCs/>
                <w:color w:val="000000"/>
                <w:sz w:val="21"/>
                <w:szCs w:val="21"/>
              </w:rPr>
            </w:pPr>
            <w:r>
              <w:rPr>
                <w:rFonts w:hint="eastAsia"/>
                <w:bCs/>
                <w:color w:val="000000"/>
                <w:sz w:val="21"/>
                <w:szCs w:val="21"/>
              </w:rPr>
              <w:t xml:space="preserve">教学难点：应用夹逼准则求极限，判别间断点的类型  应用零点定理和介值定理证明方程根的存在 </w:t>
            </w:r>
          </w:p>
          <w:p w14:paraId="27E849C4">
            <w:pPr>
              <w:widowControl w:val="0"/>
              <w:snapToGrid w:val="0"/>
              <w:spacing w:line="288" w:lineRule="auto"/>
              <w:ind w:firstLine="420" w:firstLineChars="200"/>
              <w:jc w:val="both"/>
              <w:rPr>
                <w:bCs/>
                <w:color w:val="000000"/>
                <w:sz w:val="21"/>
                <w:szCs w:val="21"/>
              </w:rPr>
            </w:pPr>
            <w:r>
              <w:rPr>
                <w:rFonts w:hint="eastAsia"/>
                <w:bCs/>
                <w:color w:val="000000"/>
                <w:sz w:val="21"/>
                <w:szCs w:val="21"/>
              </w:rPr>
              <w:t>第二单元 导数与微分</w:t>
            </w:r>
          </w:p>
          <w:p w14:paraId="0C5FBD23">
            <w:pPr>
              <w:widowControl w:val="0"/>
              <w:snapToGrid w:val="0"/>
              <w:spacing w:line="288" w:lineRule="auto"/>
              <w:ind w:firstLine="420" w:firstLineChars="200"/>
              <w:jc w:val="both"/>
              <w:rPr>
                <w:bCs/>
                <w:color w:val="000000"/>
                <w:sz w:val="21"/>
                <w:szCs w:val="21"/>
              </w:rPr>
            </w:pPr>
            <w:r>
              <w:rPr>
                <w:rFonts w:hint="eastAsia"/>
                <w:bCs/>
                <w:color w:val="000000"/>
                <w:sz w:val="21"/>
                <w:szCs w:val="21"/>
              </w:rPr>
              <w:t>教学知识点</w:t>
            </w:r>
          </w:p>
          <w:p w14:paraId="457460E4">
            <w:pPr>
              <w:widowControl w:val="0"/>
              <w:snapToGrid w:val="0"/>
              <w:spacing w:line="288" w:lineRule="auto"/>
              <w:ind w:firstLine="420" w:firstLineChars="200"/>
              <w:jc w:val="both"/>
              <w:rPr>
                <w:bCs/>
                <w:color w:val="000000"/>
                <w:sz w:val="21"/>
                <w:szCs w:val="21"/>
              </w:rPr>
            </w:pPr>
            <w:r>
              <w:rPr>
                <w:rFonts w:hint="eastAsia"/>
                <w:bCs/>
                <w:color w:val="000000"/>
                <w:sz w:val="21"/>
                <w:szCs w:val="21"/>
              </w:rPr>
              <w:t>导数与微分的概念 导数的几何意义和经济意义 函数的可导性与连续性之间的关系 基本初等函数的导数 导数的经济应用 导数与微分的四则运算 复合函数、反函数、隐函数以及参数方程所确定的函数的微分法 高阶导数的概念 某些简单函数的n阶导数 一阶微分形式的不变性</w:t>
            </w:r>
          </w:p>
          <w:p w14:paraId="61C1BF9E">
            <w:pPr>
              <w:widowControl w:val="0"/>
              <w:snapToGrid w:val="0"/>
              <w:spacing w:line="288" w:lineRule="auto"/>
              <w:ind w:firstLine="420" w:firstLineChars="200"/>
              <w:jc w:val="both"/>
              <w:rPr>
                <w:bCs/>
                <w:color w:val="000000"/>
                <w:sz w:val="21"/>
                <w:szCs w:val="21"/>
              </w:rPr>
            </w:pPr>
            <w:r>
              <w:rPr>
                <w:rFonts w:hint="eastAsia"/>
                <w:bCs/>
                <w:color w:val="000000"/>
                <w:sz w:val="21"/>
                <w:szCs w:val="21"/>
              </w:rPr>
              <w:t>教学能力要求</w:t>
            </w:r>
          </w:p>
          <w:p w14:paraId="6A2C90F0">
            <w:pPr>
              <w:widowControl w:val="0"/>
              <w:snapToGrid w:val="0"/>
              <w:spacing w:line="288" w:lineRule="auto"/>
              <w:ind w:firstLine="420" w:firstLineChars="200"/>
              <w:jc w:val="both"/>
              <w:rPr>
                <w:bCs/>
                <w:color w:val="000000"/>
                <w:sz w:val="21"/>
                <w:szCs w:val="21"/>
              </w:rPr>
            </w:pPr>
            <w:r>
              <w:rPr>
                <w:rFonts w:hint="eastAsia"/>
                <w:bCs/>
                <w:color w:val="000000"/>
                <w:sz w:val="21"/>
                <w:szCs w:val="21"/>
              </w:rPr>
              <w:t>（1）理解导数的概念及其几何意义（不要求学生做利用导数的定义研究抽象函数可导性的习题），知道函数的可导性与连续性之间的关系。</w:t>
            </w:r>
          </w:p>
          <w:p w14:paraId="489F3E32">
            <w:pPr>
              <w:widowControl w:val="0"/>
              <w:snapToGrid w:val="0"/>
              <w:spacing w:line="288" w:lineRule="auto"/>
              <w:ind w:firstLine="420" w:firstLineChars="200"/>
              <w:jc w:val="both"/>
              <w:rPr>
                <w:bCs/>
                <w:color w:val="000000"/>
                <w:sz w:val="21"/>
                <w:szCs w:val="21"/>
              </w:rPr>
            </w:pPr>
            <w:r>
              <w:rPr>
                <w:rFonts w:hint="eastAsia"/>
                <w:bCs/>
                <w:color w:val="000000"/>
                <w:sz w:val="21"/>
                <w:szCs w:val="21"/>
              </w:rPr>
              <w:t>（2） 会运用导数四则运算法则和复合函数求导法则求出函数的导数，会运用基本初等函数的导数公式，知道反函数求导法则。</w:t>
            </w:r>
          </w:p>
          <w:p w14:paraId="6D29E3D7">
            <w:pPr>
              <w:widowControl w:val="0"/>
              <w:snapToGrid w:val="0"/>
              <w:spacing w:line="288" w:lineRule="auto"/>
              <w:ind w:firstLine="420" w:firstLineChars="200"/>
              <w:jc w:val="both"/>
              <w:rPr>
                <w:bCs/>
                <w:color w:val="000000"/>
                <w:sz w:val="21"/>
                <w:szCs w:val="21"/>
              </w:rPr>
            </w:pPr>
            <w:r>
              <w:rPr>
                <w:rFonts w:hint="eastAsia"/>
                <w:bCs/>
                <w:color w:val="000000"/>
                <w:sz w:val="21"/>
                <w:szCs w:val="21"/>
              </w:rPr>
              <w:t>（3）会运用导数进行边际分析。</w:t>
            </w:r>
          </w:p>
          <w:p w14:paraId="4A69A85C">
            <w:pPr>
              <w:widowControl w:val="0"/>
              <w:snapToGrid w:val="0"/>
              <w:spacing w:line="288" w:lineRule="auto"/>
              <w:ind w:firstLine="420" w:firstLineChars="200"/>
              <w:jc w:val="both"/>
              <w:rPr>
                <w:bCs/>
                <w:color w:val="000000"/>
                <w:sz w:val="21"/>
                <w:szCs w:val="21"/>
              </w:rPr>
            </w:pPr>
            <w:r>
              <w:rPr>
                <w:rFonts w:hint="eastAsia"/>
                <w:bCs/>
                <w:color w:val="000000"/>
                <w:sz w:val="21"/>
                <w:szCs w:val="21"/>
              </w:rPr>
              <w:t>（4）知道高阶导数的概念，会运用初等函数一阶、二阶导数的求法求导。知道分段函数的导数和一些简单函数的n阶导数的一般表达式。</w:t>
            </w:r>
          </w:p>
          <w:p w14:paraId="6752BC3D">
            <w:pPr>
              <w:widowControl w:val="0"/>
              <w:snapToGrid w:val="0"/>
              <w:spacing w:line="288" w:lineRule="auto"/>
              <w:ind w:firstLine="420" w:firstLineChars="200"/>
              <w:jc w:val="both"/>
              <w:rPr>
                <w:bCs/>
                <w:color w:val="000000"/>
                <w:sz w:val="21"/>
                <w:szCs w:val="21"/>
              </w:rPr>
            </w:pPr>
            <w:r>
              <w:rPr>
                <w:rFonts w:hint="eastAsia"/>
                <w:bCs/>
                <w:color w:val="000000"/>
                <w:sz w:val="21"/>
                <w:szCs w:val="21"/>
              </w:rPr>
              <w:t>（5）会运用隐函数和参数方程求导公式求出隐函数和参数方程所确定的函数的一阶导数，会求解这两类函数中比较简单的二阶导数。</w:t>
            </w:r>
          </w:p>
          <w:p w14:paraId="385E5600">
            <w:pPr>
              <w:widowControl w:val="0"/>
              <w:snapToGrid w:val="0"/>
              <w:spacing w:line="288" w:lineRule="auto"/>
              <w:ind w:firstLine="420" w:firstLineChars="200"/>
              <w:jc w:val="both"/>
              <w:rPr>
                <w:bCs/>
                <w:color w:val="000000"/>
                <w:sz w:val="21"/>
                <w:szCs w:val="21"/>
              </w:rPr>
            </w:pPr>
            <w:r>
              <w:rPr>
                <w:rFonts w:hint="eastAsia"/>
                <w:bCs/>
                <w:color w:val="000000"/>
                <w:sz w:val="21"/>
                <w:szCs w:val="21"/>
              </w:rPr>
              <w:t xml:space="preserve">（6）理解微分的概念，知道微分概念中所包含的局部线性化思想，知道微分的有理运算法则和一阶微分形式不变性，会运用微分公式求函数的微分。 </w:t>
            </w:r>
          </w:p>
          <w:p w14:paraId="195C7C2E">
            <w:pPr>
              <w:widowControl w:val="0"/>
              <w:snapToGrid w:val="0"/>
              <w:spacing w:line="288" w:lineRule="auto"/>
              <w:ind w:firstLine="420" w:firstLineChars="200"/>
              <w:jc w:val="both"/>
              <w:rPr>
                <w:bCs/>
                <w:color w:val="000000"/>
                <w:sz w:val="21"/>
                <w:szCs w:val="21"/>
              </w:rPr>
            </w:pPr>
            <w:r>
              <w:rPr>
                <w:rFonts w:hint="eastAsia"/>
                <w:bCs/>
                <w:color w:val="000000"/>
                <w:sz w:val="21"/>
                <w:szCs w:val="21"/>
              </w:rPr>
              <w:t xml:space="preserve">教学难点：用导数定义求导，求参数方程二阶导数 </w:t>
            </w:r>
          </w:p>
          <w:p w14:paraId="1C7B311E">
            <w:pPr>
              <w:widowControl w:val="0"/>
              <w:snapToGrid w:val="0"/>
              <w:spacing w:line="288" w:lineRule="auto"/>
              <w:ind w:firstLine="420" w:firstLineChars="200"/>
              <w:jc w:val="both"/>
              <w:rPr>
                <w:bCs/>
                <w:color w:val="000000"/>
                <w:sz w:val="21"/>
                <w:szCs w:val="21"/>
              </w:rPr>
            </w:pPr>
            <w:r>
              <w:rPr>
                <w:rFonts w:hint="eastAsia"/>
                <w:bCs/>
                <w:color w:val="000000"/>
                <w:sz w:val="21"/>
                <w:szCs w:val="21"/>
              </w:rPr>
              <w:t>第三单元 中值定理与导数的应用</w:t>
            </w:r>
          </w:p>
          <w:p w14:paraId="210FE149">
            <w:pPr>
              <w:widowControl w:val="0"/>
              <w:snapToGrid w:val="0"/>
              <w:spacing w:line="288" w:lineRule="auto"/>
              <w:ind w:firstLine="420" w:firstLineChars="200"/>
              <w:jc w:val="both"/>
              <w:rPr>
                <w:bCs/>
                <w:color w:val="000000"/>
                <w:sz w:val="21"/>
                <w:szCs w:val="21"/>
              </w:rPr>
            </w:pPr>
            <w:r>
              <w:rPr>
                <w:rFonts w:hint="eastAsia"/>
                <w:bCs/>
                <w:color w:val="000000"/>
                <w:sz w:val="21"/>
                <w:szCs w:val="21"/>
              </w:rPr>
              <w:t>教学知识点</w:t>
            </w:r>
          </w:p>
          <w:p w14:paraId="5A49F768">
            <w:pPr>
              <w:widowControl w:val="0"/>
              <w:snapToGrid w:val="0"/>
              <w:spacing w:line="288" w:lineRule="auto"/>
              <w:ind w:firstLine="420" w:firstLineChars="200"/>
              <w:jc w:val="both"/>
              <w:rPr>
                <w:bCs/>
                <w:color w:val="000000"/>
                <w:sz w:val="21"/>
                <w:szCs w:val="21"/>
              </w:rPr>
            </w:pPr>
            <w:r>
              <w:rPr>
                <w:rFonts w:hint="eastAsia"/>
                <w:bCs/>
                <w:color w:val="000000"/>
                <w:sz w:val="21"/>
                <w:szCs w:val="21"/>
              </w:rPr>
              <w:t>罗尔(Rolle)定理 拉格朗日(Lagrange)中值定理 柯西(Cauchy)中值定理 洛必达（L’Hospital）法则 函数的单调性 函数图形的凹凸性、拐点及渐近线 函数的极值及其求法 函数的最大值和最小值的求法及简单应用 函数图形的描绘</w:t>
            </w:r>
          </w:p>
          <w:p w14:paraId="4C152814">
            <w:pPr>
              <w:widowControl w:val="0"/>
              <w:snapToGrid w:val="0"/>
              <w:spacing w:line="288" w:lineRule="auto"/>
              <w:ind w:firstLine="420" w:firstLineChars="200"/>
              <w:jc w:val="both"/>
              <w:rPr>
                <w:bCs/>
                <w:color w:val="000000"/>
                <w:sz w:val="21"/>
                <w:szCs w:val="21"/>
              </w:rPr>
            </w:pPr>
            <w:r>
              <w:rPr>
                <w:rFonts w:hint="eastAsia"/>
                <w:bCs/>
                <w:color w:val="000000"/>
                <w:sz w:val="21"/>
                <w:szCs w:val="21"/>
              </w:rPr>
              <w:t>教学能力要求</w:t>
            </w:r>
          </w:p>
          <w:p w14:paraId="3090C922">
            <w:pPr>
              <w:widowControl w:val="0"/>
              <w:snapToGrid w:val="0"/>
              <w:spacing w:line="288" w:lineRule="auto"/>
              <w:ind w:firstLine="420" w:firstLineChars="200"/>
              <w:jc w:val="both"/>
              <w:rPr>
                <w:bCs/>
                <w:color w:val="000000"/>
                <w:sz w:val="21"/>
                <w:szCs w:val="21"/>
              </w:rPr>
            </w:pPr>
            <w:r>
              <w:rPr>
                <w:rFonts w:hint="eastAsia"/>
                <w:bCs/>
                <w:color w:val="000000"/>
                <w:sz w:val="21"/>
                <w:szCs w:val="21"/>
              </w:rPr>
              <w:t>（1）理解罗尔(Rolle)定理、拉格朗日(Lagrange)中值定理，知道柯西(Cauchy)中值定理，会运用中值定理证明一些较为简单的数学问题。</w:t>
            </w:r>
          </w:p>
          <w:p w14:paraId="3622AB1B">
            <w:pPr>
              <w:widowControl w:val="0"/>
              <w:snapToGrid w:val="0"/>
              <w:spacing w:line="288" w:lineRule="auto"/>
              <w:ind w:firstLine="420" w:firstLineChars="200"/>
              <w:jc w:val="both"/>
              <w:rPr>
                <w:bCs/>
                <w:color w:val="000000"/>
                <w:sz w:val="21"/>
                <w:szCs w:val="21"/>
              </w:rPr>
            </w:pPr>
            <w:r>
              <w:rPr>
                <w:rFonts w:hint="eastAsia"/>
                <w:bCs/>
                <w:color w:val="000000"/>
                <w:sz w:val="21"/>
                <w:szCs w:val="21"/>
              </w:rPr>
              <w:t>（2）会运用洛必达(L’Hospital)法则求不定式极限。</w:t>
            </w:r>
          </w:p>
          <w:p w14:paraId="00B5A2B5">
            <w:pPr>
              <w:widowControl w:val="0"/>
              <w:snapToGrid w:val="0"/>
              <w:spacing w:line="288" w:lineRule="auto"/>
              <w:ind w:firstLine="420" w:firstLineChars="200"/>
              <w:jc w:val="both"/>
              <w:rPr>
                <w:bCs/>
                <w:color w:val="000000"/>
                <w:sz w:val="21"/>
                <w:szCs w:val="21"/>
              </w:rPr>
            </w:pPr>
            <w:r>
              <w:rPr>
                <w:rFonts w:hint="eastAsia"/>
                <w:bCs/>
                <w:color w:val="000000"/>
                <w:sz w:val="21"/>
                <w:szCs w:val="21"/>
              </w:rPr>
              <w:t>（3）理解函数的极值概念，能运用导数判断函数的单调性和求极值。会运用导数方法求解较简单的最大值与最小值的应用问题（库存问题、利润最大问题等），会运用导数进行弹性分析。</w:t>
            </w:r>
          </w:p>
          <w:p w14:paraId="20D52813">
            <w:pPr>
              <w:widowControl w:val="0"/>
              <w:snapToGrid w:val="0"/>
              <w:spacing w:line="288" w:lineRule="auto"/>
              <w:ind w:firstLine="420" w:firstLineChars="200"/>
              <w:jc w:val="both"/>
              <w:rPr>
                <w:bCs/>
                <w:color w:val="000000"/>
                <w:sz w:val="21"/>
                <w:szCs w:val="21"/>
              </w:rPr>
            </w:pPr>
            <w:r>
              <w:rPr>
                <w:rFonts w:hint="eastAsia"/>
                <w:bCs/>
                <w:color w:val="000000"/>
                <w:sz w:val="21"/>
                <w:szCs w:val="21"/>
              </w:rPr>
              <w:t>（4）会运用导数判断函数图形的凹凸性、求拐点，会描绘简单函数的图形（包括水平和铅直渐近线）。</w:t>
            </w:r>
          </w:p>
          <w:p w14:paraId="5BDA2CE3">
            <w:pPr>
              <w:widowControl w:val="0"/>
              <w:snapToGrid w:val="0"/>
              <w:spacing w:line="288" w:lineRule="auto"/>
              <w:ind w:firstLine="420" w:firstLineChars="200"/>
              <w:jc w:val="both"/>
              <w:rPr>
                <w:bCs/>
                <w:color w:val="000000"/>
                <w:sz w:val="21"/>
                <w:szCs w:val="21"/>
              </w:rPr>
            </w:pPr>
            <w:r>
              <w:rPr>
                <w:rFonts w:hint="eastAsia"/>
                <w:bCs/>
                <w:color w:val="000000"/>
                <w:sz w:val="21"/>
                <w:szCs w:val="21"/>
              </w:rPr>
              <w:t>教学难点：应用罗尔(Rolle)定理、拉格朗日(Lagrange)中值定理来证明数学问题</w:t>
            </w:r>
          </w:p>
          <w:p w14:paraId="0D7B0004">
            <w:pPr>
              <w:widowControl w:val="0"/>
              <w:snapToGrid w:val="0"/>
              <w:spacing w:line="288" w:lineRule="auto"/>
              <w:ind w:firstLine="420" w:firstLineChars="200"/>
              <w:jc w:val="both"/>
              <w:rPr>
                <w:bCs/>
                <w:color w:val="000000"/>
                <w:sz w:val="21"/>
                <w:szCs w:val="21"/>
              </w:rPr>
            </w:pPr>
            <w:r>
              <w:rPr>
                <w:rFonts w:hint="eastAsia"/>
                <w:bCs/>
                <w:color w:val="000000"/>
                <w:sz w:val="21"/>
                <w:szCs w:val="21"/>
              </w:rPr>
              <w:t>第四单元 不定积分</w:t>
            </w:r>
          </w:p>
          <w:p w14:paraId="078CD403">
            <w:pPr>
              <w:widowControl w:val="0"/>
              <w:snapToGrid w:val="0"/>
              <w:spacing w:line="288" w:lineRule="auto"/>
              <w:ind w:firstLine="420" w:firstLineChars="200"/>
              <w:jc w:val="both"/>
              <w:rPr>
                <w:bCs/>
                <w:color w:val="000000"/>
                <w:sz w:val="21"/>
                <w:szCs w:val="21"/>
              </w:rPr>
            </w:pPr>
            <w:r>
              <w:rPr>
                <w:rFonts w:hint="eastAsia"/>
                <w:bCs/>
                <w:color w:val="000000"/>
                <w:sz w:val="21"/>
                <w:szCs w:val="21"/>
              </w:rPr>
              <w:t>教学知识点</w:t>
            </w:r>
          </w:p>
          <w:p w14:paraId="27F46330">
            <w:pPr>
              <w:widowControl w:val="0"/>
              <w:snapToGrid w:val="0"/>
              <w:spacing w:line="288" w:lineRule="auto"/>
              <w:ind w:firstLine="420" w:firstLineChars="200"/>
              <w:jc w:val="both"/>
              <w:rPr>
                <w:bCs/>
                <w:color w:val="000000"/>
                <w:sz w:val="21"/>
                <w:szCs w:val="21"/>
              </w:rPr>
            </w:pPr>
            <w:r>
              <w:rPr>
                <w:rFonts w:hint="eastAsia"/>
                <w:bCs/>
                <w:color w:val="000000"/>
                <w:sz w:val="21"/>
                <w:szCs w:val="21"/>
              </w:rPr>
              <w:t>原函数和不定积分的概念 不定积分的性质 基本积分公式 不定积分的换元积分法与分部积分法 简单有理函数的积分 简单无理函数的积分</w:t>
            </w:r>
          </w:p>
          <w:p w14:paraId="5A1403C6">
            <w:pPr>
              <w:widowControl w:val="0"/>
              <w:snapToGrid w:val="0"/>
              <w:spacing w:line="288" w:lineRule="auto"/>
              <w:ind w:firstLine="420" w:firstLineChars="200"/>
              <w:jc w:val="both"/>
              <w:rPr>
                <w:bCs/>
                <w:color w:val="000000"/>
                <w:sz w:val="21"/>
                <w:szCs w:val="21"/>
              </w:rPr>
            </w:pPr>
            <w:r>
              <w:rPr>
                <w:rFonts w:hint="eastAsia"/>
                <w:bCs/>
                <w:color w:val="000000"/>
                <w:sz w:val="21"/>
                <w:szCs w:val="21"/>
              </w:rPr>
              <w:t>教学能力要求</w:t>
            </w:r>
          </w:p>
          <w:p w14:paraId="1ECCF50E">
            <w:pPr>
              <w:widowControl w:val="0"/>
              <w:snapToGrid w:val="0"/>
              <w:spacing w:line="288" w:lineRule="auto"/>
              <w:ind w:firstLine="420" w:firstLineChars="200"/>
              <w:jc w:val="both"/>
              <w:rPr>
                <w:bCs/>
                <w:color w:val="000000"/>
                <w:sz w:val="21"/>
                <w:szCs w:val="21"/>
              </w:rPr>
            </w:pPr>
            <w:r>
              <w:rPr>
                <w:rFonts w:hint="eastAsia"/>
                <w:bCs/>
                <w:color w:val="000000"/>
                <w:sz w:val="21"/>
                <w:szCs w:val="21"/>
              </w:rPr>
              <w:t>（1）理解原函数和不定积分的概念及性质。</w:t>
            </w:r>
          </w:p>
          <w:p w14:paraId="1DC8934D">
            <w:pPr>
              <w:widowControl w:val="0"/>
              <w:snapToGrid w:val="0"/>
              <w:spacing w:line="288" w:lineRule="auto"/>
              <w:ind w:firstLine="420" w:firstLineChars="200"/>
              <w:jc w:val="both"/>
              <w:rPr>
                <w:bCs/>
                <w:color w:val="000000"/>
                <w:sz w:val="21"/>
                <w:szCs w:val="21"/>
              </w:rPr>
            </w:pPr>
            <w:r>
              <w:rPr>
                <w:rFonts w:hint="eastAsia"/>
                <w:bCs/>
                <w:color w:val="000000"/>
                <w:sz w:val="21"/>
                <w:szCs w:val="21"/>
              </w:rPr>
              <w:t>（2）会运用不定积分的基本公式、换元积分法及分部积分法（淡化特殊积分技巧的训练，对于求有理函数积分的一般方法不作要求，对于一些简单有理函数、无理函数的积分可作为两类积分法的例题作适当的训练）计算不定积分。</w:t>
            </w:r>
          </w:p>
          <w:p w14:paraId="262B0AE1">
            <w:pPr>
              <w:widowControl w:val="0"/>
              <w:snapToGrid w:val="0"/>
              <w:spacing w:line="288" w:lineRule="auto"/>
              <w:ind w:firstLine="420" w:firstLineChars="200"/>
              <w:jc w:val="both"/>
              <w:rPr>
                <w:bCs/>
                <w:color w:val="000000"/>
                <w:sz w:val="21"/>
                <w:szCs w:val="21"/>
              </w:rPr>
            </w:pPr>
            <w:r>
              <w:rPr>
                <w:rFonts w:hint="eastAsia"/>
                <w:bCs/>
                <w:color w:val="000000"/>
                <w:sz w:val="21"/>
                <w:szCs w:val="21"/>
              </w:rPr>
              <w:t>教学难点：对分部积分法的合理分部 求无理函数的积分</w:t>
            </w:r>
          </w:p>
          <w:p w14:paraId="6D940F6B">
            <w:pPr>
              <w:widowControl w:val="0"/>
              <w:snapToGrid w:val="0"/>
              <w:spacing w:line="288" w:lineRule="auto"/>
              <w:ind w:firstLine="420" w:firstLineChars="200"/>
              <w:jc w:val="both"/>
              <w:rPr>
                <w:bCs/>
                <w:color w:val="000000"/>
                <w:sz w:val="21"/>
                <w:szCs w:val="21"/>
              </w:rPr>
            </w:pPr>
            <w:r>
              <w:rPr>
                <w:rFonts w:hint="eastAsia"/>
                <w:bCs/>
                <w:color w:val="000000"/>
                <w:sz w:val="21"/>
                <w:szCs w:val="21"/>
              </w:rPr>
              <w:t>第五单元 定积分及其应用</w:t>
            </w:r>
          </w:p>
          <w:p w14:paraId="22CCA894">
            <w:pPr>
              <w:widowControl w:val="0"/>
              <w:snapToGrid w:val="0"/>
              <w:spacing w:line="288" w:lineRule="auto"/>
              <w:ind w:firstLine="420" w:firstLineChars="200"/>
              <w:jc w:val="both"/>
              <w:rPr>
                <w:bCs/>
                <w:color w:val="000000"/>
                <w:sz w:val="21"/>
                <w:szCs w:val="21"/>
              </w:rPr>
            </w:pPr>
            <w:r>
              <w:rPr>
                <w:rFonts w:hint="eastAsia"/>
                <w:bCs/>
                <w:color w:val="000000"/>
                <w:sz w:val="21"/>
                <w:szCs w:val="21"/>
              </w:rPr>
              <w:t>教学知识点</w:t>
            </w:r>
          </w:p>
          <w:p w14:paraId="7085E2EA">
            <w:pPr>
              <w:widowControl w:val="0"/>
              <w:snapToGrid w:val="0"/>
              <w:spacing w:line="288" w:lineRule="auto"/>
              <w:ind w:firstLine="420" w:firstLineChars="200"/>
              <w:jc w:val="both"/>
              <w:rPr>
                <w:bCs/>
                <w:color w:val="000000"/>
                <w:sz w:val="21"/>
                <w:szCs w:val="21"/>
              </w:rPr>
            </w:pPr>
            <w:r>
              <w:rPr>
                <w:rFonts w:hint="eastAsia"/>
                <w:bCs/>
                <w:color w:val="000000"/>
                <w:sz w:val="21"/>
                <w:szCs w:val="21"/>
              </w:rPr>
              <w:t>定积分的概念与基本性质 定积分中值定理 积分上限函数及其导数 牛顿—莱布尼兹(Newton-Leibinz)公式 定积分的换元法和分部积分法 反常积分的概念和计算 定积分的元素法 定积分在几何学上的应用（平面图形的面积、旋转体的体积） 定积分在经济分析上的应用</w:t>
            </w:r>
          </w:p>
          <w:p w14:paraId="064C7506">
            <w:pPr>
              <w:widowControl w:val="0"/>
              <w:snapToGrid w:val="0"/>
              <w:spacing w:line="288" w:lineRule="auto"/>
              <w:ind w:firstLine="420" w:firstLineChars="200"/>
              <w:jc w:val="both"/>
              <w:rPr>
                <w:bCs/>
                <w:color w:val="000000"/>
                <w:sz w:val="21"/>
                <w:szCs w:val="21"/>
              </w:rPr>
            </w:pPr>
            <w:r>
              <w:rPr>
                <w:rFonts w:hint="eastAsia"/>
                <w:bCs/>
                <w:color w:val="000000"/>
                <w:sz w:val="21"/>
                <w:szCs w:val="21"/>
              </w:rPr>
              <w:t>教学能力要求</w:t>
            </w:r>
          </w:p>
          <w:p w14:paraId="16B9B947">
            <w:pPr>
              <w:widowControl w:val="0"/>
              <w:snapToGrid w:val="0"/>
              <w:spacing w:line="288" w:lineRule="auto"/>
              <w:ind w:firstLine="420" w:firstLineChars="200"/>
              <w:jc w:val="both"/>
              <w:rPr>
                <w:bCs/>
                <w:color w:val="000000"/>
                <w:sz w:val="21"/>
                <w:szCs w:val="21"/>
              </w:rPr>
            </w:pPr>
            <w:r>
              <w:rPr>
                <w:rFonts w:hint="eastAsia"/>
                <w:bCs/>
                <w:color w:val="000000"/>
                <w:sz w:val="21"/>
                <w:szCs w:val="21"/>
              </w:rPr>
              <w:t>（1）理解定积分的概念和几何意义（对于利用定积分的定义求定积分与求极限不作要求），知道定积分的性质和积分中值定理。</w:t>
            </w:r>
          </w:p>
          <w:p w14:paraId="77721495">
            <w:pPr>
              <w:widowControl w:val="0"/>
              <w:snapToGrid w:val="0"/>
              <w:spacing w:line="288" w:lineRule="auto"/>
              <w:ind w:firstLine="420" w:firstLineChars="200"/>
              <w:jc w:val="both"/>
              <w:rPr>
                <w:bCs/>
                <w:color w:val="000000"/>
                <w:sz w:val="21"/>
                <w:szCs w:val="21"/>
              </w:rPr>
            </w:pPr>
            <w:r>
              <w:rPr>
                <w:rFonts w:hint="eastAsia"/>
                <w:bCs/>
                <w:color w:val="000000"/>
                <w:sz w:val="21"/>
                <w:szCs w:val="21"/>
              </w:rPr>
              <w:t>（2）理解变上限的积分作为其上限的函数及其求导定理，会运用牛顿（Newton）—莱布尼兹（Leibniz）公式。</w:t>
            </w:r>
          </w:p>
          <w:p w14:paraId="75ACDD09">
            <w:pPr>
              <w:widowControl w:val="0"/>
              <w:snapToGrid w:val="0"/>
              <w:spacing w:line="288" w:lineRule="auto"/>
              <w:ind w:firstLine="420" w:firstLineChars="200"/>
              <w:jc w:val="both"/>
              <w:rPr>
                <w:bCs/>
                <w:color w:val="000000"/>
                <w:sz w:val="21"/>
                <w:szCs w:val="21"/>
              </w:rPr>
            </w:pPr>
            <w:r>
              <w:rPr>
                <w:rFonts w:hint="eastAsia"/>
                <w:bCs/>
                <w:color w:val="000000"/>
                <w:sz w:val="21"/>
                <w:szCs w:val="21"/>
              </w:rPr>
              <w:t>（3）会运用定积分的换元法与分部积分法计算定积分。</w:t>
            </w:r>
          </w:p>
          <w:p w14:paraId="14EDEC49">
            <w:pPr>
              <w:widowControl w:val="0"/>
              <w:snapToGrid w:val="0"/>
              <w:spacing w:line="288" w:lineRule="auto"/>
              <w:ind w:firstLine="420" w:firstLineChars="200"/>
              <w:jc w:val="both"/>
              <w:rPr>
                <w:bCs/>
                <w:color w:val="000000"/>
                <w:sz w:val="21"/>
                <w:szCs w:val="21"/>
              </w:rPr>
            </w:pPr>
            <w:r>
              <w:rPr>
                <w:rFonts w:hint="eastAsia"/>
                <w:bCs/>
                <w:color w:val="000000"/>
                <w:sz w:val="21"/>
                <w:szCs w:val="21"/>
              </w:rPr>
              <w:t>（4）知道两类反常积分的概念，会求反常积分。</w:t>
            </w:r>
          </w:p>
          <w:p w14:paraId="4799EDB3">
            <w:pPr>
              <w:widowControl w:val="0"/>
              <w:snapToGrid w:val="0"/>
              <w:spacing w:line="288" w:lineRule="auto"/>
              <w:ind w:firstLine="420" w:firstLineChars="200"/>
              <w:jc w:val="both"/>
              <w:rPr>
                <w:bCs/>
                <w:color w:val="000000"/>
                <w:sz w:val="21"/>
                <w:szCs w:val="21"/>
              </w:rPr>
            </w:pPr>
            <w:r>
              <w:rPr>
                <w:rFonts w:hint="eastAsia"/>
                <w:bCs/>
                <w:color w:val="000000"/>
                <w:sz w:val="21"/>
                <w:szCs w:val="21"/>
              </w:rPr>
              <w:t>（5）理解定积分的元素法。</w:t>
            </w:r>
          </w:p>
          <w:p w14:paraId="58BA9763">
            <w:pPr>
              <w:widowControl w:val="0"/>
              <w:snapToGrid w:val="0"/>
              <w:spacing w:line="288" w:lineRule="auto"/>
              <w:ind w:firstLine="420" w:firstLineChars="200"/>
              <w:jc w:val="both"/>
              <w:rPr>
                <w:bCs/>
                <w:color w:val="000000"/>
                <w:sz w:val="21"/>
                <w:szCs w:val="21"/>
              </w:rPr>
            </w:pPr>
            <w:r>
              <w:rPr>
                <w:rFonts w:hint="eastAsia"/>
                <w:bCs/>
                <w:color w:val="000000"/>
                <w:sz w:val="21"/>
                <w:szCs w:val="21"/>
              </w:rPr>
              <w:t>（6）会运用定积分表达并会求几何量（如平面图形的面积、旋转体的体积）和经济分析量（如边际分析、弹性分析等）。</w:t>
            </w:r>
          </w:p>
          <w:p w14:paraId="735733FE">
            <w:pPr>
              <w:widowControl w:val="0"/>
              <w:snapToGrid w:val="0"/>
              <w:spacing w:line="288" w:lineRule="auto"/>
              <w:ind w:firstLine="420" w:firstLineChars="200"/>
              <w:jc w:val="both"/>
              <w:rPr>
                <w:rFonts w:ascii="仿宋" w:hAnsi="仿宋" w:cs="仿宋"/>
              </w:rPr>
            </w:pPr>
            <w:r>
              <w:rPr>
                <w:rFonts w:hint="eastAsia"/>
                <w:bCs/>
                <w:color w:val="000000"/>
                <w:sz w:val="21"/>
                <w:szCs w:val="21"/>
              </w:rPr>
              <w:t>教学难点：换元积分如何正确换上下限 定积分的应用</w:t>
            </w:r>
          </w:p>
        </w:tc>
      </w:tr>
      <w:bookmarkEnd w:id="0"/>
      <w:bookmarkEnd w:id="1"/>
    </w:tbl>
    <w:p w14:paraId="3D5546E4">
      <w:pPr>
        <w:pStyle w:val="17"/>
        <w:spacing w:before="81" w:after="163"/>
      </w:pPr>
      <w:r>
        <w:rPr>
          <w:rFonts w:hint="eastAsia"/>
        </w:rPr>
        <w:t>（二）教学单元对课程目标的支撑关系</w:t>
      </w:r>
    </w:p>
    <w:tbl>
      <w:tblPr>
        <w:tblStyle w:val="7"/>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68"/>
        <w:gridCol w:w="1100"/>
        <w:gridCol w:w="1100"/>
        <w:gridCol w:w="1100"/>
        <w:gridCol w:w="1099"/>
        <w:gridCol w:w="1099"/>
      </w:tblGrid>
      <w:tr w14:paraId="2960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68" w:type="dxa"/>
            <w:tcBorders>
              <w:top w:val="single" w:color="auto" w:sz="12" w:space="0"/>
              <w:left w:val="single" w:color="auto" w:sz="12" w:space="0"/>
              <w:tl2br w:val="single" w:color="auto" w:sz="4" w:space="0"/>
            </w:tcBorders>
          </w:tcPr>
          <w:p w14:paraId="0F60C7AC">
            <w:pPr>
              <w:pStyle w:val="13"/>
              <w:ind w:firstLine="489"/>
              <w:jc w:val="right"/>
              <w:rPr>
                <w:szCs w:val="16"/>
              </w:rPr>
            </w:pPr>
            <w:r>
              <w:rPr>
                <w:rFonts w:hint="eastAsia"/>
                <w:szCs w:val="16"/>
              </w:rPr>
              <w:t>课程目标</w:t>
            </w:r>
          </w:p>
          <w:p w14:paraId="3DD7E755">
            <w:pPr>
              <w:pStyle w:val="13"/>
              <w:ind w:right="210"/>
              <w:jc w:val="left"/>
              <w:rPr>
                <w:szCs w:val="16"/>
              </w:rPr>
            </w:pPr>
          </w:p>
          <w:p w14:paraId="6F9F6733">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477E6376">
            <w:pPr>
              <w:pStyle w:val="13"/>
              <w:rPr>
                <w:szCs w:val="16"/>
              </w:rPr>
            </w:pPr>
            <w:r>
              <w:rPr>
                <w:rFonts w:hint="eastAsia"/>
                <w:szCs w:val="16"/>
              </w:rPr>
              <w:t>1</w:t>
            </w:r>
          </w:p>
        </w:tc>
        <w:tc>
          <w:tcPr>
            <w:tcW w:w="1100" w:type="dxa"/>
            <w:tcBorders>
              <w:top w:val="single" w:color="auto" w:sz="12" w:space="0"/>
            </w:tcBorders>
            <w:vAlign w:val="center"/>
          </w:tcPr>
          <w:p w14:paraId="3024DC5A">
            <w:pPr>
              <w:pStyle w:val="13"/>
              <w:rPr>
                <w:szCs w:val="16"/>
              </w:rPr>
            </w:pPr>
            <w:r>
              <w:rPr>
                <w:rFonts w:hint="eastAsia"/>
                <w:szCs w:val="16"/>
              </w:rPr>
              <w:t>2</w:t>
            </w:r>
          </w:p>
        </w:tc>
        <w:tc>
          <w:tcPr>
            <w:tcW w:w="1100" w:type="dxa"/>
            <w:tcBorders>
              <w:top w:val="single" w:color="auto" w:sz="12" w:space="0"/>
            </w:tcBorders>
            <w:vAlign w:val="center"/>
          </w:tcPr>
          <w:p w14:paraId="327044A2">
            <w:pPr>
              <w:pStyle w:val="13"/>
              <w:rPr>
                <w:szCs w:val="16"/>
              </w:rPr>
            </w:pPr>
            <w:r>
              <w:rPr>
                <w:rFonts w:hint="eastAsia"/>
                <w:szCs w:val="16"/>
              </w:rPr>
              <w:t>3</w:t>
            </w:r>
          </w:p>
        </w:tc>
        <w:tc>
          <w:tcPr>
            <w:tcW w:w="1099" w:type="dxa"/>
            <w:tcBorders>
              <w:top w:val="single" w:color="auto" w:sz="12" w:space="0"/>
            </w:tcBorders>
            <w:vAlign w:val="center"/>
          </w:tcPr>
          <w:p w14:paraId="59A12CEA">
            <w:pPr>
              <w:pStyle w:val="13"/>
              <w:rPr>
                <w:szCs w:val="16"/>
              </w:rPr>
            </w:pPr>
            <w:r>
              <w:rPr>
                <w:rFonts w:hint="eastAsia"/>
                <w:szCs w:val="16"/>
              </w:rPr>
              <w:t>4</w:t>
            </w:r>
          </w:p>
        </w:tc>
        <w:tc>
          <w:tcPr>
            <w:tcW w:w="1099" w:type="dxa"/>
            <w:tcBorders>
              <w:top w:val="single" w:color="auto" w:sz="12" w:space="0"/>
            </w:tcBorders>
            <w:vAlign w:val="center"/>
          </w:tcPr>
          <w:p w14:paraId="3BB812CE">
            <w:pPr>
              <w:pStyle w:val="13"/>
              <w:rPr>
                <w:szCs w:val="16"/>
              </w:rPr>
            </w:pPr>
            <w:r>
              <w:rPr>
                <w:rFonts w:hint="eastAsia"/>
                <w:szCs w:val="16"/>
              </w:rPr>
              <w:t>5</w:t>
            </w:r>
          </w:p>
        </w:tc>
      </w:tr>
      <w:tr w14:paraId="7BE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tcBorders>
          </w:tcPr>
          <w:p w14:paraId="296E3A89">
            <w:pPr>
              <w:snapToGrid w:val="0"/>
              <w:spacing w:line="288" w:lineRule="auto"/>
            </w:pPr>
            <w:r>
              <w:rPr>
                <w:rFonts w:hint="eastAsia"/>
                <w:bCs/>
                <w:sz w:val="20"/>
                <w:szCs w:val="20"/>
              </w:rPr>
              <w:t>第一单元  函数、极限与连续</w:t>
            </w:r>
          </w:p>
        </w:tc>
        <w:tc>
          <w:tcPr>
            <w:tcW w:w="1100" w:type="dxa"/>
            <w:vAlign w:val="center"/>
          </w:tcPr>
          <w:p w14:paraId="61212F01">
            <w:pPr>
              <w:pStyle w:val="14"/>
            </w:pPr>
            <w:r>
              <w:rPr>
                <w:rFonts w:ascii="宋体" w:hAnsi="宋体"/>
                <w:color w:val="000000" w:themeColor="text1"/>
                <w14:textFill>
                  <w14:solidFill>
                    <w14:schemeClr w14:val="tx1"/>
                  </w14:solidFill>
                </w14:textFill>
              </w:rPr>
              <w:t>√</w:t>
            </w:r>
          </w:p>
        </w:tc>
        <w:tc>
          <w:tcPr>
            <w:tcW w:w="1100" w:type="dxa"/>
            <w:vAlign w:val="center"/>
          </w:tcPr>
          <w:p w14:paraId="3388F958">
            <w:pPr>
              <w:pStyle w:val="14"/>
            </w:pPr>
            <w:r>
              <w:rPr>
                <w:rFonts w:ascii="宋体" w:hAnsi="宋体"/>
                <w:color w:val="000000" w:themeColor="text1"/>
                <w14:textFill>
                  <w14:solidFill>
                    <w14:schemeClr w14:val="tx1"/>
                  </w14:solidFill>
                </w14:textFill>
              </w:rPr>
              <w:t>√</w:t>
            </w:r>
          </w:p>
        </w:tc>
        <w:tc>
          <w:tcPr>
            <w:tcW w:w="1100" w:type="dxa"/>
            <w:vAlign w:val="center"/>
          </w:tcPr>
          <w:p w14:paraId="307AE4E3">
            <w:pPr>
              <w:pStyle w:val="14"/>
            </w:pPr>
            <w:r>
              <w:rPr>
                <w:rFonts w:ascii="宋体" w:hAnsi="宋体"/>
                <w:color w:val="000000" w:themeColor="text1"/>
                <w14:textFill>
                  <w14:solidFill>
                    <w14:schemeClr w14:val="tx1"/>
                  </w14:solidFill>
                </w14:textFill>
              </w:rPr>
              <w:t>√</w:t>
            </w:r>
          </w:p>
        </w:tc>
        <w:tc>
          <w:tcPr>
            <w:tcW w:w="1099" w:type="dxa"/>
            <w:vAlign w:val="center"/>
          </w:tcPr>
          <w:p w14:paraId="5B1192FC">
            <w:pPr>
              <w:pStyle w:val="14"/>
            </w:pPr>
            <w:r>
              <w:rPr>
                <w:rFonts w:ascii="宋体" w:hAnsi="宋体"/>
                <w:color w:val="000000" w:themeColor="text1"/>
                <w14:textFill>
                  <w14:solidFill>
                    <w14:schemeClr w14:val="tx1"/>
                  </w14:solidFill>
                </w14:textFill>
              </w:rPr>
              <w:t>√</w:t>
            </w:r>
          </w:p>
        </w:tc>
        <w:tc>
          <w:tcPr>
            <w:tcW w:w="1099" w:type="dxa"/>
            <w:vAlign w:val="center"/>
          </w:tcPr>
          <w:p w14:paraId="2FA90B9F">
            <w:pPr>
              <w:pStyle w:val="14"/>
            </w:pPr>
          </w:p>
        </w:tc>
      </w:tr>
      <w:tr w14:paraId="038C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tcBorders>
          </w:tcPr>
          <w:p w14:paraId="7E027870">
            <w:pPr>
              <w:snapToGrid w:val="0"/>
              <w:spacing w:line="288" w:lineRule="auto"/>
            </w:pPr>
            <w:r>
              <w:rPr>
                <w:rFonts w:hint="eastAsia"/>
                <w:bCs/>
                <w:sz w:val="20"/>
                <w:szCs w:val="20"/>
              </w:rPr>
              <w:t>第二单元  导数与微分</w:t>
            </w:r>
          </w:p>
        </w:tc>
        <w:tc>
          <w:tcPr>
            <w:tcW w:w="1100" w:type="dxa"/>
            <w:vAlign w:val="center"/>
          </w:tcPr>
          <w:p w14:paraId="79E30B13">
            <w:pPr>
              <w:pStyle w:val="14"/>
            </w:pPr>
            <w:r>
              <w:rPr>
                <w:rFonts w:ascii="宋体" w:hAnsi="宋体"/>
                <w:color w:val="000000" w:themeColor="text1"/>
                <w14:textFill>
                  <w14:solidFill>
                    <w14:schemeClr w14:val="tx1"/>
                  </w14:solidFill>
                </w14:textFill>
              </w:rPr>
              <w:t>√</w:t>
            </w:r>
          </w:p>
        </w:tc>
        <w:tc>
          <w:tcPr>
            <w:tcW w:w="1100" w:type="dxa"/>
            <w:vAlign w:val="center"/>
          </w:tcPr>
          <w:p w14:paraId="3699095D">
            <w:pPr>
              <w:pStyle w:val="14"/>
            </w:pPr>
            <w:r>
              <w:rPr>
                <w:rFonts w:ascii="宋体" w:hAnsi="宋体"/>
                <w:color w:val="000000" w:themeColor="text1"/>
                <w14:textFill>
                  <w14:solidFill>
                    <w14:schemeClr w14:val="tx1"/>
                  </w14:solidFill>
                </w14:textFill>
              </w:rPr>
              <w:t>√</w:t>
            </w:r>
          </w:p>
        </w:tc>
        <w:tc>
          <w:tcPr>
            <w:tcW w:w="1100" w:type="dxa"/>
            <w:vAlign w:val="center"/>
          </w:tcPr>
          <w:p w14:paraId="46CD5A10">
            <w:pPr>
              <w:pStyle w:val="14"/>
            </w:pPr>
            <w:r>
              <w:rPr>
                <w:rFonts w:ascii="宋体" w:hAnsi="宋体"/>
                <w:color w:val="000000" w:themeColor="text1"/>
                <w14:textFill>
                  <w14:solidFill>
                    <w14:schemeClr w14:val="tx1"/>
                  </w14:solidFill>
                </w14:textFill>
              </w:rPr>
              <w:t>√</w:t>
            </w:r>
          </w:p>
        </w:tc>
        <w:tc>
          <w:tcPr>
            <w:tcW w:w="1099" w:type="dxa"/>
            <w:vAlign w:val="center"/>
          </w:tcPr>
          <w:p w14:paraId="1D76D639">
            <w:pPr>
              <w:pStyle w:val="14"/>
            </w:pPr>
            <w:r>
              <w:rPr>
                <w:rFonts w:ascii="宋体" w:hAnsi="宋体"/>
                <w:color w:val="000000" w:themeColor="text1"/>
                <w14:textFill>
                  <w14:solidFill>
                    <w14:schemeClr w14:val="tx1"/>
                  </w14:solidFill>
                </w14:textFill>
              </w:rPr>
              <w:t>√</w:t>
            </w:r>
          </w:p>
        </w:tc>
        <w:tc>
          <w:tcPr>
            <w:tcW w:w="1099" w:type="dxa"/>
            <w:vAlign w:val="center"/>
          </w:tcPr>
          <w:p w14:paraId="4B2311B5">
            <w:pPr>
              <w:pStyle w:val="14"/>
            </w:pPr>
            <w:r>
              <w:rPr>
                <w:rFonts w:ascii="宋体" w:hAnsi="宋体"/>
                <w:color w:val="000000" w:themeColor="text1"/>
                <w14:textFill>
                  <w14:solidFill>
                    <w14:schemeClr w14:val="tx1"/>
                  </w14:solidFill>
                </w14:textFill>
              </w:rPr>
              <w:t>√</w:t>
            </w:r>
          </w:p>
        </w:tc>
      </w:tr>
      <w:tr w14:paraId="563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tcBorders>
          </w:tcPr>
          <w:p w14:paraId="5465C006">
            <w:pPr>
              <w:snapToGrid w:val="0"/>
              <w:spacing w:line="288" w:lineRule="auto"/>
            </w:pPr>
            <w:r>
              <w:rPr>
                <w:rFonts w:hint="eastAsia"/>
                <w:bCs/>
                <w:sz w:val="20"/>
                <w:szCs w:val="20"/>
              </w:rPr>
              <w:t>第三单元中值定理与导数应用</w:t>
            </w:r>
          </w:p>
        </w:tc>
        <w:tc>
          <w:tcPr>
            <w:tcW w:w="1100" w:type="dxa"/>
            <w:vAlign w:val="center"/>
          </w:tcPr>
          <w:p w14:paraId="0EC78920">
            <w:pPr>
              <w:pStyle w:val="14"/>
            </w:pPr>
            <w:r>
              <w:rPr>
                <w:rFonts w:ascii="宋体" w:hAnsi="宋体"/>
                <w:color w:val="000000" w:themeColor="text1"/>
                <w14:textFill>
                  <w14:solidFill>
                    <w14:schemeClr w14:val="tx1"/>
                  </w14:solidFill>
                </w14:textFill>
              </w:rPr>
              <w:t>√</w:t>
            </w:r>
          </w:p>
        </w:tc>
        <w:tc>
          <w:tcPr>
            <w:tcW w:w="1100" w:type="dxa"/>
            <w:vAlign w:val="center"/>
          </w:tcPr>
          <w:p w14:paraId="50EE8D22">
            <w:pPr>
              <w:pStyle w:val="14"/>
            </w:pPr>
            <w:r>
              <w:rPr>
                <w:rFonts w:ascii="宋体" w:hAnsi="宋体"/>
                <w:color w:val="000000" w:themeColor="text1"/>
                <w14:textFill>
                  <w14:solidFill>
                    <w14:schemeClr w14:val="tx1"/>
                  </w14:solidFill>
                </w14:textFill>
              </w:rPr>
              <w:t>√</w:t>
            </w:r>
          </w:p>
        </w:tc>
        <w:tc>
          <w:tcPr>
            <w:tcW w:w="1100" w:type="dxa"/>
            <w:vAlign w:val="center"/>
          </w:tcPr>
          <w:p w14:paraId="33337B65">
            <w:pPr>
              <w:pStyle w:val="14"/>
            </w:pPr>
            <w:r>
              <w:rPr>
                <w:rFonts w:ascii="宋体" w:hAnsi="宋体"/>
                <w:color w:val="000000" w:themeColor="text1"/>
                <w14:textFill>
                  <w14:solidFill>
                    <w14:schemeClr w14:val="tx1"/>
                  </w14:solidFill>
                </w14:textFill>
              </w:rPr>
              <w:t>√</w:t>
            </w:r>
          </w:p>
        </w:tc>
        <w:tc>
          <w:tcPr>
            <w:tcW w:w="1099" w:type="dxa"/>
            <w:vAlign w:val="center"/>
          </w:tcPr>
          <w:p w14:paraId="64A17643">
            <w:pPr>
              <w:pStyle w:val="14"/>
            </w:pPr>
            <w:r>
              <w:rPr>
                <w:rFonts w:ascii="宋体" w:hAnsi="宋体"/>
                <w:color w:val="000000" w:themeColor="text1"/>
                <w14:textFill>
                  <w14:solidFill>
                    <w14:schemeClr w14:val="tx1"/>
                  </w14:solidFill>
                </w14:textFill>
              </w:rPr>
              <w:t>√</w:t>
            </w:r>
          </w:p>
        </w:tc>
        <w:tc>
          <w:tcPr>
            <w:tcW w:w="1099" w:type="dxa"/>
            <w:vAlign w:val="center"/>
          </w:tcPr>
          <w:p w14:paraId="384AFEBA">
            <w:pPr>
              <w:pStyle w:val="14"/>
            </w:pPr>
            <w:r>
              <w:rPr>
                <w:rFonts w:ascii="宋体" w:hAnsi="宋体"/>
                <w:color w:val="000000" w:themeColor="text1"/>
                <w14:textFill>
                  <w14:solidFill>
                    <w14:schemeClr w14:val="tx1"/>
                  </w14:solidFill>
                </w14:textFill>
              </w:rPr>
              <w:t>√</w:t>
            </w:r>
          </w:p>
        </w:tc>
      </w:tr>
      <w:tr w14:paraId="758E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tcBorders>
          </w:tcPr>
          <w:p w14:paraId="1188C12A">
            <w:pPr>
              <w:snapToGrid w:val="0"/>
              <w:spacing w:line="288" w:lineRule="auto"/>
              <w:rPr>
                <w:bCs/>
                <w:sz w:val="20"/>
                <w:szCs w:val="20"/>
              </w:rPr>
            </w:pPr>
            <w:r>
              <w:rPr>
                <w:rFonts w:hint="eastAsia"/>
                <w:bCs/>
                <w:sz w:val="20"/>
                <w:szCs w:val="20"/>
              </w:rPr>
              <w:t>第四单元 不定积分</w:t>
            </w:r>
          </w:p>
        </w:tc>
        <w:tc>
          <w:tcPr>
            <w:tcW w:w="1100" w:type="dxa"/>
            <w:vAlign w:val="center"/>
          </w:tcPr>
          <w:p w14:paraId="3DC6D4E5">
            <w:pPr>
              <w:pStyle w:val="14"/>
            </w:pPr>
            <w:r>
              <w:rPr>
                <w:rFonts w:ascii="宋体" w:hAnsi="宋体"/>
                <w:color w:val="000000" w:themeColor="text1"/>
                <w14:textFill>
                  <w14:solidFill>
                    <w14:schemeClr w14:val="tx1"/>
                  </w14:solidFill>
                </w14:textFill>
              </w:rPr>
              <w:t>√</w:t>
            </w:r>
          </w:p>
        </w:tc>
        <w:tc>
          <w:tcPr>
            <w:tcW w:w="1100" w:type="dxa"/>
            <w:vAlign w:val="center"/>
          </w:tcPr>
          <w:p w14:paraId="5FE22324">
            <w:pPr>
              <w:pStyle w:val="14"/>
            </w:pPr>
            <w:r>
              <w:rPr>
                <w:rFonts w:ascii="宋体" w:hAnsi="宋体"/>
                <w:color w:val="000000" w:themeColor="text1"/>
                <w14:textFill>
                  <w14:solidFill>
                    <w14:schemeClr w14:val="tx1"/>
                  </w14:solidFill>
                </w14:textFill>
              </w:rPr>
              <w:t>√</w:t>
            </w:r>
          </w:p>
        </w:tc>
        <w:tc>
          <w:tcPr>
            <w:tcW w:w="1100" w:type="dxa"/>
            <w:vAlign w:val="center"/>
          </w:tcPr>
          <w:p w14:paraId="0D2C5BF8">
            <w:pPr>
              <w:pStyle w:val="14"/>
            </w:pPr>
            <w:r>
              <w:rPr>
                <w:rFonts w:ascii="宋体" w:hAnsi="宋体"/>
                <w:color w:val="000000" w:themeColor="text1"/>
                <w14:textFill>
                  <w14:solidFill>
                    <w14:schemeClr w14:val="tx1"/>
                  </w14:solidFill>
                </w14:textFill>
              </w:rPr>
              <w:t>√</w:t>
            </w:r>
          </w:p>
        </w:tc>
        <w:tc>
          <w:tcPr>
            <w:tcW w:w="1099" w:type="dxa"/>
            <w:vAlign w:val="center"/>
          </w:tcPr>
          <w:p w14:paraId="745AB366">
            <w:pPr>
              <w:pStyle w:val="14"/>
            </w:pPr>
            <w:r>
              <w:rPr>
                <w:rFonts w:ascii="宋体" w:hAnsi="宋体"/>
                <w:color w:val="000000" w:themeColor="text1"/>
                <w14:textFill>
                  <w14:solidFill>
                    <w14:schemeClr w14:val="tx1"/>
                  </w14:solidFill>
                </w14:textFill>
              </w:rPr>
              <w:t>√</w:t>
            </w:r>
          </w:p>
        </w:tc>
        <w:tc>
          <w:tcPr>
            <w:tcW w:w="1099" w:type="dxa"/>
            <w:vAlign w:val="center"/>
          </w:tcPr>
          <w:p w14:paraId="2A564EC8">
            <w:pPr>
              <w:pStyle w:val="14"/>
            </w:pPr>
          </w:p>
        </w:tc>
      </w:tr>
      <w:tr w14:paraId="3A04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bottom w:val="single" w:color="auto" w:sz="12" w:space="0"/>
            </w:tcBorders>
          </w:tcPr>
          <w:p w14:paraId="20032C0F">
            <w:pPr>
              <w:snapToGrid w:val="0"/>
              <w:spacing w:line="288" w:lineRule="auto"/>
              <w:rPr>
                <w:bCs/>
                <w:sz w:val="20"/>
                <w:szCs w:val="20"/>
              </w:rPr>
            </w:pPr>
            <w:r>
              <w:rPr>
                <w:rFonts w:hint="eastAsia"/>
                <w:bCs/>
                <w:sz w:val="20"/>
                <w:szCs w:val="20"/>
              </w:rPr>
              <w:t>第五单元 定积分及其应用</w:t>
            </w:r>
          </w:p>
        </w:tc>
        <w:tc>
          <w:tcPr>
            <w:tcW w:w="1100" w:type="dxa"/>
            <w:tcBorders>
              <w:bottom w:val="single" w:color="auto" w:sz="12" w:space="0"/>
            </w:tcBorders>
            <w:vAlign w:val="center"/>
          </w:tcPr>
          <w:p w14:paraId="0E2C91FF">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7137C4A9">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59D0970B">
            <w:pPr>
              <w:pStyle w:val="14"/>
            </w:pPr>
            <w:r>
              <w:rPr>
                <w:rFonts w:ascii="宋体" w:hAnsi="宋体"/>
                <w:color w:val="000000" w:themeColor="text1"/>
                <w14:textFill>
                  <w14:solidFill>
                    <w14:schemeClr w14:val="tx1"/>
                  </w14:solidFill>
                </w14:textFill>
              </w:rPr>
              <w:t>√</w:t>
            </w:r>
          </w:p>
        </w:tc>
        <w:tc>
          <w:tcPr>
            <w:tcW w:w="1099" w:type="dxa"/>
            <w:tcBorders>
              <w:bottom w:val="single" w:color="auto" w:sz="12" w:space="0"/>
            </w:tcBorders>
            <w:vAlign w:val="center"/>
          </w:tcPr>
          <w:p w14:paraId="35CE28B0">
            <w:pPr>
              <w:pStyle w:val="14"/>
            </w:pPr>
            <w:r>
              <w:rPr>
                <w:rFonts w:ascii="宋体" w:hAnsi="宋体"/>
                <w:color w:val="000000" w:themeColor="text1"/>
                <w14:textFill>
                  <w14:solidFill>
                    <w14:schemeClr w14:val="tx1"/>
                  </w14:solidFill>
                </w14:textFill>
              </w:rPr>
              <w:t>√</w:t>
            </w:r>
          </w:p>
        </w:tc>
        <w:tc>
          <w:tcPr>
            <w:tcW w:w="1099" w:type="dxa"/>
            <w:tcBorders>
              <w:bottom w:val="single" w:color="auto" w:sz="12" w:space="0"/>
            </w:tcBorders>
            <w:vAlign w:val="center"/>
          </w:tcPr>
          <w:p w14:paraId="4A75613D">
            <w:pPr>
              <w:pStyle w:val="14"/>
            </w:pPr>
            <w:r>
              <w:rPr>
                <w:rFonts w:ascii="宋体" w:hAnsi="宋体"/>
                <w:color w:val="000000" w:themeColor="text1"/>
                <w14:textFill>
                  <w14:solidFill>
                    <w14:schemeClr w14:val="tx1"/>
                  </w14:solidFill>
                </w14:textFill>
              </w:rPr>
              <w:t>√</w:t>
            </w:r>
          </w:p>
        </w:tc>
      </w:tr>
    </w:tbl>
    <w:p w14:paraId="66FA0036">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9AC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A293B5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574B2A27">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3B0AAEF">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C1CA7B7">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9E2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14900193">
            <w:pPr>
              <w:widowControl w:val="0"/>
              <w:snapToGrid w:val="0"/>
              <w:jc w:val="center"/>
              <w:rPr>
                <w:rFonts w:ascii="黑体" w:hAnsi="黑体" w:eastAsia="黑体"/>
                <w:bCs/>
                <w:sz w:val="21"/>
                <w:szCs w:val="21"/>
              </w:rPr>
            </w:pPr>
          </w:p>
        </w:tc>
        <w:tc>
          <w:tcPr>
            <w:tcW w:w="2755" w:type="dxa"/>
            <w:vMerge w:val="continue"/>
          </w:tcPr>
          <w:p w14:paraId="68D85B88">
            <w:pPr>
              <w:widowControl w:val="0"/>
              <w:snapToGrid w:val="0"/>
              <w:jc w:val="center"/>
              <w:rPr>
                <w:rFonts w:ascii="黑体" w:hAnsi="黑体" w:eastAsia="黑体"/>
                <w:bCs/>
                <w:sz w:val="21"/>
                <w:szCs w:val="21"/>
              </w:rPr>
            </w:pPr>
          </w:p>
        </w:tc>
        <w:tc>
          <w:tcPr>
            <w:tcW w:w="1738" w:type="dxa"/>
            <w:vMerge w:val="continue"/>
          </w:tcPr>
          <w:p w14:paraId="19E56988">
            <w:pPr>
              <w:widowControl w:val="0"/>
              <w:snapToGrid w:val="0"/>
              <w:jc w:val="center"/>
              <w:rPr>
                <w:rFonts w:ascii="黑体" w:hAnsi="黑体" w:eastAsia="黑体"/>
                <w:bCs/>
                <w:sz w:val="21"/>
                <w:szCs w:val="21"/>
              </w:rPr>
            </w:pPr>
          </w:p>
        </w:tc>
        <w:tc>
          <w:tcPr>
            <w:tcW w:w="725" w:type="dxa"/>
            <w:vAlign w:val="center"/>
          </w:tcPr>
          <w:p w14:paraId="7C6F4CE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7CCD54C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0F04E3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D5A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8D6717E">
            <w:pPr>
              <w:widowControl w:val="0"/>
              <w:snapToGrid w:val="0"/>
              <w:jc w:val="center"/>
              <w:rPr>
                <w:rFonts w:ascii="Times New Roman" w:hAnsi="Times New Roman"/>
                <w:bCs/>
                <w:sz w:val="21"/>
                <w:szCs w:val="21"/>
              </w:rPr>
            </w:pPr>
            <w:r>
              <w:rPr>
                <w:rFonts w:hint="eastAsia"/>
                <w:bCs/>
                <w:sz w:val="20"/>
                <w:szCs w:val="20"/>
              </w:rPr>
              <w:t>第一单元</w:t>
            </w:r>
          </w:p>
        </w:tc>
        <w:tc>
          <w:tcPr>
            <w:tcW w:w="2755" w:type="dxa"/>
            <w:vAlign w:val="center"/>
          </w:tcPr>
          <w:p w14:paraId="70FC43D7">
            <w:pPr>
              <w:widowControl w:val="0"/>
              <w:snapToGrid w:val="0"/>
              <w:jc w:val="center"/>
              <w:rPr>
                <w:bCs/>
                <w:sz w:val="20"/>
                <w:szCs w:val="20"/>
              </w:rPr>
            </w:pPr>
            <w:r>
              <w:rPr>
                <w:rFonts w:hint="eastAsia"/>
                <w:bCs/>
                <w:sz w:val="20"/>
                <w:szCs w:val="20"/>
              </w:rPr>
              <w:t>启发探究式、案例教学法、  互动讨论</w:t>
            </w:r>
          </w:p>
        </w:tc>
        <w:tc>
          <w:tcPr>
            <w:tcW w:w="1738" w:type="dxa"/>
            <w:vAlign w:val="center"/>
          </w:tcPr>
          <w:p w14:paraId="6EED6E7E">
            <w:pPr>
              <w:widowControl w:val="0"/>
              <w:snapToGrid w:val="0"/>
              <w:jc w:val="center"/>
              <w:rPr>
                <w:bCs/>
                <w:sz w:val="20"/>
                <w:szCs w:val="20"/>
              </w:rPr>
            </w:pPr>
            <w:r>
              <w:rPr>
                <w:rFonts w:hint="eastAsia"/>
                <w:bCs/>
                <w:sz w:val="20"/>
                <w:szCs w:val="20"/>
              </w:rPr>
              <w:t>课堂出勤、平时作业、平时表现</w:t>
            </w:r>
          </w:p>
        </w:tc>
        <w:tc>
          <w:tcPr>
            <w:tcW w:w="725" w:type="dxa"/>
            <w:vAlign w:val="center"/>
          </w:tcPr>
          <w:p w14:paraId="1F7C212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669" w:type="dxa"/>
            <w:vAlign w:val="center"/>
          </w:tcPr>
          <w:p w14:paraId="70F9C7E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2A0F19E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r>
      <w:tr w14:paraId="2DA5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24C8192">
            <w:pPr>
              <w:widowControl w:val="0"/>
              <w:snapToGrid w:val="0"/>
              <w:jc w:val="center"/>
              <w:rPr>
                <w:rFonts w:ascii="Times New Roman" w:hAnsi="Times New Roman"/>
                <w:bCs/>
                <w:sz w:val="21"/>
                <w:szCs w:val="21"/>
              </w:rPr>
            </w:pPr>
            <w:r>
              <w:rPr>
                <w:rFonts w:hint="eastAsia"/>
                <w:bCs/>
                <w:sz w:val="20"/>
                <w:szCs w:val="20"/>
              </w:rPr>
              <w:t>第二单元</w:t>
            </w:r>
          </w:p>
        </w:tc>
        <w:tc>
          <w:tcPr>
            <w:tcW w:w="2755" w:type="dxa"/>
            <w:vAlign w:val="center"/>
          </w:tcPr>
          <w:p w14:paraId="056E26BC">
            <w:pPr>
              <w:widowControl w:val="0"/>
              <w:snapToGrid w:val="0"/>
              <w:jc w:val="center"/>
              <w:rPr>
                <w:bCs/>
                <w:sz w:val="20"/>
                <w:szCs w:val="20"/>
              </w:rPr>
            </w:pPr>
            <w:r>
              <w:rPr>
                <w:rFonts w:hint="eastAsia"/>
                <w:bCs/>
                <w:sz w:val="20"/>
                <w:szCs w:val="20"/>
              </w:rPr>
              <w:t>启发探究式、案例教学法、  互动讨论</w:t>
            </w:r>
          </w:p>
        </w:tc>
        <w:tc>
          <w:tcPr>
            <w:tcW w:w="1738" w:type="dxa"/>
            <w:vAlign w:val="center"/>
          </w:tcPr>
          <w:p w14:paraId="29564E1A">
            <w:pPr>
              <w:widowControl w:val="0"/>
              <w:snapToGrid w:val="0"/>
              <w:jc w:val="center"/>
              <w:rPr>
                <w:bCs/>
                <w:sz w:val="20"/>
                <w:szCs w:val="20"/>
              </w:rPr>
            </w:pPr>
            <w:r>
              <w:rPr>
                <w:rFonts w:hint="eastAsia"/>
                <w:bCs/>
                <w:sz w:val="20"/>
                <w:szCs w:val="20"/>
              </w:rPr>
              <w:t>课堂出勤、平时作业、平时表现</w:t>
            </w:r>
          </w:p>
        </w:tc>
        <w:tc>
          <w:tcPr>
            <w:tcW w:w="725" w:type="dxa"/>
            <w:vAlign w:val="center"/>
          </w:tcPr>
          <w:p w14:paraId="21419640">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0C25B6E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2444522">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3128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CF99964">
            <w:pPr>
              <w:widowControl w:val="0"/>
              <w:snapToGrid w:val="0"/>
              <w:jc w:val="center"/>
              <w:rPr>
                <w:rFonts w:ascii="Times New Roman" w:hAnsi="Times New Roman"/>
                <w:bCs/>
                <w:sz w:val="21"/>
                <w:szCs w:val="21"/>
              </w:rPr>
            </w:pPr>
            <w:r>
              <w:rPr>
                <w:rFonts w:hint="eastAsia"/>
                <w:bCs/>
                <w:sz w:val="20"/>
                <w:szCs w:val="20"/>
              </w:rPr>
              <w:t>第三单元</w:t>
            </w:r>
          </w:p>
        </w:tc>
        <w:tc>
          <w:tcPr>
            <w:tcW w:w="2755" w:type="dxa"/>
            <w:vAlign w:val="center"/>
          </w:tcPr>
          <w:p w14:paraId="0312AFFC">
            <w:pPr>
              <w:widowControl w:val="0"/>
              <w:snapToGrid w:val="0"/>
              <w:jc w:val="center"/>
              <w:rPr>
                <w:bCs/>
                <w:sz w:val="20"/>
                <w:szCs w:val="20"/>
              </w:rPr>
            </w:pPr>
            <w:r>
              <w:rPr>
                <w:rFonts w:hint="eastAsia"/>
                <w:bCs/>
                <w:sz w:val="20"/>
                <w:szCs w:val="20"/>
              </w:rPr>
              <w:t>启发探究式、案例教学法、  互动讨论</w:t>
            </w:r>
          </w:p>
        </w:tc>
        <w:tc>
          <w:tcPr>
            <w:tcW w:w="1738" w:type="dxa"/>
            <w:vAlign w:val="center"/>
          </w:tcPr>
          <w:p w14:paraId="24C92C6C">
            <w:pPr>
              <w:widowControl w:val="0"/>
              <w:snapToGrid w:val="0"/>
              <w:jc w:val="center"/>
              <w:rPr>
                <w:bCs/>
                <w:sz w:val="20"/>
                <w:szCs w:val="20"/>
              </w:rPr>
            </w:pPr>
            <w:r>
              <w:rPr>
                <w:rFonts w:hint="eastAsia"/>
                <w:bCs/>
                <w:sz w:val="20"/>
                <w:szCs w:val="20"/>
              </w:rPr>
              <w:t>课堂出勤、平时作业、平时表现</w:t>
            </w:r>
          </w:p>
        </w:tc>
        <w:tc>
          <w:tcPr>
            <w:tcW w:w="725" w:type="dxa"/>
            <w:vAlign w:val="center"/>
          </w:tcPr>
          <w:p w14:paraId="68F3DE6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6727B05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0CB30D5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5631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AC7C70D">
            <w:pPr>
              <w:pStyle w:val="13"/>
              <w:widowControl w:val="0"/>
            </w:pPr>
            <w:r>
              <w:rPr>
                <w:rFonts w:hint="eastAsia"/>
                <w:sz w:val="20"/>
              </w:rPr>
              <w:t>第四单元</w:t>
            </w:r>
          </w:p>
        </w:tc>
        <w:tc>
          <w:tcPr>
            <w:tcW w:w="2755" w:type="dxa"/>
            <w:tcBorders>
              <w:left w:val="single" w:color="auto" w:sz="4" w:space="0"/>
            </w:tcBorders>
            <w:vAlign w:val="center"/>
          </w:tcPr>
          <w:p w14:paraId="0B1159F3">
            <w:pPr>
              <w:widowControl w:val="0"/>
              <w:snapToGrid w:val="0"/>
              <w:jc w:val="center"/>
              <w:rPr>
                <w:bCs/>
                <w:sz w:val="20"/>
                <w:szCs w:val="20"/>
              </w:rPr>
            </w:pPr>
            <w:r>
              <w:rPr>
                <w:rFonts w:hint="eastAsia"/>
                <w:bCs/>
                <w:sz w:val="20"/>
                <w:szCs w:val="20"/>
              </w:rPr>
              <w:t>启发探究式、案例教学法、  互动讨论</w:t>
            </w:r>
          </w:p>
        </w:tc>
        <w:tc>
          <w:tcPr>
            <w:tcW w:w="1738" w:type="dxa"/>
            <w:tcBorders>
              <w:left w:val="single" w:color="auto" w:sz="4" w:space="0"/>
            </w:tcBorders>
            <w:vAlign w:val="center"/>
          </w:tcPr>
          <w:p w14:paraId="594735C1">
            <w:pPr>
              <w:widowControl w:val="0"/>
              <w:snapToGrid w:val="0"/>
              <w:jc w:val="center"/>
              <w:rPr>
                <w:bCs/>
                <w:sz w:val="20"/>
                <w:szCs w:val="20"/>
              </w:rPr>
            </w:pPr>
            <w:r>
              <w:rPr>
                <w:rFonts w:hint="eastAsia"/>
                <w:bCs/>
                <w:sz w:val="20"/>
                <w:szCs w:val="20"/>
              </w:rPr>
              <w:t>课堂出勤、平时作业、平时表现</w:t>
            </w:r>
          </w:p>
        </w:tc>
        <w:tc>
          <w:tcPr>
            <w:tcW w:w="725" w:type="dxa"/>
            <w:vAlign w:val="center"/>
          </w:tcPr>
          <w:p w14:paraId="71396AE8">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69" w:type="dxa"/>
            <w:vAlign w:val="center"/>
          </w:tcPr>
          <w:p w14:paraId="4440D05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6302039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11CC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07EC47A">
            <w:pPr>
              <w:pStyle w:val="13"/>
              <w:widowControl w:val="0"/>
            </w:pPr>
            <w:r>
              <w:rPr>
                <w:rFonts w:hint="eastAsia"/>
                <w:sz w:val="20"/>
              </w:rPr>
              <w:t>第五单元</w:t>
            </w:r>
          </w:p>
        </w:tc>
        <w:tc>
          <w:tcPr>
            <w:tcW w:w="2755" w:type="dxa"/>
            <w:tcBorders>
              <w:left w:val="single" w:color="auto" w:sz="4" w:space="0"/>
            </w:tcBorders>
            <w:vAlign w:val="center"/>
          </w:tcPr>
          <w:p w14:paraId="3223B25F">
            <w:pPr>
              <w:widowControl w:val="0"/>
              <w:snapToGrid w:val="0"/>
              <w:jc w:val="center"/>
              <w:rPr>
                <w:bCs/>
                <w:sz w:val="20"/>
                <w:szCs w:val="20"/>
              </w:rPr>
            </w:pPr>
            <w:r>
              <w:rPr>
                <w:rFonts w:hint="eastAsia"/>
                <w:bCs/>
                <w:sz w:val="20"/>
                <w:szCs w:val="20"/>
              </w:rPr>
              <w:t>启发探究式、案例教学法、  互动讨论</w:t>
            </w:r>
          </w:p>
        </w:tc>
        <w:tc>
          <w:tcPr>
            <w:tcW w:w="1738" w:type="dxa"/>
            <w:tcBorders>
              <w:left w:val="single" w:color="auto" w:sz="4" w:space="0"/>
            </w:tcBorders>
            <w:vAlign w:val="center"/>
          </w:tcPr>
          <w:p w14:paraId="1B52499A">
            <w:pPr>
              <w:widowControl w:val="0"/>
              <w:snapToGrid w:val="0"/>
              <w:jc w:val="center"/>
              <w:rPr>
                <w:bCs/>
                <w:sz w:val="20"/>
                <w:szCs w:val="20"/>
              </w:rPr>
            </w:pPr>
            <w:r>
              <w:rPr>
                <w:rFonts w:hint="eastAsia"/>
                <w:bCs/>
                <w:sz w:val="20"/>
                <w:szCs w:val="20"/>
              </w:rPr>
              <w:t>课堂出勤、平时作业、平时表现</w:t>
            </w:r>
          </w:p>
        </w:tc>
        <w:tc>
          <w:tcPr>
            <w:tcW w:w="725" w:type="dxa"/>
            <w:vAlign w:val="center"/>
          </w:tcPr>
          <w:p w14:paraId="0D75BF86">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69" w:type="dxa"/>
            <w:vAlign w:val="center"/>
          </w:tcPr>
          <w:p w14:paraId="0D5D421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D04205F">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r w14:paraId="3F63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E30734D">
            <w:pPr>
              <w:pStyle w:val="13"/>
              <w:widowControl w:val="0"/>
            </w:pPr>
            <w:r>
              <w:rPr>
                <w:rFonts w:hint="eastAsia"/>
              </w:rPr>
              <w:t>合计</w:t>
            </w:r>
          </w:p>
        </w:tc>
        <w:tc>
          <w:tcPr>
            <w:tcW w:w="725" w:type="dxa"/>
            <w:tcBorders>
              <w:bottom w:val="single" w:color="auto" w:sz="12" w:space="0"/>
            </w:tcBorders>
            <w:vAlign w:val="center"/>
          </w:tcPr>
          <w:p w14:paraId="1F09B029">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c>
          <w:tcPr>
            <w:tcW w:w="669" w:type="dxa"/>
            <w:tcBorders>
              <w:bottom w:val="single" w:color="auto" w:sz="12" w:space="0"/>
            </w:tcBorders>
            <w:vAlign w:val="center"/>
          </w:tcPr>
          <w:p w14:paraId="5899A30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bottom w:val="single" w:color="auto" w:sz="12" w:space="0"/>
              <w:right w:val="single" w:color="auto" w:sz="12" w:space="0"/>
            </w:tcBorders>
            <w:vAlign w:val="center"/>
          </w:tcPr>
          <w:p w14:paraId="7136D901">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205C78FD">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6EA2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34" w:hRule="atLeast"/>
        </w:trPr>
        <w:tc>
          <w:tcPr>
            <w:tcW w:w="8276" w:type="dxa"/>
            <w:vAlign w:val="center"/>
          </w:tcPr>
          <w:p w14:paraId="102BAD54">
            <w:pPr>
              <w:widowControl w:val="0"/>
              <w:snapToGrid w:val="0"/>
              <w:ind w:firstLine="420" w:firstLineChars="200"/>
              <w:jc w:val="both"/>
              <w:rPr>
                <w:rFonts w:ascii="Times New Roman" w:hAnsi="Times New Roman"/>
                <w:color w:val="000000"/>
                <w:sz w:val="21"/>
                <w:szCs w:val="21"/>
              </w:rPr>
            </w:pPr>
            <w:r>
              <w:rPr>
                <w:rFonts w:hint="eastAsia" w:ascii="Times New Roman" w:hAnsi="Times New Roman"/>
                <w:color w:val="000000"/>
                <w:sz w:val="21"/>
                <w:szCs w:val="21"/>
              </w:rPr>
              <w:t>根据章节内容对应知识目标、技能目标和素养目标具体要求，综合设计整个教学过程，达到课程思政的效果。</w:t>
            </w:r>
          </w:p>
          <w:p w14:paraId="64DCB4FC">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途径1:引入课程相关数学史的内容，激发学习兴趣，调动积极性，提高基础知识和基本技</w:t>
            </w:r>
          </w:p>
          <w:p w14:paraId="2F39054B">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能，培养学生的家国情怀。</w:t>
            </w:r>
          </w:p>
          <w:p w14:paraId="41350546">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途径2:通过适当延伸高等数学的内容，阐述数学哲学思想与人生哲理，让学生体会数学作</w:t>
            </w:r>
          </w:p>
          <w:p w14:paraId="10CF8324">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为自然科学的基础性作用，树立奉献社会和为人民服务意识，实现对学生科学方法论和正确人生观的引导。</w:t>
            </w:r>
          </w:p>
          <w:p w14:paraId="006966FC">
            <w:pPr>
              <w:widowControl w:val="0"/>
              <w:snapToGrid w:val="0"/>
              <w:jc w:val="both"/>
              <w:rPr>
                <w:rFonts w:ascii="Times New Roman" w:hAnsi="Times New Roman"/>
                <w:bCs/>
                <w:sz w:val="21"/>
                <w:szCs w:val="21"/>
              </w:rPr>
            </w:pPr>
            <w:r>
              <w:rPr>
                <w:rFonts w:hint="eastAsia" w:ascii="Times New Roman" w:hAnsi="Times New Roman"/>
                <w:color w:val="000000"/>
                <w:sz w:val="21"/>
                <w:szCs w:val="21"/>
              </w:rPr>
              <w:t>途径3:改进课堂教学方法，创新教学设计，融入数学建模思想，学以致用，让学生体会数学的作用和强大魅力，培养学生的数学应用意识，引导学生主动学习。</w:t>
            </w:r>
          </w:p>
        </w:tc>
      </w:tr>
    </w:tbl>
    <w:p w14:paraId="3670E904">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706"/>
      </w:tblGrid>
      <w:tr w14:paraId="2F1C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223C43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1B82151">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163E21B">
            <w:pPr>
              <w:pStyle w:val="16"/>
              <w:widowControl w:val="0"/>
              <w:jc w:val="center"/>
              <w:rPr>
                <w:rFonts w:ascii="黑体" w:hAnsi="黑体"/>
                <w:bCs/>
                <w:sz w:val="21"/>
                <w:szCs w:val="21"/>
              </w:rPr>
            </w:pPr>
            <w:r>
              <w:rPr>
                <w:rFonts w:hint="eastAsia" w:ascii="黑体" w:hAnsi="黑体"/>
                <w:bCs/>
                <w:sz w:val="21"/>
                <w:szCs w:val="21"/>
              </w:rPr>
              <w:t>考核方式</w:t>
            </w:r>
          </w:p>
        </w:tc>
        <w:tc>
          <w:tcPr>
            <w:tcW w:w="3060" w:type="dxa"/>
            <w:gridSpan w:val="5"/>
            <w:tcBorders>
              <w:top w:val="single" w:color="auto" w:sz="12" w:space="0"/>
              <w:left w:val="double" w:color="auto" w:sz="4" w:space="0"/>
            </w:tcBorders>
            <w:vAlign w:val="center"/>
          </w:tcPr>
          <w:p w14:paraId="4D8AFC55">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488CE8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6C0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EF7BAAB">
            <w:pPr>
              <w:widowControl w:val="0"/>
              <w:snapToGrid w:val="0"/>
              <w:jc w:val="center"/>
              <w:rPr>
                <w:rFonts w:ascii="黑体" w:hAnsi="黑体" w:eastAsia="黑体"/>
                <w:bCs/>
                <w:sz w:val="21"/>
                <w:szCs w:val="21"/>
              </w:rPr>
            </w:pPr>
          </w:p>
        </w:tc>
        <w:tc>
          <w:tcPr>
            <w:tcW w:w="709" w:type="dxa"/>
            <w:vMerge w:val="continue"/>
          </w:tcPr>
          <w:p w14:paraId="60B06EAB">
            <w:pPr>
              <w:pStyle w:val="16"/>
              <w:widowControl w:val="0"/>
              <w:jc w:val="both"/>
              <w:rPr>
                <w:rFonts w:ascii="黑体" w:hAnsi="黑体"/>
                <w:bCs/>
                <w:sz w:val="21"/>
                <w:szCs w:val="21"/>
              </w:rPr>
            </w:pPr>
          </w:p>
        </w:tc>
        <w:tc>
          <w:tcPr>
            <w:tcW w:w="2353" w:type="dxa"/>
            <w:vMerge w:val="continue"/>
            <w:tcBorders>
              <w:right w:val="double" w:color="auto" w:sz="4" w:space="0"/>
            </w:tcBorders>
          </w:tcPr>
          <w:p w14:paraId="4A3552F0">
            <w:pPr>
              <w:pStyle w:val="16"/>
              <w:widowControl w:val="0"/>
              <w:jc w:val="both"/>
              <w:rPr>
                <w:rFonts w:ascii="黑体" w:hAnsi="黑体"/>
                <w:bCs/>
                <w:sz w:val="21"/>
                <w:szCs w:val="21"/>
              </w:rPr>
            </w:pPr>
          </w:p>
        </w:tc>
        <w:tc>
          <w:tcPr>
            <w:tcW w:w="612" w:type="dxa"/>
            <w:tcBorders>
              <w:left w:val="double" w:color="auto" w:sz="4" w:space="0"/>
            </w:tcBorders>
            <w:vAlign w:val="center"/>
          </w:tcPr>
          <w:p w14:paraId="5B50FF5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4B428B2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1FCDCD53">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408857AB">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467F7756">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vAlign w:val="center"/>
          </w:tcPr>
          <w:p w14:paraId="35ECD85F">
            <w:pPr>
              <w:pStyle w:val="16"/>
              <w:widowControl w:val="0"/>
              <w:spacing w:line="240" w:lineRule="auto"/>
              <w:jc w:val="center"/>
              <w:rPr>
                <w:rFonts w:ascii="黑体" w:hAnsi="黑体"/>
                <w:bCs/>
                <w:sz w:val="21"/>
                <w:szCs w:val="21"/>
              </w:rPr>
            </w:pPr>
          </w:p>
        </w:tc>
      </w:tr>
      <w:tr w14:paraId="3FF7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836" w:type="dxa"/>
            <w:tcBorders>
              <w:left w:val="single" w:color="auto" w:sz="12" w:space="0"/>
            </w:tcBorders>
            <w:vAlign w:val="center"/>
          </w:tcPr>
          <w:p w14:paraId="6A1184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23697D3">
            <w:pPr>
              <w:pStyle w:val="14"/>
              <w:widowControl w:val="0"/>
            </w:pPr>
            <w:r>
              <w:rPr>
                <w:rFonts w:hint="eastAsia"/>
              </w:rPr>
              <w:t>40%</w:t>
            </w:r>
          </w:p>
        </w:tc>
        <w:tc>
          <w:tcPr>
            <w:tcW w:w="2353" w:type="dxa"/>
            <w:tcBorders>
              <w:right w:val="double" w:color="auto" w:sz="4" w:space="0"/>
            </w:tcBorders>
            <w:vAlign w:val="center"/>
          </w:tcPr>
          <w:p w14:paraId="1FC2F75B">
            <w:pPr>
              <w:pStyle w:val="14"/>
              <w:widowControl w:val="0"/>
            </w:pPr>
            <w:r>
              <w:rPr>
                <w:rFonts w:hint="eastAsia"/>
              </w:rPr>
              <w:t>笔试（期末考试）</w:t>
            </w:r>
          </w:p>
        </w:tc>
        <w:tc>
          <w:tcPr>
            <w:tcW w:w="612" w:type="dxa"/>
            <w:tcBorders>
              <w:left w:val="double" w:color="auto" w:sz="4" w:space="0"/>
            </w:tcBorders>
            <w:vAlign w:val="center"/>
          </w:tcPr>
          <w:p w14:paraId="05DF7327">
            <w:pPr>
              <w:pStyle w:val="14"/>
              <w:widowControl w:val="0"/>
            </w:pPr>
            <w:r>
              <w:rPr>
                <w:rFonts w:hint="eastAsia"/>
              </w:rPr>
              <w:t>50</w:t>
            </w:r>
          </w:p>
        </w:tc>
        <w:tc>
          <w:tcPr>
            <w:tcW w:w="612" w:type="dxa"/>
            <w:vAlign w:val="center"/>
          </w:tcPr>
          <w:p w14:paraId="35AAC573">
            <w:pPr>
              <w:pStyle w:val="14"/>
              <w:widowControl w:val="0"/>
            </w:pPr>
            <w:r>
              <w:rPr>
                <w:rFonts w:hint="eastAsia"/>
              </w:rPr>
              <w:t>20</w:t>
            </w:r>
          </w:p>
        </w:tc>
        <w:tc>
          <w:tcPr>
            <w:tcW w:w="612" w:type="dxa"/>
            <w:vAlign w:val="center"/>
          </w:tcPr>
          <w:p w14:paraId="2A47CC72">
            <w:pPr>
              <w:pStyle w:val="14"/>
              <w:widowControl w:val="0"/>
            </w:pPr>
            <w:r>
              <w:rPr>
                <w:rFonts w:hint="eastAsia"/>
              </w:rPr>
              <w:t>10</w:t>
            </w:r>
          </w:p>
        </w:tc>
        <w:tc>
          <w:tcPr>
            <w:tcW w:w="612" w:type="dxa"/>
            <w:vAlign w:val="center"/>
          </w:tcPr>
          <w:p w14:paraId="5501AF8B">
            <w:pPr>
              <w:pStyle w:val="14"/>
              <w:widowControl w:val="0"/>
            </w:pPr>
            <w:r>
              <w:rPr>
                <w:rFonts w:hint="eastAsia"/>
              </w:rPr>
              <w:t>10</w:t>
            </w:r>
          </w:p>
        </w:tc>
        <w:tc>
          <w:tcPr>
            <w:tcW w:w="612" w:type="dxa"/>
            <w:vAlign w:val="center"/>
          </w:tcPr>
          <w:p w14:paraId="69F2E9C8">
            <w:pPr>
              <w:pStyle w:val="14"/>
              <w:widowControl w:val="0"/>
            </w:pPr>
            <w:r>
              <w:rPr>
                <w:rFonts w:hint="eastAsia"/>
              </w:rPr>
              <w:t>10</w:t>
            </w:r>
          </w:p>
        </w:tc>
        <w:tc>
          <w:tcPr>
            <w:tcW w:w="706" w:type="dxa"/>
            <w:tcBorders>
              <w:right w:val="single" w:color="auto" w:sz="12" w:space="0"/>
            </w:tcBorders>
            <w:vAlign w:val="center"/>
          </w:tcPr>
          <w:p w14:paraId="029CA6EE">
            <w:pPr>
              <w:pStyle w:val="14"/>
              <w:widowControl w:val="0"/>
            </w:pPr>
            <w:r>
              <w:rPr>
                <w:rFonts w:hint="eastAsia"/>
              </w:rPr>
              <w:t>1</w:t>
            </w:r>
            <w:r>
              <w:t>00</w:t>
            </w:r>
          </w:p>
        </w:tc>
      </w:tr>
      <w:tr w14:paraId="06E6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224D3CD">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09" w:type="dxa"/>
            <w:vAlign w:val="center"/>
          </w:tcPr>
          <w:p w14:paraId="6D6840A1">
            <w:pPr>
              <w:pStyle w:val="14"/>
              <w:widowControl w:val="0"/>
            </w:pPr>
            <w:r>
              <w:rPr>
                <w:rFonts w:hint="eastAsia"/>
              </w:rPr>
              <w:t>20%</w:t>
            </w:r>
          </w:p>
        </w:tc>
        <w:tc>
          <w:tcPr>
            <w:tcW w:w="2353" w:type="dxa"/>
            <w:tcBorders>
              <w:right w:val="double" w:color="auto" w:sz="4" w:space="0"/>
            </w:tcBorders>
            <w:vAlign w:val="center"/>
          </w:tcPr>
          <w:p w14:paraId="2E87046B">
            <w:pPr>
              <w:pStyle w:val="14"/>
              <w:widowControl w:val="0"/>
            </w:pPr>
            <w:r>
              <w:rPr>
                <w:rFonts w:hint="eastAsia"/>
              </w:rPr>
              <w:t>笔试（阶段测验）</w:t>
            </w:r>
          </w:p>
        </w:tc>
        <w:tc>
          <w:tcPr>
            <w:tcW w:w="612" w:type="dxa"/>
            <w:tcBorders>
              <w:left w:val="double" w:color="auto" w:sz="4" w:space="0"/>
            </w:tcBorders>
            <w:vAlign w:val="center"/>
          </w:tcPr>
          <w:p w14:paraId="63232705">
            <w:pPr>
              <w:pStyle w:val="14"/>
              <w:widowControl w:val="0"/>
            </w:pPr>
            <w:r>
              <w:rPr>
                <w:rFonts w:hint="eastAsia"/>
              </w:rPr>
              <w:t>50</w:t>
            </w:r>
          </w:p>
        </w:tc>
        <w:tc>
          <w:tcPr>
            <w:tcW w:w="612" w:type="dxa"/>
            <w:vAlign w:val="center"/>
          </w:tcPr>
          <w:p w14:paraId="5F466484">
            <w:pPr>
              <w:pStyle w:val="14"/>
              <w:widowControl w:val="0"/>
            </w:pPr>
            <w:r>
              <w:rPr>
                <w:rFonts w:hint="eastAsia"/>
              </w:rPr>
              <w:t>20</w:t>
            </w:r>
          </w:p>
        </w:tc>
        <w:tc>
          <w:tcPr>
            <w:tcW w:w="612" w:type="dxa"/>
            <w:vAlign w:val="center"/>
          </w:tcPr>
          <w:p w14:paraId="5EF1FD21">
            <w:pPr>
              <w:pStyle w:val="14"/>
              <w:widowControl w:val="0"/>
            </w:pPr>
            <w:r>
              <w:rPr>
                <w:rFonts w:hint="eastAsia"/>
              </w:rPr>
              <w:t>20</w:t>
            </w:r>
          </w:p>
        </w:tc>
        <w:tc>
          <w:tcPr>
            <w:tcW w:w="612" w:type="dxa"/>
            <w:vAlign w:val="center"/>
          </w:tcPr>
          <w:p w14:paraId="55CF84AF">
            <w:pPr>
              <w:pStyle w:val="14"/>
              <w:widowControl w:val="0"/>
            </w:pPr>
            <w:r>
              <w:rPr>
                <w:rFonts w:hint="eastAsia"/>
              </w:rPr>
              <w:t>10</w:t>
            </w:r>
          </w:p>
        </w:tc>
        <w:tc>
          <w:tcPr>
            <w:tcW w:w="612" w:type="dxa"/>
            <w:vAlign w:val="center"/>
          </w:tcPr>
          <w:p w14:paraId="2D56C78D">
            <w:pPr>
              <w:pStyle w:val="14"/>
              <w:widowControl w:val="0"/>
            </w:pPr>
          </w:p>
        </w:tc>
        <w:tc>
          <w:tcPr>
            <w:tcW w:w="706" w:type="dxa"/>
            <w:tcBorders>
              <w:right w:val="single" w:color="auto" w:sz="12" w:space="0"/>
            </w:tcBorders>
            <w:vAlign w:val="center"/>
          </w:tcPr>
          <w:p w14:paraId="0A6F77A5">
            <w:pPr>
              <w:pStyle w:val="14"/>
              <w:widowControl w:val="0"/>
            </w:pPr>
            <w:r>
              <w:rPr>
                <w:rFonts w:hint="eastAsia"/>
              </w:rPr>
              <w:t>1</w:t>
            </w:r>
            <w:r>
              <w:t>00</w:t>
            </w:r>
          </w:p>
        </w:tc>
      </w:tr>
      <w:tr w14:paraId="0801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E8F8EE8">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709" w:type="dxa"/>
            <w:vAlign w:val="center"/>
          </w:tcPr>
          <w:p w14:paraId="0415C81D">
            <w:pPr>
              <w:pStyle w:val="14"/>
              <w:widowControl w:val="0"/>
            </w:pPr>
            <w:r>
              <w:rPr>
                <w:rFonts w:hint="eastAsia"/>
              </w:rPr>
              <w:t>20%</w:t>
            </w:r>
          </w:p>
        </w:tc>
        <w:tc>
          <w:tcPr>
            <w:tcW w:w="2353" w:type="dxa"/>
            <w:tcBorders>
              <w:right w:val="double" w:color="auto" w:sz="4" w:space="0"/>
            </w:tcBorders>
            <w:vAlign w:val="center"/>
          </w:tcPr>
          <w:p w14:paraId="7E6FE5B6">
            <w:pPr>
              <w:pStyle w:val="14"/>
              <w:widowControl w:val="0"/>
            </w:pPr>
            <w:r>
              <w:rPr>
                <w:rFonts w:hint="eastAsia"/>
              </w:rPr>
              <w:t>平时作业</w:t>
            </w:r>
          </w:p>
        </w:tc>
        <w:tc>
          <w:tcPr>
            <w:tcW w:w="612" w:type="dxa"/>
            <w:tcBorders>
              <w:left w:val="double" w:color="auto" w:sz="4" w:space="0"/>
            </w:tcBorders>
            <w:vAlign w:val="center"/>
          </w:tcPr>
          <w:p w14:paraId="5AE6825E">
            <w:pPr>
              <w:pStyle w:val="14"/>
              <w:widowControl w:val="0"/>
            </w:pPr>
            <w:r>
              <w:rPr>
                <w:rFonts w:hint="eastAsia"/>
              </w:rPr>
              <w:t>40</w:t>
            </w:r>
          </w:p>
        </w:tc>
        <w:tc>
          <w:tcPr>
            <w:tcW w:w="612" w:type="dxa"/>
            <w:vAlign w:val="center"/>
          </w:tcPr>
          <w:p w14:paraId="2873098F">
            <w:pPr>
              <w:pStyle w:val="14"/>
              <w:widowControl w:val="0"/>
            </w:pPr>
            <w:r>
              <w:rPr>
                <w:rFonts w:hint="eastAsia"/>
              </w:rPr>
              <w:t>30</w:t>
            </w:r>
          </w:p>
        </w:tc>
        <w:tc>
          <w:tcPr>
            <w:tcW w:w="612" w:type="dxa"/>
            <w:vAlign w:val="center"/>
          </w:tcPr>
          <w:p w14:paraId="7CA64723">
            <w:pPr>
              <w:pStyle w:val="14"/>
              <w:widowControl w:val="0"/>
            </w:pPr>
          </w:p>
        </w:tc>
        <w:tc>
          <w:tcPr>
            <w:tcW w:w="612" w:type="dxa"/>
            <w:vAlign w:val="center"/>
          </w:tcPr>
          <w:p w14:paraId="2BA43190">
            <w:pPr>
              <w:pStyle w:val="14"/>
              <w:widowControl w:val="0"/>
            </w:pPr>
            <w:r>
              <w:rPr>
                <w:rFonts w:hint="eastAsia"/>
              </w:rPr>
              <w:t>10</w:t>
            </w:r>
          </w:p>
        </w:tc>
        <w:tc>
          <w:tcPr>
            <w:tcW w:w="612" w:type="dxa"/>
            <w:vAlign w:val="center"/>
          </w:tcPr>
          <w:p w14:paraId="67717632">
            <w:pPr>
              <w:pStyle w:val="14"/>
              <w:widowControl w:val="0"/>
            </w:pPr>
            <w:r>
              <w:rPr>
                <w:rFonts w:hint="eastAsia"/>
              </w:rPr>
              <w:t>20</w:t>
            </w:r>
          </w:p>
        </w:tc>
        <w:tc>
          <w:tcPr>
            <w:tcW w:w="706" w:type="dxa"/>
            <w:tcBorders>
              <w:right w:val="single" w:color="auto" w:sz="12" w:space="0"/>
            </w:tcBorders>
            <w:vAlign w:val="center"/>
          </w:tcPr>
          <w:p w14:paraId="5E2E1A39">
            <w:pPr>
              <w:pStyle w:val="14"/>
              <w:widowControl w:val="0"/>
            </w:pPr>
            <w:r>
              <w:rPr>
                <w:rFonts w:hint="eastAsia"/>
              </w:rPr>
              <w:t>1</w:t>
            </w:r>
            <w:r>
              <w:t>00</w:t>
            </w:r>
          </w:p>
        </w:tc>
      </w:tr>
      <w:tr w14:paraId="5A97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6C6DEDA">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709" w:type="dxa"/>
            <w:vAlign w:val="center"/>
          </w:tcPr>
          <w:p w14:paraId="67C6E3BE">
            <w:pPr>
              <w:pStyle w:val="14"/>
              <w:widowControl w:val="0"/>
            </w:pPr>
            <w:r>
              <w:rPr>
                <w:rFonts w:hint="eastAsia"/>
              </w:rPr>
              <w:t>20%</w:t>
            </w:r>
          </w:p>
        </w:tc>
        <w:tc>
          <w:tcPr>
            <w:tcW w:w="2353" w:type="dxa"/>
            <w:tcBorders>
              <w:right w:val="double" w:color="auto" w:sz="4" w:space="0"/>
            </w:tcBorders>
            <w:vAlign w:val="center"/>
          </w:tcPr>
          <w:p w14:paraId="28683CD4">
            <w:pPr>
              <w:pStyle w:val="14"/>
              <w:widowControl w:val="0"/>
            </w:pPr>
            <w:r>
              <w:rPr>
                <w:rFonts w:hint="eastAsia"/>
              </w:rPr>
              <w:t>平时表现</w:t>
            </w:r>
          </w:p>
        </w:tc>
        <w:tc>
          <w:tcPr>
            <w:tcW w:w="612" w:type="dxa"/>
            <w:tcBorders>
              <w:left w:val="double" w:color="auto" w:sz="4" w:space="0"/>
            </w:tcBorders>
            <w:vAlign w:val="center"/>
          </w:tcPr>
          <w:p w14:paraId="40ECFD9A">
            <w:pPr>
              <w:pStyle w:val="14"/>
              <w:widowControl w:val="0"/>
            </w:pPr>
            <w:r>
              <w:rPr>
                <w:rFonts w:hint="eastAsia"/>
              </w:rPr>
              <w:t>40</w:t>
            </w:r>
          </w:p>
        </w:tc>
        <w:tc>
          <w:tcPr>
            <w:tcW w:w="612" w:type="dxa"/>
            <w:vAlign w:val="center"/>
          </w:tcPr>
          <w:p w14:paraId="629172CA">
            <w:pPr>
              <w:pStyle w:val="14"/>
              <w:widowControl w:val="0"/>
            </w:pPr>
            <w:r>
              <w:rPr>
                <w:rFonts w:hint="eastAsia"/>
              </w:rPr>
              <w:t>30</w:t>
            </w:r>
          </w:p>
        </w:tc>
        <w:tc>
          <w:tcPr>
            <w:tcW w:w="612" w:type="dxa"/>
            <w:vAlign w:val="center"/>
          </w:tcPr>
          <w:p w14:paraId="23F29C1B">
            <w:pPr>
              <w:pStyle w:val="14"/>
              <w:widowControl w:val="0"/>
            </w:pPr>
          </w:p>
        </w:tc>
        <w:tc>
          <w:tcPr>
            <w:tcW w:w="612" w:type="dxa"/>
            <w:vAlign w:val="center"/>
          </w:tcPr>
          <w:p w14:paraId="22ABDC71">
            <w:pPr>
              <w:pStyle w:val="14"/>
              <w:widowControl w:val="0"/>
            </w:pPr>
            <w:r>
              <w:rPr>
                <w:rFonts w:hint="eastAsia"/>
              </w:rPr>
              <w:t>10</w:t>
            </w:r>
          </w:p>
        </w:tc>
        <w:tc>
          <w:tcPr>
            <w:tcW w:w="612" w:type="dxa"/>
            <w:vAlign w:val="center"/>
          </w:tcPr>
          <w:p w14:paraId="5FA54DBB">
            <w:pPr>
              <w:pStyle w:val="14"/>
              <w:widowControl w:val="0"/>
            </w:pPr>
            <w:r>
              <w:rPr>
                <w:rFonts w:hint="eastAsia"/>
              </w:rPr>
              <w:t>20</w:t>
            </w:r>
          </w:p>
        </w:tc>
        <w:tc>
          <w:tcPr>
            <w:tcW w:w="706" w:type="dxa"/>
            <w:tcBorders>
              <w:right w:val="single" w:color="auto" w:sz="12" w:space="0"/>
            </w:tcBorders>
            <w:vAlign w:val="center"/>
          </w:tcPr>
          <w:p w14:paraId="36016FE6">
            <w:pPr>
              <w:pStyle w:val="14"/>
              <w:widowControl w:val="0"/>
            </w:pPr>
            <w:r>
              <w:rPr>
                <w:rFonts w:hint="eastAsia"/>
              </w:rPr>
              <w:t>1</w:t>
            </w:r>
            <w:r>
              <w:t>00</w:t>
            </w:r>
          </w:p>
        </w:tc>
      </w:tr>
    </w:tbl>
    <w:p w14:paraId="03931782">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364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4A242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14A242D">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Dk0ZjVkMzBjMGJlNmRhNWUzOGY2NmRkYjlhZTcifQ=="/>
  </w:docVars>
  <w:rsids>
    <w:rsidRoot w:val="00B7651F"/>
    <w:rsid w:val="000203E0"/>
    <w:rsid w:val="000210E0"/>
    <w:rsid w:val="00033082"/>
    <w:rsid w:val="00044088"/>
    <w:rsid w:val="00044E9E"/>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3AE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6550B"/>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652"/>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795B"/>
    <w:rsid w:val="00672788"/>
    <w:rsid w:val="00676183"/>
    <w:rsid w:val="00680DA3"/>
    <w:rsid w:val="0068377F"/>
    <w:rsid w:val="00691B24"/>
    <w:rsid w:val="00695B93"/>
    <w:rsid w:val="00697C16"/>
    <w:rsid w:val="006A5A89"/>
    <w:rsid w:val="006A7746"/>
    <w:rsid w:val="006B3BB9"/>
    <w:rsid w:val="006B48AC"/>
    <w:rsid w:val="006B5977"/>
    <w:rsid w:val="006D1B59"/>
    <w:rsid w:val="006D2F9C"/>
    <w:rsid w:val="006D4351"/>
    <w:rsid w:val="006D5424"/>
    <w:rsid w:val="006E5CA9"/>
    <w:rsid w:val="006E5E98"/>
    <w:rsid w:val="006E7A37"/>
    <w:rsid w:val="006F3151"/>
    <w:rsid w:val="006F6167"/>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4762D"/>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035"/>
    <w:rsid w:val="00C112E7"/>
    <w:rsid w:val="00C11C78"/>
    <w:rsid w:val="00C11CD4"/>
    <w:rsid w:val="00C139B0"/>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688F"/>
    <w:rsid w:val="00D57CF5"/>
    <w:rsid w:val="00D612BC"/>
    <w:rsid w:val="00D62F98"/>
    <w:rsid w:val="00D66FD6"/>
    <w:rsid w:val="00D8285B"/>
    <w:rsid w:val="00D862EB"/>
    <w:rsid w:val="00D86619"/>
    <w:rsid w:val="00D93E7C"/>
    <w:rsid w:val="00DB2BE6"/>
    <w:rsid w:val="00DB76B3"/>
    <w:rsid w:val="00DC19CB"/>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017684"/>
    <w:rsid w:val="013B0DE8"/>
    <w:rsid w:val="016E63C2"/>
    <w:rsid w:val="01FD62E0"/>
    <w:rsid w:val="01FF3BC3"/>
    <w:rsid w:val="021C29C7"/>
    <w:rsid w:val="024B0C39"/>
    <w:rsid w:val="024C2B81"/>
    <w:rsid w:val="0250441F"/>
    <w:rsid w:val="02532A52"/>
    <w:rsid w:val="02DE6EAF"/>
    <w:rsid w:val="02FE50B7"/>
    <w:rsid w:val="031C69F7"/>
    <w:rsid w:val="03DB240E"/>
    <w:rsid w:val="04714B20"/>
    <w:rsid w:val="047168CE"/>
    <w:rsid w:val="04763EE5"/>
    <w:rsid w:val="04A86794"/>
    <w:rsid w:val="04BA64C7"/>
    <w:rsid w:val="04C133B2"/>
    <w:rsid w:val="0533155D"/>
    <w:rsid w:val="05340028"/>
    <w:rsid w:val="060F45F1"/>
    <w:rsid w:val="06532730"/>
    <w:rsid w:val="06691E3E"/>
    <w:rsid w:val="066C1A43"/>
    <w:rsid w:val="07322345"/>
    <w:rsid w:val="07487EE2"/>
    <w:rsid w:val="07A07BF6"/>
    <w:rsid w:val="08002443"/>
    <w:rsid w:val="08251EAA"/>
    <w:rsid w:val="08510EF1"/>
    <w:rsid w:val="08C47FFD"/>
    <w:rsid w:val="08CA47FF"/>
    <w:rsid w:val="098B3A72"/>
    <w:rsid w:val="09CB16BA"/>
    <w:rsid w:val="0A3A36E4"/>
    <w:rsid w:val="0A51342A"/>
    <w:rsid w:val="0A79472F"/>
    <w:rsid w:val="0A8128A6"/>
    <w:rsid w:val="0ACC2AB1"/>
    <w:rsid w:val="0AD57BB7"/>
    <w:rsid w:val="0AFA13CC"/>
    <w:rsid w:val="0BAB0918"/>
    <w:rsid w:val="0BF32A1B"/>
    <w:rsid w:val="0C000C64"/>
    <w:rsid w:val="0CBB4B8B"/>
    <w:rsid w:val="0D3112F1"/>
    <w:rsid w:val="0D8D29CB"/>
    <w:rsid w:val="0D904269"/>
    <w:rsid w:val="0E065FCB"/>
    <w:rsid w:val="0E0D7A55"/>
    <w:rsid w:val="0E71409B"/>
    <w:rsid w:val="0EB74DCB"/>
    <w:rsid w:val="0F256C33"/>
    <w:rsid w:val="0FDC3796"/>
    <w:rsid w:val="0FE73EE9"/>
    <w:rsid w:val="10703EDE"/>
    <w:rsid w:val="10BD2C22"/>
    <w:rsid w:val="10D1683B"/>
    <w:rsid w:val="1129747F"/>
    <w:rsid w:val="119D6F55"/>
    <w:rsid w:val="11B9343A"/>
    <w:rsid w:val="11CC3396"/>
    <w:rsid w:val="12241424"/>
    <w:rsid w:val="12B84E65"/>
    <w:rsid w:val="13D1738A"/>
    <w:rsid w:val="13E7095B"/>
    <w:rsid w:val="13F37300"/>
    <w:rsid w:val="13FE38DE"/>
    <w:rsid w:val="14353475"/>
    <w:rsid w:val="145854BE"/>
    <w:rsid w:val="14F3776B"/>
    <w:rsid w:val="159B19FD"/>
    <w:rsid w:val="15B142F9"/>
    <w:rsid w:val="15F15AC1"/>
    <w:rsid w:val="15F1786F"/>
    <w:rsid w:val="16A566B6"/>
    <w:rsid w:val="16F615E1"/>
    <w:rsid w:val="174560C4"/>
    <w:rsid w:val="1752433D"/>
    <w:rsid w:val="17E23913"/>
    <w:rsid w:val="18153CE9"/>
    <w:rsid w:val="18C33745"/>
    <w:rsid w:val="18EB67F8"/>
    <w:rsid w:val="198B7B05"/>
    <w:rsid w:val="19AF1F1B"/>
    <w:rsid w:val="19FA779B"/>
    <w:rsid w:val="1A620D3B"/>
    <w:rsid w:val="1AAB26E2"/>
    <w:rsid w:val="1AD70534"/>
    <w:rsid w:val="1BED0AD9"/>
    <w:rsid w:val="1C2A7637"/>
    <w:rsid w:val="1D4806BC"/>
    <w:rsid w:val="1DB573D4"/>
    <w:rsid w:val="1DCD2970"/>
    <w:rsid w:val="1E340C41"/>
    <w:rsid w:val="1EC43D73"/>
    <w:rsid w:val="1F9951FF"/>
    <w:rsid w:val="1FB2006F"/>
    <w:rsid w:val="1FC33368"/>
    <w:rsid w:val="1FFE1506"/>
    <w:rsid w:val="20250841"/>
    <w:rsid w:val="20337402"/>
    <w:rsid w:val="203C5B8B"/>
    <w:rsid w:val="20586E69"/>
    <w:rsid w:val="205E01F7"/>
    <w:rsid w:val="208D46BF"/>
    <w:rsid w:val="20C53DD2"/>
    <w:rsid w:val="20E06E5E"/>
    <w:rsid w:val="20F63F8C"/>
    <w:rsid w:val="214C2AFA"/>
    <w:rsid w:val="21B06830"/>
    <w:rsid w:val="21C4408A"/>
    <w:rsid w:val="22987C80"/>
    <w:rsid w:val="23356FED"/>
    <w:rsid w:val="23684490"/>
    <w:rsid w:val="237A0EA4"/>
    <w:rsid w:val="23F21382"/>
    <w:rsid w:val="23F8626D"/>
    <w:rsid w:val="24192CCC"/>
    <w:rsid w:val="24704055"/>
    <w:rsid w:val="2564005E"/>
    <w:rsid w:val="25B41562"/>
    <w:rsid w:val="25DF5936"/>
    <w:rsid w:val="264D0AF2"/>
    <w:rsid w:val="267F51B3"/>
    <w:rsid w:val="26BC17D3"/>
    <w:rsid w:val="26C62652"/>
    <w:rsid w:val="273B3040"/>
    <w:rsid w:val="27433CA3"/>
    <w:rsid w:val="275163C0"/>
    <w:rsid w:val="278542BB"/>
    <w:rsid w:val="27A652F0"/>
    <w:rsid w:val="27AB64EE"/>
    <w:rsid w:val="27E2170E"/>
    <w:rsid w:val="27F67010"/>
    <w:rsid w:val="280276BA"/>
    <w:rsid w:val="28D7653F"/>
    <w:rsid w:val="296C128F"/>
    <w:rsid w:val="299627B0"/>
    <w:rsid w:val="29CA2459"/>
    <w:rsid w:val="2A6D3510"/>
    <w:rsid w:val="2ABA24CE"/>
    <w:rsid w:val="2AF14198"/>
    <w:rsid w:val="2BC2152A"/>
    <w:rsid w:val="2BE315B0"/>
    <w:rsid w:val="2C11436F"/>
    <w:rsid w:val="2C4B7881"/>
    <w:rsid w:val="2C8D005C"/>
    <w:rsid w:val="2C9F7BCD"/>
    <w:rsid w:val="2CAB0320"/>
    <w:rsid w:val="2CB97BDE"/>
    <w:rsid w:val="2D3B0E53"/>
    <w:rsid w:val="2D685AB0"/>
    <w:rsid w:val="2DAE631A"/>
    <w:rsid w:val="2DC07DFB"/>
    <w:rsid w:val="2DC84F02"/>
    <w:rsid w:val="2E42114A"/>
    <w:rsid w:val="2F4800A8"/>
    <w:rsid w:val="2FB27C17"/>
    <w:rsid w:val="2FB90FA6"/>
    <w:rsid w:val="2FCD202A"/>
    <w:rsid w:val="30163664"/>
    <w:rsid w:val="301D1535"/>
    <w:rsid w:val="30655EF7"/>
    <w:rsid w:val="30662EDC"/>
    <w:rsid w:val="3091782D"/>
    <w:rsid w:val="309B06AC"/>
    <w:rsid w:val="30A13F14"/>
    <w:rsid w:val="3105606D"/>
    <w:rsid w:val="31994BEB"/>
    <w:rsid w:val="321C75CA"/>
    <w:rsid w:val="323A4620"/>
    <w:rsid w:val="331237BE"/>
    <w:rsid w:val="33174961"/>
    <w:rsid w:val="334861C2"/>
    <w:rsid w:val="336254B1"/>
    <w:rsid w:val="338B0EAB"/>
    <w:rsid w:val="33A07F2C"/>
    <w:rsid w:val="33BA6151"/>
    <w:rsid w:val="33C87A09"/>
    <w:rsid w:val="341B5004"/>
    <w:rsid w:val="349B3370"/>
    <w:rsid w:val="34D60CBB"/>
    <w:rsid w:val="34D66156"/>
    <w:rsid w:val="34DA5C46"/>
    <w:rsid w:val="3538296D"/>
    <w:rsid w:val="353F5AA9"/>
    <w:rsid w:val="358838F4"/>
    <w:rsid w:val="358D688D"/>
    <w:rsid w:val="35DA3A24"/>
    <w:rsid w:val="364F61C0"/>
    <w:rsid w:val="36DB51E5"/>
    <w:rsid w:val="36F62AE0"/>
    <w:rsid w:val="36FD5C1C"/>
    <w:rsid w:val="372F1B4E"/>
    <w:rsid w:val="37700B05"/>
    <w:rsid w:val="37863E63"/>
    <w:rsid w:val="37920A5A"/>
    <w:rsid w:val="37991DE9"/>
    <w:rsid w:val="37A83DDA"/>
    <w:rsid w:val="37E8067A"/>
    <w:rsid w:val="37F32A9A"/>
    <w:rsid w:val="382F62A9"/>
    <w:rsid w:val="383C09C6"/>
    <w:rsid w:val="387243E8"/>
    <w:rsid w:val="3877581E"/>
    <w:rsid w:val="38910D12"/>
    <w:rsid w:val="38F65019"/>
    <w:rsid w:val="38FE486E"/>
    <w:rsid w:val="394A0EC1"/>
    <w:rsid w:val="39A66CD4"/>
    <w:rsid w:val="39C62C3D"/>
    <w:rsid w:val="39CB0253"/>
    <w:rsid w:val="3A4A561C"/>
    <w:rsid w:val="3AC16F61"/>
    <w:rsid w:val="3B251BE5"/>
    <w:rsid w:val="3B8E32E7"/>
    <w:rsid w:val="3C1E28BD"/>
    <w:rsid w:val="3C5462DE"/>
    <w:rsid w:val="3C771FCD"/>
    <w:rsid w:val="3CA628B2"/>
    <w:rsid w:val="3CD52CE1"/>
    <w:rsid w:val="3DB039E8"/>
    <w:rsid w:val="3DC70D32"/>
    <w:rsid w:val="3DF15DAF"/>
    <w:rsid w:val="3E810EE1"/>
    <w:rsid w:val="3EF618CF"/>
    <w:rsid w:val="3F20694C"/>
    <w:rsid w:val="3F2F3033"/>
    <w:rsid w:val="3F47037C"/>
    <w:rsid w:val="3FE61943"/>
    <w:rsid w:val="406867FC"/>
    <w:rsid w:val="40750F19"/>
    <w:rsid w:val="4093139F"/>
    <w:rsid w:val="40BE641C"/>
    <w:rsid w:val="410F2E6A"/>
    <w:rsid w:val="41173D7E"/>
    <w:rsid w:val="414D3EFB"/>
    <w:rsid w:val="418D4040"/>
    <w:rsid w:val="41A05B22"/>
    <w:rsid w:val="41C71300"/>
    <w:rsid w:val="428939BE"/>
    <w:rsid w:val="42DD6902"/>
    <w:rsid w:val="42EC59EC"/>
    <w:rsid w:val="431E2E56"/>
    <w:rsid w:val="43864418"/>
    <w:rsid w:val="44242A3A"/>
    <w:rsid w:val="4430136C"/>
    <w:rsid w:val="4484172B"/>
    <w:rsid w:val="45107462"/>
    <w:rsid w:val="46040D75"/>
    <w:rsid w:val="460A3EB2"/>
    <w:rsid w:val="464E0242"/>
    <w:rsid w:val="468A0B4E"/>
    <w:rsid w:val="47156DE7"/>
    <w:rsid w:val="47F46BC7"/>
    <w:rsid w:val="48266CC0"/>
    <w:rsid w:val="48C06AA9"/>
    <w:rsid w:val="493354CD"/>
    <w:rsid w:val="49831FB1"/>
    <w:rsid w:val="49D22F38"/>
    <w:rsid w:val="4A0D21C2"/>
    <w:rsid w:val="4A5751EC"/>
    <w:rsid w:val="4A916094"/>
    <w:rsid w:val="4A9D70A2"/>
    <w:rsid w:val="4AB0382B"/>
    <w:rsid w:val="4B600CF3"/>
    <w:rsid w:val="4BE43BA3"/>
    <w:rsid w:val="4C0D46FC"/>
    <w:rsid w:val="4C5B0783"/>
    <w:rsid w:val="4D391488"/>
    <w:rsid w:val="4D754306"/>
    <w:rsid w:val="4E0D09E3"/>
    <w:rsid w:val="4E4A12EF"/>
    <w:rsid w:val="4E56172D"/>
    <w:rsid w:val="4E832A53"/>
    <w:rsid w:val="4FBC3957"/>
    <w:rsid w:val="4FC652ED"/>
    <w:rsid w:val="50153B7F"/>
    <w:rsid w:val="508036EE"/>
    <w:rsid w:val="50E0418D"/>
    <w:rsid w:val="518317F4"/>
    <w:rsid w:val="51B178D7"/>
    <w:rsid w:val="51D05FAF"/>
    <w:rsid w:val="51EE4687"/>
    <w:rsid w:val="524A3FB4"/>
    <w:rsid w:val="529E7E5B"/>
    <w:rsid w:val="52A1794C"/>
    <w:rsid w:val="52FD05B6"/>
    <w:rsid w:val="53242D01"/>
    <w:rsid w:val="53394028"/>
    <w:rsid w:val="533D7674"/>
    <w:rsid w:val="53654E1D"/>
    <w:rsid w:val="53915C12"/>
    <w:rsid w:val="54574766"/>
    <w:rsid w:val="54D73AF9"/>
    <w:rsid w:val="559F4616"/>
    <w:rsid w:val="55A734CB"/>
    <w:rsid w:val="55DF0EB7"/>
    <w:rsid w:val="562543F0"/>
    <w:rsid w:val="569868B5"/>
    <w:rsid w:val="56A36FFB"/>
    <w:rsid w:val="56ED315F"/>
    <w:rsid w:val="572B1EDA"/>
    <w:rsid w:val="57A63F2F"/>
    <w:rsid w:val="57A71560"/>
    <w:rsid w:val="5813309A"/>
    <w:rsid w:val="583E3A64"/>
    <w:rsid w:val="584E5E80"/>
    <w:rsid w:val="58535713"/>
    <w:rsid w:val="589A10C5"/>
    <w:rsid w:val="58AA2622"/>
    <w:rsid w:val="58DF4D2A"/>
    <w:rsid w:val="58F540EF"/>
    <w:rsid w:val="59771406"/>
    <w:rsid w:val="5996188C"/>
    <w:rsid w:val="59CA7788"/>
    <w:rsid w:val="5A783688"/>
    <w:rsid w:val="5AA1498D"/>
    <w:rsid w:val="5ACC12DE"/>
    <w:rsid w:val="5AE40D1D"/>
    <w:rsid w:val="5AEE74A6"/>
    <w:rsid w:val="5B433C96"/>
    <w:rsid w:val="5BBB7CD0"/>
    <w:rsid w:val="5C0E0AC2"/>
    <w:rsid w:val="5C3B2BBF"/>
    <w:rsid w:val="5C4E644E"/>
    <w:rsid w:val="5DC015CE"/>
    <w:rsid w:val="5DD961EC"/>
    <w:rsid w:val="5E082F75"/>
    <w:rsid w:val="5E3D2C1E"/>
    <w:rsid w:val="5E665EF6"/>
    <w:rsid w:val="5E7D126D"/>
    <w:rsid w:val="5EDB5F93"/>
    <w:rsid w:val="5F0766D7"/>
    <w:rsid w:val="5F1119B5"/>
    <w:rsid w:val="5F322057"/>
    <w:rsid w:val="5F3B27A7"/>
    <w:rsid w:val="5F5A7800"/>
    <w:rsid w:val="5F887EC9"/>
    <w:rsid w:val="5F9920D6"/>
    <w:rsid w:val="5FBF7663"/>
    <w:rsid w:val="601D2D07"/>
    <w:rsid w:val="605B738C"/>
    <w:rsid w:val="60B60A66"/>
    <w:rsid w:val="611B4D6D"/>
    <w:rsid w:val="611F6817"/>
    <w:rsid w:val="615B364C"/>
    <w:rsid w:val="61AD3C17"/>
    <w:rsid w:val="61D94A0C"/>
    <w:rsid w:val="61E0223F"/>
    <w:rsid w:val="61EA1238"/>
    <w:rsid w:val="623F6839"/>
    <w:rsid w:val="62943029"/>
    <w:rsid w:val="62F6339C"/>
    <w:rsid w:val="631F6D97"/>
    <w:rsid w:val="63691DC0"/>
    <w:rsid w:val="63D156BB"/>
    <w:rsid w:val="64055F8C"/>
    <w:rsid w:val="642F3009"/>
    <w:rsid w:val="64577CD5"/>
    <w:rsid w:val="647A1DAB"/>
    <w:rsid w:val="65091AAC"/>
    <w:rsid w:val="658D448B"/>
    <w:rsid w:val="661029C7"/>
    <w:rsid w:val="668B64F1"/>
    <w:rsid w:val="66925AD1"/>
    <w:rsid w:val="66B23A7E"/>
    <w:rsid w:val="66CA1754"/>
    <w:rsid w:val="66CB4B3F"/>
    <w:rsid w:val="67185FD7"/>
    <w:rsid w:val="6732696D"/>
    <w:rsid w:val="675F3C06"/>
    <w:rsid w:val="67D0065F"/>
    <w:rsid w:val="68E24AEE"/>
    <w:rsid w:val="694330B3"/>
    <w:rsid w:val="69BA15C7"/>
    <w:rsid w:val="6A1C5DDE"/>
    <w:rsid w:val="6A4620F8"/>
    <w:rsid w:val="6B200A51"/>
    <w:rsid w:val="6B945E48"/>
    <w:rsid w:val="6BAA7419"/>
    <w:rsid w:val="6C120EDE"/>
    <w:rsid w:val="6D6F68CC"/>
    <w:rsid w:val="6E02353D"/>
    <w:rsid w:val="6E8201DA"/>
    <w:rsid w:val="6EBC7B8F"/>
    <w:rsid w:val="6EF47329"/>
    <w:rsid w:val="6F082DD5"/>
    <w:rsid w:val="6F1E65D4"/>
    <w:rsid w:val="6F266C86"/>
    <w:rsid w:val="6F484F7F"/>
    <w:rsid w:val="6F5042C2"/>
    <w:rsid w:val="6F7E4E45"/>
    <w:rsid w:val="6FA50623"/>
    <w:rsid w:val="6FC34F4E"/>
    <w:rsid w:val="6FEA4288"/>
    <w:rsid w:val="702459EC"/>
    <w:rsid w:val="703563DC"/>
    <w:rsid w:val="70983CE4"/>
    <w:rsid w:val="70D016D0"/>
    <w:rsid w:val="70E46F2A"/>
    <w:rsid w:val="70FA674D"/>
    <w:rsid w:val="712B2DAA"/>
    <w:rsid w:val="714B0D57"/>
    <w:rsid w:val="715611F3"/>
    <w:rsid w:val="71614A1E"/>
    <w:rsid w:val="724A54B2"/>
    <w:rsid w:val="72616EBB"/>
    <w:rsid w:val="735A34D3"/>
    <w:rsid w:val="73DC0680"/>
    <w:rsid w:val="74143FCA"/>
    <w:rsid w:val="742E5F05"/>
    <w:rsid w:val="74316312"/>
    <w:rsid w:val="747A6F05"/>
    <w:rsid w:val="74A745AA"/>
    <w:rsid w:val="74C94DB4"/>
    <w:rsid w:val="74EA0887"/>
    <w:rsid w:val="74FC6F38"/>
    <w:rsid w:val="759058D2"/>
    <w:rsid w:val="7592164A"/>
    <w:rsid w:val="75BA64AB"/>
    <w:rsid w:val="75E33C54"/>
    <w:rsid w:val="761E6A3A"/>
    <w:rsid w:val="763B3A90"/>
    <w:rsid w:val="76816FC9"/>
    <w:rsid w:val="76AF2E83"/>
    <w:rsid w:val="77277B70"/>
    <w:rsid w:val="777F79AC"/>
    <w:rsid w:val="780F13C8"/>
    <w:rsid w:val="780F72CA"/>
    <w:rsid w:val="78427647"/>
    <w:rsid w:val="786D5A56"/>
    <w:rsid w:val="78721921"/>
    <w:rsid w:val="78A100ED"/>
    <w:rsid w:val="78D930EC"/>
    <w:rsid w:val="79270D45"/>
    <w:rsid w:val="792A0EF9"/>
    <w:rsid w:val="79786DA9"/>
    <w:rsid w:val="7A792DD8"/>
    <w:rsid w:val="7A8A6D94"/>
    <w:rsid w:val="7AC322A6"/>
    <w:rsid w:val="7ACF29F8"/>
    <w:rsid w:val="7AD973D3"/>
    <w:rsid w:val="7BAB5214"/>
    <w:rsid w:val="7C385448"/>
    <w:rsid w:val="7C9415F4"/>
    <w:rsid w:val="7CB3663D"/>
    <w:rsid w:val="7D11554A"/>
    <w:rsid w:val="7D2221D8"/>
    <w:rsid w:val="7D5D4A8C"/>
    <w:rsid w:val="7DD65E4C"/>
    <w:rsid w:val="7E0332B7"/>
    <w:rsid w:val="7E9957F7"/>
    <w:rsid w:val="7EA37106"/>
    <w:rsid w:val="7FB36445"/>
    <w:rsid w:val="7FB4040F"/>
    <w:rsid w:val="7FB83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F9B2D-076F-401F-BF71-8747404C6953}">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952</Words>
  <Characters>1000</Characters>
  <Lines>35</Lines>
  <Paragraphs>9</Paragraphs>
  <TotalTime>10</TotalTime>
  <ScaleCrop>false</ScaleCrop>
  <LinksUpToDate>false</LinksUpToDate>
  <CharactersWithSpaces>1005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2024-03-01T05:19:00Z</dcterms:created>
  <dc:creator>juvg</dc:creator>
  <cp:lastModifiedBy>归去来兮</cp:lastModifiedBy>
  <cp:lastPrinted>2023-11-21T00:52:00Z</cp:lastPrinted>
  <dcterms:modified xsi:type="dcterms:W3CDTF">2025-03-10T14:08:45Z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2B7B73427F154F859C862542C52872CA_12</vt:lpwstr>
  </property>
  <property fmtid="{D5CDD505-2E9C-101B-9397-08002B2CF9AE}" pid="4" name="KSOTemplateDocerSaveRecord">
    <vt:lpwstr>eyJoZGlkIjoiOTc0ZDk0ZjVkMzBjMGJlNmRhNWUzOGY2NmRkYjlhZTciLCJ1c2VySWQiOiIyMjgwODQyMDIifQ==</vt:lpwstr>
  </property>
</Properties>
</file>