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1990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袁江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yellow"/>
                <w:lang w:val="en-US" w:eastAsia="zh-CN"/>
              </w:rPr>
              <w:t>工程管B25-1、2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三教107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3FC6B91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1171</Words>
  <Characters>1375</Characters>
  <Lines>2</Lines>
  <Paragraphs>1</Paragraphs>
  <TotalTime>19</TotalTime>
  <ScaleCrop>false</ScaleCrop>
  <LinksUpToDate>false</LinksUpToDate>
  <CharactersWithSpaces>1463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2026-03-05T03:07:43Z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