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EEDC">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2</w:t>
      </w:r>
      <w:r>
        <w:rPr>
          <w:rFonts w:hint="eastAsia" w:ascii="黑体" w:hAnsi="黑体" w:eastAsia="黑体"/>
          <w:bCs/>
          <w:sz w:val="32"/>
          <w:szCs w:val="32"/>
          <w:lang w:eastAsia="zh-CN"/>
        </w:rPr>
        <w:t>）</w:t>
      </w:r>
      <w:r>
        <w:rPr>
          <w:rFonts w:hint="eastAsia" w:ascii="黑体" w:hAnsi="黑体" w:eastAsia="黑体"/>
          <w:bCs/>
          <w:sz w:val="32"/>
          <w:szCs w:val="32"/>
        </w:rPr>
        <w:t xml:space="preserve">  》本科课程教学大纲</w:t>
      </w:r>
    </w:p>
    <w:p w14:paraId="776FD7BF">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097"/>
        <w:gridCol w:w="1155"/>
        <w:gridCol w:w="1134"/>
        <w:gridCol w:w="336"/>
        <w:gridCol w:w="1077"/>
        <w:gridCol w:w="786"/>
      </w:tblGrid>
      <w:tr w14:paraId="743D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5E93D1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252044">
            <w:pPr>
              <w:widowControl w:val="0"/>
              <w:jc w:val="left"/>
              <w:rPr>
                <w:rFonts w:hint="default" w:ascii="Times New Roman" w:hAnsi="Times New Roman" w:eastAsia="宋体" w:cs="Times New Roman"/>
                <w:color w:val="000000" w:themeColor="text1"/>
                <w:sz w:val="21"/>
                <w:szCs w:val="18"/>
                <w:lang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（中文）大学物理</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p>
        </w:tc>
      </w:tr>
      <w:tr w14:paraId="5A3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7A9AD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0CD3112">
            <w:pPr>
              <w:widowControl w:val="0"/>
              <w:jc w:val="left"/>
              <w:rPr>
                <w:rFonts w:hint="default" w:ascii="Times New Roman" w:hAnsi="Times New Roman" w:eastAsia="宋体" w:cs="Times New Roman"/>
                <w:color w:val="000000" w:themeColor="text1"/>
                <w:sz w:val="21"/>
                <w:szCs w:val="18"/>
                <w:lang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（英文）University Physics</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p>
        </w:tc>
      </w:tr>
      <w:tr w14:paraId="4B1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7C3F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97" w:type="dxa"/>
            <w:vAlign w:val="center"/>
          </w:tcPr>
          <w:p w14:paraId="4224290F">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2100002</w:t>
            </w:r>
          </w:p>
        </w:tc>
        <w:tc>
          <w:tcPr>
            <w:tcW w:w="2289" w:type="dxa"/>
            <w:gridSpan w:val="2"/>
            <w:vAlign w:val="center"/>
          </w:tcPr>
          <w:p w14:paraId="7D66363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1562F24D">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w:t>
            </w:r>
          </w:p>
        </w:tc>
      </w:tr>
      <w:tr w14:paraId="491D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83C026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97" w:type="dxa"/>
            <w:vAlign w:val="center"/>
          </w:tcPr>
          <w:p w14:paraId="5E559CDF">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32</w:t>
            </w:r>
          </w:p>
        </w:tc>
        <w:tc>
          <w:tcPr>
            <w:tcW w:w="1155" w:type="dxa"/>
            <w:vAlign w:val="center"/>
          </w:tcPr>
          <w:p w14:paraId="084ADF0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134" w:type="dxa"/>
            <w:vAlign w:val="center"/>
          </w:tcPr>
          <w:p w14:paraId="771014BE">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32</w:t>
            </w:r>
          </w:p>
        </w:tc>
        <w:tc>
          <w:tcPr>
            <w:tcW w:w="1413" w:type="dxa"/>
            <w:gridSpan w:val="2"/>
            <w:vAlign w:val="center"/>
          </w:tcPr>
          <w:p w14:paraId="206B92D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32A6F2BD">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150A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3C27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97" w:type="dxa"/>
            <w:vAlign w:val="center"/>
          </w:tcPr>
          <w:p w14:paraId="7DD1B25D">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289" w:type="dxa"/>
            <w:gridSpan w:val="2"/>
            <w:vAlign w:val="center"/>
          </w:tcPr>
          <w:p w14:paraId="6E60B79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3C66543C">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w:t>
            </w:r>
            <w:r>
              <w:rPr>
                <w:rFonts w:hint="eastAsia" w:cs="宋体"/>
                <w:color w:val="000000" w:themeColor="text1"/>
                <w:sz w:val="21"/>
                <w:szCs w:val="18"/>
                <w:lang w:eastAsia="zh-CN"/>
                <w14:textFill>
                  <w14:solidFill>
                    <w14:schemeClr w14:val="tx1"/>
                  </w14:solidFill>
                </w14:textFill>
              </w:rPr>
              <w:t>二年级</w:t>
            </w:r>
          </w:p>
        </w:tc>
      </w:tr>
      <w:tr w14:paraId="709B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87793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97" w:type="dxa"/>
            <w:vAlign w:val="center"/>
          </w:tcPr>
          <w:p w14:paraId="4075204C">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289" w:type="dxa"/>
            <w:gridSpan w:val="2"/>
            <w:vAlign w:val="center"/>
          </w:tcPr>
          <w:p w14:paraId="1A3C5C3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4BE4958E">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707F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0594E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098FC0B">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14:paraId="2317C28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677109F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09C18D76">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5C9A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805D16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5A35588">
            <w:pPr>
              <w:widowControl w:val="0"/>
              <w:jc w:val="left"/>
              <w:rPr>
                <w:rFonts w:hint="default" w:ascii="Times New Roman" w:hAnsi="Times New Roman" w:eastAsia="宋体" w:cs="Times New Roman"/>
                <w:color w:val="000000" w:themeColor="text1"/>
                <w:sz w:val="21"/>
                <w:szCs w:val="18"/>
                <w:lang w:val="en-US"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高等数学（</w:t>
            </w:r>
            <w:r>
              <w:rPr>
                <w:rFonts w:hint="default" w:ascii="Times New Roman" w:hAnsi="Times New Roman" w:cs="Times New Roman"/>
                <w:color w:val="000000" w:themeColor="text1"/>
                <w:sz w:val="21"/>
                <w:szCs w:val="18"/>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18"/>
                <w14:textFill>
                  <w14:solidFill>
                    <w14:schemeClr w14:val="tx1"/>
                  </w14:solidFill>
                </w14:textFill>
              </w:rPr>
              <w:t>）</w:t>
            </w:r>
            <w:r>
              <w:rPr>
                <w:rFonts w:hint="default" w:ascii="Times New Roman" w:hAnsi="Times New Roman" w:cs="Times New Roman"/>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r>
              <w:rPr>
                <w:rFonts w:hint="eastAsia" w:ascii="Times New Roman" w:hAnsi="Times New Roman" w:cs="Times New Roman"/>
                <w:color w:val="000000" w:themeColor="text1"/>
                <w:sz w:val="21"/>
                <w:szCs w:val="18"/>
                <w:lang w:val="en-US" w:eastAsia="zh-CN"/>
                <w14:textFill>
                  <w14:solidFill>
                    <w14:schemeClr w14:val="tx1"/>
                  </w14:solidFill>
                </w14:textFill>
              </w:rPr>
              <w:t>、大学物理（1）2100077（3）</w:t>
            </w:r>
          </w:p>
        </w:tc>
      </w:tr>
      <w:tr w14:paraId="3068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762A1D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2E85B4C2">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79152745">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《大学物理（</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课程系统地阐述了物理学中热学、振动波动学和</w:t>
            </w:r>
            <w:r>
              <w:rPr>
                <w:rFonts w:hint="default" w:ascii="Times New Roman" w:hAnsi="Times New Roman" w:cs="Times New Roman"/>
                <w:color w:val="000000" w:themeColor="text1"/>
                <w:sz w:val="21"/>
                <w:szCs w:val="18"/>
                <w:lang w:eastAsia="zh-CN"/>
                <w14:textFill>
                  <w14:solidFill>
                    <w14:schemeClr w14:val="tx1"/>
                  </w14:solidFill>
                </w14:textFill>
              </w:rPr>
              <w:t>光学</w:t>
            </w:r>
            <w:r>
              <w:rPr>
                <w:rFonts w:hint="default" w:ascii="Times New Roman" w:hAnsi="Times New Roman" w:cs="Times New Roman"/>
                <w:color w:val="000000" w:themeColor="text1"/>
                <w:sz w:val="21"/>
                <w:szCs w:val="18"/>
                <w:lang w:val="en-US" w:eastAsia="zh-CN"/>
                <w14:textFill>
                  <w14:solidFill>
                    <w14:schemeClr w14:val="tx1"/>
                  </w14:solidFill>
                </w14:textFill>
              </w:rPr>
              <w:t>的基本概念、基本理论和基本方法。振动波动学包括机械振动、机械波；</w:t>
            </w:r>
            <w:r>
              <w:rPr>
                <w:rFonts w:hint="default" w:ascii="Times New Roman" w:hAnsi="Times New Roman" w:cs="Times New Roman"/>
                <w:color w:val="000000" w:themeColor="text1"/>
                <w:sz w:val="21"/>
                <w:szCs w:val="18"/>
                <w:lang w:eastAsia="zh-CN"/>
                <w14:textFill>
                  <w14:solidFill>
                    <w14:schemeClr w14:val="tx1"/>
                  </w14:solidFill>
                </w14:textFill>
              </w:rPr>
              <w:t>热学包括气体动理论、热力学；光学包括光的干涉、光的衍射。</w:t>
            </w:r>
          </w:p>
          <w:p w14:paraId="73C64037">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通过本课程的学习，使学生掌握物理学的基本概念、基本理论和基本规律，能运用物理学知识解释自然科学问题，通过进一步深入学习能够分析和解决专业工程中的遇到的物理问题。</w:t>
            </w:r>
          </w:p>
          <w:p w14:paraId="4B9770A6">
            <w:pPr>
              <w:widowControl w:val="0"/>
              <w:ind w:firstLine="420" w:firstLineChars="20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default" w:ascii="Times New Roman" w:hAnsi="Times New Roman" w:cs="Times New Roman"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default" w:ascii="Times New Roman" w:hAnsi="Times New Roman" w:cs="Times New Roman"/>
                <w:color w:val="000000" w:themeColor="text1"/>
                <w:sz w:val="21"/>
                <w:szCs w:val="18"/>
                <w:lang w:eastAsia="zh-CN"/>
                <w14:textFill>
                  <w14:solidFill>
                    <w14:schemeClr w14:val="tx1"/>
                  </w14:solidFill>
                </w14:textFill>
              </w:rPr>
              <w:t>。</w:t>
            </w:r>
          </w:p>
        </w:tc>
      </w:tr>
      <w:tr w14:paraId="0BAE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72240EF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4D3DD92F">
            <w:pPr>
              <w:widowControl w:val="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eastAsiaTheme="minorEastAsia"/>
                <w:color w:val="000000" w:themeColor="text1"/>
                <w:sz w:val="21"/>
                <w:szCs w:val="1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18"/>
                <w14:textFill>
                  <w14:solidFill>
                    <w14:schemeClr w14:val="tx1"/>
                  </w14:solidFill>
                </w14:textFill>
              </w:rPr>
              <w:t>适合理工类本科</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并且培养计划中大学物理上两个学期的专业，建议</w:t>
            </w:r>
            <w:r>
              <w:rPr>
                <w:rFonts w:hint="default" w:ascii="Times New Roman" w:hAnsi="Times New Roman" w:cs="Times New Roman" w:eastAsiaTheme="minorEastAsia"/>
                <w:color w:val="000000" w:themeColor="text1"/>
                <w:sz w:val="21"/>
                <w:szCs w:val="18"/>
                <w14:textFill>
                  <w14:solidFill>
                    <w14:schemeClr w14:val="tx1"/>
                  </w14:solidFill>
                </w14:textFill>
              </w:rPr>
              <w:t>在</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二年级</w:t>
            </w:r>
            <w:r>
              <w:rPr>
                <w:rFonts w:hint="default" w:ascii="Times New Roman" w:hAnsi="Times New Roman" w:cs="Times New Roman" w:eastAsiaTheme="minorEastAsia"/>
                <w:color w:val="000000" w:themeColor="text1"/>
                <w:sz w:val="21"/>
                <w:szCs w:val="18"/>
                <w14:textFill>
                  <w14:solidFill>
                    <w14:schemeClr w14:val="tx1"/>
                  </w14:solidFill>
                </w14:textFill>
              </w:rPr>
              <w:t>学习，要求</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有</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大学</w:t>
            </w:r>
            <w:r>
              <w:rPr>
                <w:rFonts w:hint="default" w:ascii="Times New Roman" w:hAnsi="Times New Roman" w:cs="Times New Roman" w:eastAsiaTheme="minorEastAsia"/>
                <w:color w:val="000000" w:themeColor="text1"/>
                <w:sz w:val="21"/>
                <w:szCs w:val="18"/>
                <w14:textFill>
                  <w14:solidFill>
                    <w14:schemeClr w14:val="tx1"/>
                  </w14:solidFill>
                </w14:textFill>
              </w:rPr>
              <w:t>物理</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18"/>
                <w:lang w:val="en-US" w:eastAsia="zh-CN"/>
                <w14:textFill>
                  <w14:solidFill>
                    <w14:schemeClr w14:val="tx1"/>
                  </w14:solidFill>
                </w14:textFill>
              </w:rPr>
              <w:t>1</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18"/>
                <w14:textFill>
                  <w14:solidFill>
                    <w14:schemeClr w14:val="tx1"/>
                  </w14:solidFill>
                </w14:textFill>
              </w:rPr>
              <w:t>和高等数学的基础。</w:t>
            </w:r>
          </w:p>
        </w:tc>
      </w:tr>
      <w:tr w14:paraId="2571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1C3C4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252" w:type="dxa"/>
            <w:gridSpan w:val="2"/>
            <w:tcBorders>
              <w:top w:val="double" w:color="auto" w:sz="4" w:space="0"/>
            </w:tcBorders>
            <w:vAlign w:val="center"/>
          </w:tcPr>
          <w:p w14:paraId="1DFD0AB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-74295</wp:posOffset>
                  </wp:positionV>
                  <wp:extent cx="698500" cy="354330"/>
                  <wp:effectExtent l="0" t="0" r="6350" b="7620"/>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698500" cy="35433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382270</wp:posOffset>
                  </wp:positionH>
                  <wp:positionV relativeFrom="paragraph">
                    <wp:posOffset>328295</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809625" cy="400050"/>
                          </a:xfrm>
                          <a:prstGeom prst="rect">
                            <a:avLst/>
                          </a:prstGeom>
                          <a:noFill/>
                          <a:ln>
                            <a:noFill/>
                          </a:ln>
                        </pic:spPr>
                      </pic:pic>
                    </a:graphicData>
                  </a:graphic>
                </wp:anchor>
              </w:drawing>
            </w:r>
            <w:r>
              <w:rPr>
                <w:rFonts w:hint="eastAsia"/>
                <w:sz w:val="21"/>
                <w:szCs w:val="21"/>
              </w:rPr>
              <w:t>（签名）</w:t>
            </w:r>
          </w:p>
        </w:tc>
        <w:tc>
          <w:tcPr>
            <w:tcW w:w="1470" w:type="dxa"/>
            <w:gridSpan w:val="2"/>
            <w:tcBorders>
              <w:top w:val="double" w:color="auto" w:sz="4" w:space="0"/>
            </w:tcBorders>
            <w:vAlign w:val="center"/>
          </w:tcPr>
          <w:p w14:paraId="416C6EA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863" w:type="dxa"/>
            <w:gridSpan w:val="2"/>
            <w:tcBorders>
              <w:top w:val="double" w:color="auto" w:sz="4" w:space="0"/>
              <w:right w:val="single" w:color="auto" w:sz="12" w:space="0"/>
            </w:tcBorders>
            <w:vAlign w:val="center"/>
          </w:tcPr>
          <w:p w14:paraId="2744C7AB">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2024年8月16日</w:t>
            </w:r>
          </w:p>
        </w:tc>
      </w:tr>
      <w:tr w14:paraId="5907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63EE92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252" w:type="dxa"/>
            <w:gridSpan w:val="2"/>
            <w:vAlign w:val="center"/>
          </w:tcPr>
          <w:p w14:paraId="41B5A21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70" w:type="dxa"/>
            <w:gridSpan w:val="2"/>
            <w:vAlign w:val="center"/>
          </w:tcPr>
          <w:p w14:paraId="7D642F2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863" w:type="dxa"/>
            <w:gridSpan w:val="2"/>
            <w:tcBorders>
              <w:right w:val="single" w:color="auto" w:sz="12" w:space="0"/>
            </w:tcBorders>
            <w:vAlign w:val="center"/>
          </w:tcPr>
          <w:p w14:paraId="29F6E24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2024年8月18日</w:t>
            </w:r>
          </w:p>
        </w:tc>
      </w:tr>
      <w:tr w14:paraId="3FB6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8A578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252" w:type="dxa"/>
            <w:gridSpan w:val="2"/>
            <w:tcBorders>
              <w:bottom w:val="single" w:color="auto" w:sz="12" w:space="0"/>
            </w:tcBorders>
            <w:vAlign w:val="center"/>
          </w:tcPr>
          <w:p w14:paraId="170DE19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70" w:type="dxa"/>
            <w:gridSpan w:val="2"/>
            <w:tcBorders>
              <w:bottom w:val="single" w:color="auto" w:sz="12" w:space="0"/>
            </w:tcBorders>
            <w:vAlign w:val="center"/>
          </w:tcPr>
          <w:p w14:paraId="5261F20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863" w:type="dxa"/>
            <w:gridSpan w:val="2"/>
            <w:tcBorders>
              <w:bottom w:val="single" w:color="auto" w:sz="12" w:space="0"/>
              <w:right w:val="single" w:color="auto" w:sz="12" w:space="0"/>
            </w:tcBorders>
            <w:vAlign w:val="center"/>
          </w:tcPr>
          <w:p w14:paraId="6C07DB50">
            <w:pPr>
              <w:widowControl w:val="0"/>
              <w:jc w:val="center"/>
              <w:rPr>
                <w:rFonts w:ascii="Times New Roman" w:hAnsi="Times New Roman"/>
                <w:color w:val="000000"/>
                <w:sz w:val="21"/>
                <w:szCs w:val="21"/>
              </w:rPr>
            </w:pPr>
          </w:p>
        </w:tc>
      </w:tr>
    </w:tbl>
    <w:p w14:paraId="11E3CD0B">
      <w:pPr>
        <w:spacing w:line="100" w:lineRule="exact"/>
        <w:rPr>
          <w:rFonts w:ascii="Arial" w:hAnsi="Arial" w:eastAsia="黑体"/>
        </w:rPr>
      </w:pPr>
      <w:r>
        <w:br w:type="page"/>
      </w:r>
    </w:p>
    <w:p w14:paraId="3332CA32">
      <w:pPr>
        <w:pStyle w:val="16"/>
        <w:spacing w:before="326" w:beforeLines="100" w:line="360" w:lineRule="auto"/>
        <w:rPr>
          <w:rFonts w:ascii="黑体" w:hAnsi="宋体"/>
        </w:rPr>
      </w:pPr>
      <w:r>
        <w:rPr>
          <w:rFonts w:hint="eastAsia" w:ascii="黑体" w:hAnsi="宋体"/>
        </w:rPr>
        <w:t>二、课程目标与毕业要求</w:t>
      </w:r>
    </w:p>
    <w:p w14:paraId="22CF2F2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3977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00138E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4DA5F8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2297C7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DBC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7CBCD0A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EFE9960">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1734E4BC">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掌握振动波动、光学和热学的基本概念、基本理论和基本方法。</w:t>
            </w:r>
          </w:p>
          <w:p w14:paraId="48F02DCF">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使学生对</w:t>
            </w:r>
            <w:r>
              <w:rPr>
                <w:rFonts w:hint="eastAsia" w:ascii="Times New Roman" w:hAnsi="Times New Roman" w:cs="Times New Roman"/>
                <w:bCs/>
                <w:color w:val="000000"/>
                <w:sz w:val="21"/>
                <w:szCs w:val="18"/>
                <w:lang w:val="en-US" w:eastAsia="zh-CN"/>
              </w:rPr>
              <w:t>振动</w:t>
            </w:r>
            <w:r>
              <w:rPr>
                <w:rFonts w:hint="default" w:ascii="Times New Roman" w:hAnsi="Times New Roman" w:cs="Times New Roman"/>
                <w:b w:val="0"/>
                <w:bCs/>
                <w:color w:val="000000"/>
                <w:sz w:val="21"/>
                <w:szCs w:val="18"/>
                <w:lang w:val="en-US" w:eastAsia="zh-CN"/>
              </w:rPr>
              <w:t>波动、光学和热学</w:t>
            </w:r>
            <w:r>
              <w:rPr>
                <w:rFonts w:hint="default" w:ascii="Times New Roman" w:hAnsi="Times New Roman" w:cs="Times New Roman"/>
                <w:bCs/>
                <w:color w:val="000000"/>
                <w:sz w:val="21"/>
                <w:szCs w:val="18"/>
                <w:lang w:val="en-US" w:eastAsia="zh-CN"/>
              </w:rPr>
              <w:t>的基本概念、基本原理和基本规律有较全面系统地认识，了解各种运动形式之间的联系以及物理学的近现代发展和成就。</w:t>
            </w:r>
          </w:p>
        </w:tc>
      </w:tr>
      <w:tr w14:paraId="2D45C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3CE577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A62ECD6">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19CFC86A">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489F8C6B">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01036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16428A9C">
            <w:pPr>
              <w:snapToGrid w:val="0"/>
              <w:jc w:val="center"/>
              <w:rPr>
                <w:rFonts w:hint="eastAsia" w:ascii="黑体" w:hAnsi="黑体" w:eastAsia="黑体"/>
                <w:bCs/>
                <w:color w:val="000000"/>
                <w:sz w:val="21"/>
                <w:szCs w:val="18"/>
              </w:rPr>
            </w:pPr>
          </w:p>
        </w:tc>
        <w:tc>
          <w:tcPr>
            <w:tcW w:w="782" w:type="dxa"/>
            <w:shd w:val="clear" w:color="auto" w:fill="auto"/>
            <w:vAlign w:val="center"/>
          </w:tcPr>
          <w:p w14:paraId="23A83A93">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44FA49A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3840B097">
            <w:pPr>
              <w:keepNext w:val="0"/>
              <w:keepLines w:val="0"/>
              <w:widowControl/>
              <w:suppressLineNumbers w:val="0"/>
              <w:jc w:val="left"/>
              <w:rPr>
                <w:rFonts w:hint="default" w:ascii="Times New Roman" w:hAnsi="Times New Roman" w:eastAsia="宋体"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694BB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14BF73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EE845E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C3623A8">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3CF2BE1E">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1DDDDEAC">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DD31BC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9DB21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25E806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0C0BD2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47D388">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772695E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C5EC4E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6108DAB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685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EB8461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295E29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A54279D">
            <w:pPr>
              <w:pStyle w:val="13"/>
              <w:rPr>
                <w:szCs w:val="16"/>
              </w:rPr>
            </w:pPr>
            <w:r>
              <w:rPr>
                <w:rFonts w:hint="eastAsia"/>
                <w:szCs w:val="16"/>
              </w:rPr>
              <w:t>支撑度</w:t>
            </w:r>
          </w:p>
        </w:tc>
        <w:tc>
          <w:tcPr>
            <w:tcW w:w="4763" w:type="dxa"/>
            <w:tcBorders>
              <w:top w:val="single" w:color="auto" w:sz="12" w:space="0"/>
            </w:tcBorders>
            <w:vAlign w:val="center"/>
          </w:tcPr>
          <w:p w14:paraId="0A9A13ED">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C7D4D3F">
            <w:pPr>
              <w:pStyle w:val="13"/>
              <w:rPr>
                <w:szCs w:val="16"/>
              </w:rPr>
            </w:pPr>
            <w:r>
              <w:rPr>
                <w:rFonts w:hint="eastAsia"/>
                <w:szCs w:val="16"/>
              </w:rPr>
              <w:t>对指标点的贡献度</w:t>
            </w:r>
          </w:p>
        </w:tc>
      </w:tr>
      <w:tr w14:paraId="3A03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24B3320B">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331114D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0D7365DA">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000A00B3">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14:paraId="42A9096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690F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54204E37">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5871F670">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06285230">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43813EFB">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w:t>
            </w:r>
            <w:r>
              <w:rPr>
                <w:rFonts w:hint="default" w:ascii="Times New Roman" w:hAnsi="Times New Roman" w:cs="Times New Roman"/>
                <w:b w:val="0"/>
                <w:bCs/>
                <w:color w:val="000000"/>
                <w:sz w:val="21"/>
                <w:szCs w:val="18"/>
                <w:lang w:val="en-US" w:eastAsia="zh-CN"/>
              </w:rPr>
              <w:t>振动波动、光学和热学</w:t>
            </w:r>
            <w:r>
              <w:rPr>
                <w:rFonts w:hint="default" w:ascii="Times New Roman" w:hAnsi="Times New Roman" w:cs="Times New Roman"/>
                <w:b w:val="0"/>
                <w:bCs/>
                <w:color w:val="000000"/>
                <w:sz w:val="21"/>
                <w:szCs w:val="21"/>
                <w:lang w:val="en-US" w:eastAsia="zh-CN"/>
              </w:rPr>
              <w:t>的基本概念、基本理论和基本方法。</w:t>
            </w:r>
          </w:p>
        </w:tc>
        <w:tc>
          <w:tcPr>
            <w:tcW w:w="1348" w:type="dxa"/>
            <w:tcBorders>
              <w:right w:val="single" w:color="auto" w:sz="12" w:space="0"/>
            </w:tcBorders>
            <w:vAlign w:val="center"/>
          </w:tcPr>
          <w:p w14:paraId="0403E2BF">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31F6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70679EDB">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02F4CFA1">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26375332">
            <w:pPr>
              <w:pStyle w:val="14"/>
              <w:rPr>
                <w:rFonts w:hint="default" w:ascii="Times New Roman" w:hAnsi="Times New Roman" w:cs="Times New Roman"/>
                <w:lang w:val="en-US" w:eastAsia="zh-CN"/>
              </w:rPr>
            </w:pPr>
          </w:p>
        </w:tc>
        <w:tc>
          <w:tcPr>
            <w:tcW w:w="4763" w:type="dxa"/>
            <w:vAlign w:val="center"/>
          </w:tcPr>
          <w:p w14:paraId="1B55D3D6">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14:paraId="7AC67712">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7A48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59373445">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0CDFA6E7">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01C9EC73">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14:paraId="058DF95E">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14:paraId="55E5125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76A2C6C2">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B16DB6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AA33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6DAF803">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0" w:name="OLE_LINK5"/>
            <w:bookmarkStart w:id="1" w:name="OLE_LINK6"/>
            <w:r>
              <w:rPr>
                <w:rFonts w:hint="default" w:ascii="Times New Roman" w:hAnsi="Times New Roman" w:eastAsia="宋体" w:cs="Times New Roman"/>
                <w:b/>
                <w:bCs/>
                <w:color w:val="000000"/>
                <w:kern w:val="0"/>
                <w:sz w:val="21"/>
                <w:szCs w:val="21"/>
                <w:lang w:val="en-US" w:eastAsia="zh-CN" w:bidi="ar"/>
              </w:rPr>
              <w:t>第一单元热学</w:t>
            </w:r>
          </w:p>
          <w:p w14:paraId="0B3E96B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第九章 气体动理论 (</w:t>
            </w:r>
            <w:r>
              <w:rPr>
                <w:rFonts w:hint="eastAsia" w:ascii="Times New Roman" w:hAnsi="Times New Roman"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val="en-US" w:eastAsia="zh-CN" w:bidi="ar"/>
              </w:rPr>
              <w:t xml:space="preserve"> 学时) </w:t>
            </w:r>
          </w:p>
          <w:p w14:paraId="60B28A2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C77DE9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9-1 状态参量 平衡态 准静态过程 </w:t>
            </w:r>
          </w:p>
          <w:p w14:paraId="0C3FA5C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9-2 理想气体的物态方程 </w:t>
            </w:r>
          </w:p>
          <w:p w14:paraId="74CA1F8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9-5 理想气体的压强 </w:t>
            </w:r>
          </w:p>
          <w:p w14:paraId="6C125E56">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9-6 温度的微观本质 </w:t>
            </w:r>
          </w:p>
          <w:p w14:paraId="2844F43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9-7 能量均分定理 理想气体的内能 </w:t>
            </w:r>
          </w:p>
          <w:p w14:paraId="3E79135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5A2E993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1、物态参量、平衡态：了解气体准静态过程的概念；了解气体的物态参量，理解平衡态的概念。 </w:t>
            </w:r>
          </w:p>
          <w:p w14:paraId="1AD1464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2、掌握理想气体物态方程。 </w:t>
            </w:r>
          </w:p>
          <w:p w14:paraId="52466E8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3、.理想气体的压强公式、温度公式及其统计解释：了解理想气体压强公式的微观本质；了解理想气体温度的微观解释；从宏观和统计意义上理解压强、温度等概念。 </w:t>
            </w:r>
          </w:p>
          <w:p w14:paraId="5F808CF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能量均分定理、理想气体的内能：了解自由度的概念；通过理想气体的刚性分子模型，理解气体分子平均能量按自由度均分定理；熟练掌握理想气体内能公式。 </w:t>
            </w:r>
          </w:p>
          <w:p w14:paraId="31BB4E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2955B70C">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通过了解物理学家葛正权的人生经历，让学生认识到学以致用，精忠报国，是每一个公民的责任。培养学生们逐渐建立兢兢业业、艰苦朴素、不畏强权、甘愿与人民共疾苦的奋斗精神。</w:t>
            </w:r>
          </w:p>
          <w:p w14:paraId="79FFA22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第十章 热力学基础（</w:t>
            </w:r>
            <w:r>
              <w:rPr>
                <w:rFonts w:hint="eastAsia" w:ascii="Times New Roman" w:hAnsi="Times New Roman" w:cs="Times New Roman"/>
                <w:b/>
                <w:bCs/>
                <w:color w:val="000000"/>
                <w:kern w:val="0"/>
                <w:sz w:val="21"/>
                <w:szCs w:val="21"/>
                <w:lang w:val="en-US" w:eastAsia="zh-CN" w:bidi="ar"/>
              </w:rPr>
              <w:t>8</w:t>
            </w:r>
            <w:r>
              <w:rPr>
                <w:rFonts w:hint="default" w:ascii="Times New Roman" w:hAnsi="Times New Roman" w:eastAsia="宋体" w:cs="Times New Roman"/>
                <w:b/>
                <w:bCs/>
                <w:color w:val="000000"/>
                <w:kern w:val="0"/>
                <w:sz w:val="21"/>
                <w:szCs w:val="21"/>
                <w:lang w:val="en-US" w:eastAsia="zh-CN" w:bidi="ar"/>
              </w:rPr>
              <w:t xml:space="preserve">学时) </w:t>
            </w:r>
          </w:p>
          <w:p w14:paraId="4D99C17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715ADA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10-1 热力学第一定律 </w:t>
            </w:r>
          </w:p>
          <w:p w14:paraId="5854DA7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10-2 热力学第一定律的应用 </w:t>
            </w:r>
          </w:p>
          <w:p w14:paraId="79E269F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10-3 理想气体的绝热过程 </w:t>
            </w:r>
          </w:p>
          <w:p w14:paraId="272E3AE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10-4 循环过程和卡诺循环 </w:t>
            </w:r>
          </w:p>
          <w:p w14:paraId="433F6EA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31E9A7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1、系统的内能、功和热量，气体的摩尔热容量：掌握内能、功、热量的概念；掌握理想气体摩尔热容的表示及意义。 </w:t>
            </w:r>
          </w:p>
          <w:p w14:paraId="492FA39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热力学第一定律及其对理想气体等体、等压、等温及绝热过程的应用：理解热力学第一定律及其意义；熟练应用热力学第一定律求解理想气体等体、等压、等温过程中的功、热量和内能的改变；熟练应用热力学第一定律和绝热方程求解理想气体绝热过程中功、内能的改变。 </w:t>
            </w:r>
          </w:p>
          <w:p w14:paraId="2C10C64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循环过程、卡诺循环、热机的效率（由等体、等压、等温及绝热过程组成的正循环）：掌握循环过程中能量转换关系，掌握卡诺循环效率的计算；熟练掌握热机的效率（由等体、等压、等温及绝热过程组成的正循环）的计算方法。 </w:t>
            </w:r>
          </w:p>
          <w:p w14:paraId="5795729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0557C34">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热力学基础主要是培养学生理解第一次技术革命的历史意义，让学生能够认识和理解自己祖国的能源历史、能源文化、国情等，逐渐积淀成主人翁责任感、自豪感和归属感，有效引导学生树立正确的国家观、社会观和世界观。注重科学思维方法的训练和科学伦理的教育，培养学生探索未知、追求真理、勇攀科学高峰的责任感和使命感。 </w:t>
            </w:r>
          </w:p>
          <w:p w14:paraId="2185BE3B">
            <w:pPr>
              <w:keepNext w:val="0"/>
              <w:keepLines w:val="0"/>
              <w:widowControl/>
              <w:suppressLineNumbers w:val="0"/>
              <w:jc w:val="left"/>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教学重点、难点：</w:t>
            </w:r>
          </w:p>
          <w:p w14:paraId="14C804C7">
            <w:pPr>
              <w:keepNext w:val="0"/>
              <w:keepLines w:val="0"/>
              <w:widowControl/>
              <w:numPr>
                <w:ilvl w:val="0"/>
                <w:numId w:val="0"/>
              </w:numPr>
              <w:suppressLineNumbers w:val="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热力学第一定律及其对理想气体等体、等压、等温及绝热过程的应用</w:t>
            </w:r>
            <w:r>
              <w:rPr>
                <w:rFonts w:hint="eastAsia" w:ascii="Times New Roman" w:hAnsi="Times New Roman" w:cs="Times New Roman"/>
                <w:color w:val="000000"/>
                <w:kern w:val="0"/>
                <w:sz w:val="21"/>
                <w:szCs w:val="21"/>
                <w:lang w:val="en-US" w:eastAsia="zh-CN" w:bidi="ar"/>
              </w:rPr>
              <w:t>。</w:t>
            </w:r>
          </w:p>
          <w:p w14:paraId="63A0A2AC">
            <w:pPr>
              <w:keepNext w:val="0"/>
              <w:keepLines w:val="0"/>
              <w:widowControl/>
              <w:numPr>
                <w:ilvl w:val="0"/>
                <w:numId w:val="0"/>
              </w:numPr>
              <w:suppressLineNumbers w:val="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循环过程、卡诺循环、热机的效率</w:t>
            </w:r>
            <w:r>
              <w:rPr>
                <w:rFonts w:hint="eastAsia" w:ascii="Times New Roman" w:hAnsi="Times New Roman" w:cs="Times New Roman"/>
                <w:color w:val="000000"/>
                <w:kern w:val="0"/>
                <w:sz w:val="21"/>
                <w:szCs w:val="21"/>
                <w:lang w:val="en-US" w:eastAsia="zh-CN" w:bidi="ar"/>
              </w:rPr>
              <w:t>。</w:t>
            </w:r>
          </w:p>
          <w:p w14:paraId="5241CF2B">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第二单元振动、波动、光学</w:t>
            </w:r>
          </w:p>
          <w:p w14:paraId="5D399D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第十一章：振动学基础（</w:t>
            </w:r>
            <w:r>
              <w:rPr>
                <w:rFonts w:hint="eastAsia" w:ascii="Times New Roman" w:hAnsi="Times New Roman"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val="en-US" w:eastAsia="zh-CN" w:bidi="ar"/>
              </w:rPr>
              <w:t xml:space="preserve">学时) </w:t>
            </w:r>
          </w:p>
          <w:p w14:paraId="2A1F94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1ACE376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11-1 简谐振动的描述 </w:t>
            </w:r>
          </w:p>
          <w:p w14:paraId="37CA10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11-2 简谐振动的动力学特征 </w:t>
            </w:r>
          </w:p>
          <w:p w14:paraId="2781827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11-3 简谐振动的合成 </w:t>
            </w:r>
          </w:p>
          <w:p w14:paraId="706352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C42AC0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1、掌握简谐振动的基本特征，理解描述简谐振动的各物理量的意义及其相互联系。 </w:t>
            </w:r>
          </w:p>
          <w:p w14:paraId="7BED6D7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 能熟练运用图线法以及旋转矢量法写出简谐振动的表达式。 </w:t>
            </w:r>
          </w:p>
          <w:p w14:paraId="49330E5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3、理解同方向、同频率的两个简谐振动的合成规律；熟练计算同方向、同频率的两个简谐振动合成后的振幅和初相位，正确写出合成后的简谐振动方程。 </w:t>
            </w:r>
          </w:p>
          <w:p w14:paraId="3F65379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E081E6F">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通过弹簧振子模型的学习，培养学生由简入繁地处理实际问题的科学思维方法；结合胡克定律，介绍我国东汉的经学家郑玄在力与形变成正比关系上的贡献，增强学生的民族自豪感和文化自信。 </w:t>
            </w:r>
          </w:p>
          <w:p w14:paraId="647D65C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第十二章 波动学基础 (6 学时) </w:t>
            </w:r>
          </w:p>
          <w:p w14:paraId="4EDDE45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0E7110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12-1 机械波的产生和传播 </w:t>
            </w:r>
          </w:p>
          <w:p w14:paraId="5C2BD17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12-2 平面简谐波的波函数 </w:t>
            </w:r>
          </w:p>
          <w:p w14:paraId="432D001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12-</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 xml:space="preserve"> 惠更斯原理 </w:t>
            </w:r>
          </w:p>
          <w:p w14:paraId="606F1FB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12-</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 波的叠加原理 波的干涉</w:t>
            </w:r>
          </w:p>
          <w:p w14:paraId="5121561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5D5EB7C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1、机械波的产生和传播、波速、波长和频率的关系：理解机械波产生的条件和波的传播机理；掌握描述简谐波的各物理量（特别是相位）及各量间的基本关系；理解决定波速的因素及波速与振动速度的区别。 </w:t>
            </w:r>
          </w:p>
          <w:p w14:paraId="71245BF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 平面简谐波的波函数：深刻理解平面简谐波波函数的物理意义以及各物理量的相互联系；熟练掌握由已知质点的简谐振动方程得出平面简谐波的波函数的基本方法及由波形图线求得波函数的方法；熟练掌握平面简谐波波函数与简谐振动方程的相互换算方法。 </w:t>
            </w:r>
          </w:p>
          <w:p w14:paraId="5AAB2A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 波的叠加原理、波的干涉：了解波的叠加原理；理解波的干涉现象、波的相干条件；熟练应用相位差和波程差分析、确定相干波叠加后振幅加强和减弱的条件。 </w:t>
            </w:r>
          </w:p>
          <w:p w14:paraId="4E4FF76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DD2C94A">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从最为人们所熟知的机械波出发，逐渐引入电磁波、物质波、引力波的概念，引导学生了解科学发展的历史与规律，思考发现、解决问题的方法与范式，培养其唯物主义思想与严谨的逻辑及开放的思想。以波的干涉、衍射为例，引导学生自主思考其在实际工程中的可能应用。</w:t>
            </w:r>
          </w:p>
          <w:p w14:paraId="0FE44E4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第十三章 光学 (1</w:t>
            </w:r>
            <w:r>
              <w:rPr>
                <w:rFonts w:hint="eastAsia" w:ascii="Times New Roman" w:hAnsi="Times New Roman" w:cs="Times New Roman"/>
                <w:b/>
                <w:bCs/>
                <w:color w:val="000000"/>
                <w:kern w:val="0"/>
                <w:sz w:val="21"/>
                <w:szCs w:val="21"/>
                <w:lang w:val="en-US" w:eastAsia="zh-CN" w:bidi="ar"/>
              </w:rPr>
              <w:t>0</w:t>
            </w:r>
            <w:r>
              <w:rPr>
                <w:rFonts w:hint="default" w:ascii="Times New Roman" w:hAnsi="Times New Roman" w:eastAsia="宋体" w:cs="Times New Roman"/>
                <w:b/>
                <w:bCs/>
                <w:color w:val="000000"/>
                <w:kern w:val="0"/>
                <w:sz w:val="21"/>
                <w:szCs w:val="21"/>
                <w:lang w:val="en-US" w:eastAsia="zh-CN" w:bidi="ar"/>
              </w:rPr>
              <w:t xml:space="preserve">学时） </w:t>
            </w:r>
          </w:p>
          <w:p w14:paraId="405BFA1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章节内容要点：</w:t>
            </w:r>
            <w:r>
              <w:rPr>
                <w:rFonts w:hint="default" w:ascii="Times New Roman" w:hAnsi="Times New Roman" w:eastAsia="宋体" w:cs="Times New Roman"/>
                <w:color w:val="000000"/>
                <w:kern w:val="0"/>
                <w:sz w:val="21"/>
                <w:szCs w:val="21"/>
                <w:lang w:val="en-US" w:eastAsia="zh-CN" w:bidi="ar"/>
              </w:rPr>
              <w:t xml:space="preserve"> </w:t>
            </w:r>
          </w:p>
          <w:p w14:paraId="3CFCCD55">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13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 光的相干性 </w:t>
            </w:r>
          </w:p>
          <w:p w14:paraId="38CC2370">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 双缝干涉 </w:t>
            </w:r>
          </w:p>
          <w:p w14:paraId="7762C7E8">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 xml:space="preserve"> 薄膜干涉</w:t>
            </w:r>
          </w:p>
          <w:p w14:paraId="23208214">
            <w:pPr>
              <w:keepNext w:val="0"/>
              <w:keepLines w:val="0"/>
              <w:widowControl/>
              <w:suppressLineNumbers w:val="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13-4 单缝衍射</w:t>
            </w:r>
          </w:p>
          <w:p w14:paraId="2D9C355C">
            <w:pPr>
              <w:keepNext w:val="0"/>
              <w:keepLines w:val="0"/>
              <w:widowControl/>
              <w:suppressLineNumbers w:val="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13-5 光栅衍射</w:t>
            </w:r>
          </w:p>
          <w:p w14:paraId="75ED55BB">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b/>
                <w:bCs/>
                <w:color w:val="000000"/>
                <w:kern w:val="0"/>
                <w:sz w:val="21"/>
                <w:szCs w:val="21"/>
                <w:lang w:val="en-US" w:eastAsia="zh-CN" w:bidi="ar"/>
              </w:rPr>
              <w:t>预期学习成果</w:t>
            </w:r>
            <w:r>
              <w:rPr>
                <w:rFonts w:hint="default" w:ascii="Times New Roman" w:hAnsi="Times New Roman" w:eastAsia="宋体" w:cs="Times New Roman"/>
                <w:b/>
                <w:bCs/>
                <w:color w:val="000000"/>
                <w:kern w:val="0"/>
                <w:sz w:val="21"/>
                <w:szCs w:val="21"/>
                <w:lang w:val="en-US" w:eastAsia="zh-CN" w:bidi="ar"/>
              </w:rPr>
              <w:t xml:space="preserve">： </w:t>
            </w:r>
          </w:p>
          <w:p w14:paraId="4DE4AD85">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1、光的干涉现象、光程和光程差、半波损失：理解光的相干条件及获得相 </w:t>
            </w:r>
          </w:p>
          <w:p w14:paraId="5EF69625">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干光的方法；熟练掌握光程、光程差以及光程差和相位差关系的计算</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熟练掌握半波损失的产生条件。 </w:t>
            </w:r>
          </w:p>
          <w:p w14:paraId="063FE2A0">
            <w:pPr>
              <w:keepNext w:val="0"/>
              <w:keepLines w:val="0"/>
              <w:widowControl/>
              <w:numPr>
                <w:ilvl w:val="0"/>
                <w:numId w:val="1"/>
              </w:numPr>
              <w:suppressLineNumbers w:val="0"/>
              <w:jc w:val="left"/>
              <w:rPr>
                <w:rFonts w:hint="default"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双缝干涉、薄膜干涉：能熟练分析、确定杨氏双缝干涉明、暗条纹的位置</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计算薄膜上、下表面反射光线的光程差，理解增透膜和增反膜</w:t>
            </w:r>
            <w:r>
              <w:rPr>
                <w:rFonts w:hint="default" w:ascii="Times New Roman" w:hAnsi="Times New Roman" w:cs="Times New Roman"/>
                <w:color w:val="000000"/>
                <w:kern w:val="0"/>
                <w:sz w:val="21"/>
                <w:szCs w:val="21"/>
                <w:lang w:val="en-US" w:eastAsia="zh-CN" w:bidi="ar"/>
              </w:rPr>
              <w:t>。</w:t>
            </w:r>
          </w:p>
          <w:p w14:paraId="25C3219A">
            <w:pPr>
              <w:keepNext w:val="0"/>
              <w:keepLines w:val="0"/>
              <w:widowControl/>
              <w:numPr>
                <w:ilvl w:val="0"/>
                <w:numId w:val="1"/>
              </w:numPr>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惠更斯-菲涅耳原理及其对光衍射现象的定性解释。单缝夫琅禾费衍射的半波带法和衍射公式，明、暗条纹的分布特点。光栅衍射条纹的成因和特点，光栅公式，确定谱线位置的方法。</w:t>
            </w:r>
            <w:r>
              <w:rPr>
                <w:rFonts w:hint="default" w:ascii="Times New Roman" w:hAnsi="Times New Roman" w:eastAsia="宋体" w:cs="Times New Roman"/>
                <w:color w:val="000000"/>
                <w:kern w:val="0"/>
                <w:sz w:val="21"/>
                <w:szCs w:val="21"/>
                <w:lang w:val="en-US" w:eastAsia="zh-CN" w:bidi="ar"/>
              </w:rPr>
              <w:t xml:space="preserve"> </w:t>
            </w:r>
          </w:p>
          <w:p w14:paraId="0267ACB4">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4FCB8DCF">
            <w:pPr>
              <w:keepNext w:val="0"/>
              <w:keepLines w:val="0"/>
              <w:widowControl/>
              <w:suppressLineNumbers w:val="0"/>
              <w:ind w:firstLine="420" w:firstLineChars="200"/>
              <w:jc w:val="left"/>
              <w:rPr>
                <w:rFonts w:hint="default"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主要是围绕光学中的波动光学的学习，让学生认识到光具有波粒二重性。让学生体会到事物的双重特性，在不同的层面下表现出不同的性质。通过波动光学的学习，让学生认识到光是一把尺子可以测量微小的东西，测量的精度通常由光的波长决定。通过系统的学习，让学生认识到我国重大科研计划例如“天眼”设计建造的必要性，增加学生对国家的自豪感和归属感</w:t>
            </w:r>
            <w:r>
              <w:rPr>
                <w:rFonts w:hint="default" w:ascii="Times New Roman" w:hAnsi="Times New Roman" w:cs="Times New Roman"/>
                <w:color w:val="000000"/>
                <w:kern w:val="0"/>
                <w:sz w:val="21"/>
                <w:szCs w:val="21"/>
                <w:lang w:val="en-US" w:eastAsia="zh-CN" w:bidi="ar"/>
              </w:rPr>
              <w:t>。</w:t>
            </w:r>
          </w:p>
          <w:p w14:paraId="464AC72F">
            <w:pPr>
              <w:keepNext w:val="0"/>
              <w:keepLines w:val="0"/>
              <w:widowControl/>
              <w:suppressLineNumbers w:val="0"/>
              <w:jc w:val="left"/>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教学重点、难点：</w:t>
            </w:r>
          </w:p>
          <w:p w14:paraId="69973BB9">
            <w:pPr>
              <w:keepNext w:val="0"/>
              <w:keepLines w:val="0"/>
              <w:widowControl/>
              <w:numPr>
                <w:ilvl w:val="0"/>
                <w:numId w:val="0"/>
              </w:numPr>
              <w:suppressLineNumbers w:val="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1、振动和波动方程。</w:t>
            </w:r>
          </w:p>
          <w:p w14:paraId="2E56DB99">
            <w:pPr>
              <w:keepNext w:val="0"/>
              <w:keepLines w:val="0"/>
              <w:widowControl/>
              <w:numPr>
                <w:ilvl w:val="0"/>
                <w:numId w:val="0"/>
              </w:numPr>
              <w:suppressLineNumbers w:val="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2、光程和光程差，光的干涉、衍射中明暗条纹的确定。</w:t>
            </w:r>
            <w:bookmarkStart w:id="6" w:name="_GoBack"/>
            <w:bookmarkEnd w:id="6"/>
          </w:p>
        </w:tc>
      </w:tr>
      <w:bookmarkEnd w:id="0"/>
      <w:bookmarkEnd w:id="1"/>
    </w:tbl>
    <w:p w14:paraId="2F6C71D6">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73D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7B3E419">
            <w:pPr>
              <w:pStyle w:val="13"/>
              <w:ind w:firstLine="489"/>
              <w:jc w:val="right"/>
              <w:rPr>
                <w:szCs w:val="16"/>
              </w:rPr>
            </w:pPr>
            <w:r>
              <w:rPr>
                <w:rFonts w:hint="eastAsia"/>
                <w:szCs w:val="16"/>
              </w:rPr>
              <w:t>课程目标</w:t>
            </w:r>
          </w:p>
          <w:p w14:paraId="3AC7F4A3">
            <w:pPr>
              <w:pStyle w:val="13"/>
              <w:ind w:right="210"/>
              <w:jc w:val="left"/>
              <w:rPr>
                <w:rFonts w:hint="eastAsia"/>
                <w:szCs w:val="16"/>
              </w:rPr>
            </w:pPr>
          </w:p>
          <w:p w14:paraId="0E825AAE">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50F48FC">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2B8A47D">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472F87C7">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225FF6FD">
            <w:pPr>
              <w:pStyle w:val="13"/>
              <w:rPr>
                <w:rFonts w:hint="default"/>
                <w:szCs w:val="16"/>
                <w:lang w:val="en-US" w:eastAsia="zh-CN"/>
              </w:rPr>
            </w:pPr>
            <w:r>
              <w:rPr>
                <w:rFonts w:hint="eastAsia"/>
                <w:szCs w:val="16"/>
                <w:lang w:val="en-US" w:eastAsia="zh-CN"/>
              </w:rPr>
              <w:t>4</w:t>
            </w:r>
          </w:p>
        </w:tc>
      </w:tr>
      <w:tr w14:paraId="1BFD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CD0BF4F">
            <w:pPr>
              <w:pStyle w:val="14"/>
              <w:rPr>
                <w:rFonts w:hint="eastAsia" w:eastAsia="宋体"/>
                <w:lang w:eastAsia="zh-CN"/>
              </w:rPr>
            </w:pPr>
            <w:r>
              <w:rPr>
                <w:rFonts w:hint="eastAsia"/>
                <w:lang w:eastAsia="zh-CN"/>
              </w:rPr>
              <w:t>热学</w:t>
            </w:r>
          </w:p>
        </w:tc>
        <w:tc>
          <w:tcPr>
            <w:tcW w:w="1100" w:type="dxa"/>
            <w:vAlign w:val="center"/>
          </w:tcPr>
          <w:p w14:paraId="3336F239">
            <w:pPr>
              <w:pStyle w:val="14"/>
            </w:pPr>
            <w:r>
              <w:rPr>
                <w:rFonts w:hint="default" w:ascii="Arial" w:hAnsi="Arial" w:cs="Arial"/>
              </w:rPr>
              <w:t>√</w:t>
            </w:r>
          </w:p>
        </w:tc>
        <w:tc>
          <w:tcPr>
            <w:tcW w:w="1100" w:type="dxa"/>
            <w:vAlign w:val="center"/>
          </w:tcPr>
          <w:p w14:paraId="0F3AEA0E">
            <w:pPr>
              <w:pStyle w:val="14"/>
            </w:pPr>
            <w:r>
              <w:rPr>
                <w:rFonts w:hint="default" w:ascii="Arial" w:hAnsi="Arial" w:cs="Arial"/>
              </w:rPr>
              <w:t>√</w:t>
            </w:r>
          </w:p>
        </w:tc>
        <w:tc>
          <w:tcPr>
            <w:tcW w:w="1100" w:type="dxa"/>
            <w:vAlign w:val="center"/>
          </w:tcPr>
          <w:p w14:paraId="1077E11E">
            <w:pPr>
              <w:pStyle w:val="14"/>
            </w:pPr>
            <w:r>
              <w:rPr>
                <w:rFonts w:hint="default" w:ascii="Arial" w:hAnsi="Arial" w:cs="Arial"/>
              </w:rPr>
              <w:t>√</w:t>
            </w:r>
          </w:p>
        </w:tc>
        <w:tc>
          <w:tcPr>
            <w:tcW w:w="1100" w:type="dxa"/>
            <w:vAlign w:val="center"/>
          </w:tcPr>
          <w:p w14:paraId="1512051B">
            <w:pPr>
              <w:pStyle w:val="14"/>
              <w:rPr>
                <w:rFonts w:hint="default" w:ascii="Arial" w:hAnsi="Arial" w:cs="Arial"/>
              </w:rPr>
            </w:pPr>
            <w:r>
              <w:rPr>
                <w:rFonts w:hint="default" w:ascii="Arial" w:hAnsi="Arial" w:cs="Arial"/>
              </w:rPr>
              <w:t>√</w:t>
            </w:r>
          </w:p>
        </w:tc>
      </w:tr>
      <w:tr w14:paraId="6B87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8259AC9">
            <w:pPr>
              <w:pStyle w:val="14"/>
              <w:rPr>
                <w:rFonts w:hint="eastAsia" w:eastAsia="宋体"/>
                <w:lang w:eastAsia="zh-CN"/>
              </w:rPr>
            </w:pPr>
            <w:r>
              <w:rPr>
                <w:rFonts w:hint="eastAsia"/>
                <w:lang w:eastAsia="zh-CN"/>
              </w:rPr>
              <w:t>振动、波动、光学</w:t>
            </w:r>
          </w:p>
        </w:tc>
        <w:tc>
          <w:tcPr>
            <w:tcW w:w="1100" w:type="dxa"/>
            <w:vAlign w:val="center"/>
          </w:tcPr>
          <w:p w14:paraId="0D5D0F1E">
            <w:pPr>
              <w:pStyle w:val="14"/>
            </w:pPr>
            <w:r>
              <w:rPr>
                <w:rFonts w:hint="default" w:ascii="Arial" w:hAnsi="Arial" w:cs="Arial"/>
              </w:rPr>
              <w:t>√</w:t>
            </w:r>
          </w:p>
        </w:tc>
        <w:tc>
          <w:tcPr>
            <w:tcW w:w="1100" w:type="dxa"/>
            <w:vAlign w:val="center"/>
          </w:tcPr>
          <w:p w14:paraId="728D1EBD">
            <w:pPr>
              <w:pStyle w:val="14"/>
            </w:pPr>
            <w:r>
              <w:rPr>
                <w:rFonts w:hint="default" w:ascii="Arial" w:hAnsi="Arial" w:cs="Arial"/>
              </w:rPr>
              <w:t>√</w:t>
            </w:r>
          </w:p>
        </w:tc>
        <w:tc>
          <w:tcPr>
            <w:tcW w:w="1100" w:type="dxa"/>
            <w:vAlign w:val="center"/>
          </w:tcPr>
          <w:p w14:paraId="5AFA9BFD">
            <w:pPr>
              <w:pStyle w:val="14"/>
            </w:pPr>
            <w:r>
              <w:rPr>
                <w:rFonts w:hint="default" w:ascii="Arial" w:hAnsi="Arial" w:cs="Arial"/>
              </w:rPr>
              <w:t>√</w:t>
            </w:r>
          </w:p>
        </w:tc>
        <w:tc>
          <w:tcPr>
            <w:tcW w:w="1100" w:type="dxa"/>
            <w:vAlign w:val="center"/>
          </w:tcPr>
          <w:p w14:paraId="39673A4B">
            <w:pPr>
              <w:pStyle w:val="14"/>
              <w:rPr>
                <w:rFonts w:hint="default" w:ascii="Arial" w:hAnsi="Arial" w:cs="Arial"/>
              </w:rPr>
            </w:pPr>
            <w:r>
              <w:rPr>
                <w:rFonts w:hint="default" w:ascii="Arial" w:hAnsi="Arial" w:cs="Arial"/>
              </w:rPr>
              <w:t>√</w:t>
            </w:r>
          </w:p>
        </w:tc>
      </w:tr>
    </w:tbl>
    <w:p w14:paraId="4753487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283"/>
        <w:gridCol w:w="3765"/>
        <w:gridCol w:w="1317"/>
        <w:gridCol w:w="725"/>
        <w:gridCol w:w="669"/>
        <w:gridCol w:w="717"/>
      </w:tblGrid>
      <w:tr w14:paraId="214A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283" w:type="dxa"/>
            <w:vMerge w:val="restart"/>
            <w:tcBorders>
              <w:top w:val="single" w:color="auto" w:sz="12" w:space="0"/>
              <w:left w:val="single" w:color="auto" w:sz="12" w:space="0"/>
            </w:tcBorders>
            <w:vAlign w:val="center"/>
          </w:tcPr>
          <w:p w14:paraId="2780E22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765" w:type="dxa"/>
            <w:vMerge w:val="restart"/>
            <w:tcBorders>
              <w:top w:val="single" w:color="auto" w:sz="12" w:space="0"/>
            </w:tcBorders>
            <w:vAlign w:val="center"/>
          </w:tcPr>
          <w:p w14:paraId="5ED4500F">
            <w:pPr>
              <w:pStyle w:val="13"/>
              <w:widowControl w:val="0"/>
              <w:rPr>
                <w:szCs w:val="21"/>
              </w:rPr>
            </w:pPr>
            <w:r>
              <w:rPr>
                <w:rFonts w:hint="eastAsia" w:ascii="黑体" w:hAnsi="黑体"/>
                <w:szCs w:val="21"/>
              </w:rPr>
              <w:t>教与学方式</w:t>
            </w:r>
          </w:p>
        </w:tc>
        <w:tc>
          <w:tcPr>
            <w:tcW w:w="1317" w:type="dxa"/>
            <w:vMerge w:val="restart"/>
            <w:tcBorders>
              <w:top w:val="single" w:color="auto" w:sz="12" w:space="0"/>
            </w:tcBorders>
            <w:vAlign w:val="center"/>
          </w:tcPr>
          <w:p w14:paraId="065CB65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1C8323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1A8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283" w:type="dxa"/>
            <w:vMerge w:val="continue"/>
            <w:tcBorders>
              <w:left w:val="single" w:color="auto" w:sz="12" w:space="0"/>
            </w:tcBorders>
          </w:tcPr>
          <w:p w14:paraId="4FFB229E">
            <w:pPr>
              <w:widowControl w:val="0"/>
              <w:snapToGrid w:val="0"/>
              <w:jc w:val="center"/>
              <w:rPr>
                <w:rFonts w:ascii="黑体" w:hAnsi="黑体" w:eastAsia="黑体"/>
                <w:bCs/>
                <w:sz w:val="21"/>
                <w:szCs w:val="21"/>
              </w:rPr>
            </w:pPr>
          </w:p>
        </w:tc>
        <w:tc>
          <w:tcPr>
            <w:tcW w:w="3765" w:type="dxa"/>
            <w:vMerge w:val="continue"/>
          </w:tcPr>
          <w:p w14:paraId="4E58DB9F">
            <w:pPr>
              <w:widowControl w:val="0"/>
              <w:snapToGrid w:val="0"/>
              <w:jc w:val="center"/>
              <w:rPr>
                <w:rFonts w:ascii="黑体" w:hAnsi="黑体" w:eastAsia="黑体"/>
                <w:bCs/>
                <w:sz w:val="21"/>
                <w:szCs w:val="21"/>
              </w:rPr>
            </w:pPr>
          </w:p>
        </w:tc>
        <w:tc>
          <w:tcPr>
            <w:tcW w:w="1317" w:type="dxa"/>
            <w:vMerge w:val="continue"/>
          </w:tcPr>
          <w:p w14:paraId="0A2BC691">
            <w:pPr>
              <w:widowControl w:val="0"/>
              <w:snapToGrid w:val="0"/>
              <w:jc w:val="center"/>
              <w:rPr>
                <w:rFonts w:ascii="黑体" w:hAnsi="黑体" w:eastAsia="黑体"/>
                <w:bCs/>
                <w:sz w:val="21"/>
                <w:szCs w:val="21"/>
              </w:rPr>
            </w:pPr>
          </w:p>
        </w:tc>
        <w:tc>
          <w:tcPr>
            <w:tcW w:w="725" w:type="dxa"/>
            <w:vAlign w:val="center"/>
          </w:tcPr>
          <w:p w14:paraId="162B69A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090954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774DCC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5BA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14" w:hRule="atLeast"/>
          <w:jc w:val="center"/>
        </w:trPr>
        <w:tc>
          <w:tcPr>
            <w:tcW w:w="1283" w:type="dxa"/>
            <w:tcBorders>
              <w:left w:val="single" w:color="auto" w:sz="12" w:space="0"/>
            </w:tcBorders>
            <w:vAlign w:val="center"/>
          </w:tcPr>
          <w:p w14:paraId="5302F51F">
            <w:pPr>
              <w:widowControl w:val="0"/>
              <w:snapToGrid w:val="0"/>
              <w:jc w:val="left"/>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热学</w:t>
            </w:r>
          </w:p>
        </w:tc>
        <w:tc>
          <w:tcPr>
            <w:tcW w:w="3765" w:type="dxa"/>
            <w:vMerge w:val="restart"/>
            <w:vAlign w:val="center"/>
          </w:tcPr>
          <w:p w14:paraId="4422AA9E">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07426CC3">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3E1A689C">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7E66D8FB">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4、同伴教学法：利用一些引导学生深入探究的概念测试题等，引导学生参与教 学过程，变传统单一的讲授为基于剖析概念的自主学习和合作探究。 </w:t>
            </w:r>
          </w:p>
          <w:p w14:paraId="3E255F3E">
            <w:pPr>
              <w:keepNext w:val="0"/>
              <w:keepLines w:val="0"/>
              <w:widowControl/>
              <w:suppressLineNumbers w:val="0"/>
              <w:jc w:val="left"/>
              <w:rPr>
                <w:rFonts w:hint="default" w:ascii="Times New Roman" w:hAnsi="Times New Roman" w:cs="Times New Roman"/>
                <w:bCs/>
                <w:sz w:val="21"/>
                <w:szCs w:val="21"/>
              </w:rPr>
            </w:pPr>
            <w:r>
              <w:rPr>
                <w:rFonts w:hint="default" w:ascii="Times New Roman" w:hAnsi="Times New Roman" w:eastAsia="宋体" w:cs="Times New Roman"/>
                <w:color w:val="000000"/>
                <w:kern w:val="0"/>
                <w:sz w:val="21"/>
                <w:szCs w:val="21"/>
                <w:lang w:val="en-US" w:eastAsia="zh-CN" w:bidi="ar"/>
              </w:rPr>
              <w:t>5、练习法：通过大量的例题讲解和课后习题的练习，使学生对教学大纲要求的 知识点快速掌握，同时掌握应用物理概念和基本定理解题的技巧。</w:t>
            </w:r>
          </w:p>
        </w:tc>
        <w:tc>
          <w:tcPr>
            <w:tcW w:w="1317" w:type="dxa"/>
            <w:vMerge w:val="restart"/>
            <w:vAlign w:val="center"/>
          </w:tcPr>
          <w:p w14:paraId="3DB31FC4">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期末考试</w:t>
            </w:r>
          </w:p>
          <w:p w14:paraId="5FE48C39">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作业习题</w:t>
            </w:r>
          </w:p>
          <w:p w14:paraId="728D6EC1">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课堂表现</w:t>
            </w:r>
          </w:p>
          <w:p w14:paraId="5903F779">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调查报告</w:t>
            </w:r>
          </w:p>
          <w:p w14:paraId="04A0604D">
            <w:pPr>
              <w:widowControl w:val="0"/>
              <w:snapToGrid w:val="0"/>
              <w:jc w:val="left"/>
              <w:rPr>
                <w:rFonts w:hint="default" w:ascii="Times New Roman" w:hAnsi="Times New Roman" w:cs="Times New Roman"/>
                <w:bCs/>
                <w:sz w:val="21"/>
                <w:szCs w:val="21"/>
              </w:rPr>
            </w:pPr>
          </w:p>
        </w:tc>
        <w:tc>
          <w:tcPr>
            <w:tcW w:w="725" w:type="dxa"/>
            <w:vAlign w:val="center"/>
          </w:tcPr>
          <w:p w14:paraId="6A5E0F09">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r>
              <w:rPr>
                <w:rFonts w:hint="eastAsia" w:ascii="Times New Roman" w:hAnsi="Times New Roman" w:cs="Times New Roman"/>
                <w:bCs/>
                <w:sz w:val="21"/>
                <w:szCs w:val="21"/>
                <w:lang w:val="en-US" w:eastAsia="zh-CN"/>
              </w:rPr>
              <w:t>0</w:t>
            </w:r>
          </w:p>
        </w:tc>
        <w:tc>
          <w:tcPr>
            <w:tcW w:w="669" w:type="dxa"/>
            <w:vAlign w:val="center"/>
          </w:tcPr>
          <w:p w14:paraId="67727904">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right w:val="single" w:color="auto" w:sz="12" w:space="0"/>
            </w:tcBorders>
            <w:vAlign w:val="center"/>
          </w:tcPr>
          <w:p w14:paraId="1132621E">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r>
              <w:rPr>
                <w:rFonts w:hint="eastAsia" w:ascii="Times New Roman" w:hAnsi="Times New Roman" w:cs="Times New Roman"/>
                <w:bCs/>
                <w:sz w:val="21"/>
                <w:szCs w:val="21"/>
                <w:lang w:val="en-US" w:eastAsia="zh-CN"/>
              </w:rPr>
              <w:t>0</w:t>
            </w:r>
          </w:p>
        </w:tc>
      </w:tr>
      <w:tr w14:paraId="5BB2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283" w:type="dxa"/>
            <w:tcBorders>
              <w:left w:val="single" w:color="auto" w:sz="12" w:space="0"/>
            </w:tcBorders>
            <w:vAlign w:val="center"/>
          </w:tcPr>
          <w:p w14:paraId="74374221">
            <w:pPr>
              <w:widowControl w:val="0"/>
              <w:snapToGrid w:val="0"/>
              <w:jc w:val="left"/>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振动、波动、光学</w:t>
            </w:r>
          </w:p>
        </w:tc>
        <w:tc>
          <w:tcPr>
            <w:tcW w:w="3765" w:type="dxa"/>
            <w:vMerge w:val="continue"/>
            <w:vAlign w:val="center"/>
          </w:tcPr>
          <w:p w14:paraId="2D2FCC37">
            <w:pPr>
              <w:widowControl w:val="0"/>
              <w:snapToGrid w:val="0"/>
              <w:jc w:val="left"/>
              <w:rPr>
                <w:rFonts w:hint="default" w:ascii="Times New Roman" w:hAnsi="Times New Roman" w:cs="Times New Roman"/>
                <w:bCs/>
                <w:sz w:val="21"/>
                <w:szCs w:val="21"/>
              </w:rPr>
            </w:pPr>
          </w:p>
        </w:tc>
        <w:tc>
          <w:tcPr>
            <w:tcW w:w="1317" w:type="dxa"/>
            <w:vMerge w:val="continue"/>
            <w:vAlign w:val="center"/>
          </w:tcPr>
          <w:p w14:paraId="6DEF7802">
            <w:pPr>
              <w:widowControl w:val="0"/>
              <w:snapToGrid w:val="0"/>
              <w:jc w:val="left"/>
              <w:rPr>
                <w:rFonts w:hint="default" w:ascii="Times New Roman" w:hAnsi="Times New Roman" w:cs="Times New Roman"/>
                <w:bCs/>
                <w:sz w:val="21"/>
                <w:szCs w:val="21"/>
              </w:rPr>
            </w:pPr>
          </w:p>
        </w:tc>
        <w:tc>
          <w:tcPr>
            <w:tcW w:w="725" w:type="dxa"/>
            <w:vAlign w:val="center"/>
          </w:tcPr>
          <w:p w14:paraId="3A33CFC7">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22</w:t>
            </w:r>
          </w:p>
        </w:tc>
        <w:tc>
          <w:tcPr>
            <w:tcW w:w="669" w:type="dxa"/>
            <w:vAlign w:val="center"/>
          </w:tcPr>
          <w:p w14:paraId="6E68BDE4">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right w:val="single" w:color="auto" w:sz="12" w:space="0"/>
            </w:tcBorders>
            <w:vAlign w:val="center"/>
          </w:tcPr>
          <w:p w14:paraId="328C66CC">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22</w:t>
            </w:r>
          </w:p>
        </w:tc>
      </w:tr>
      <w:tr w14:paraId="63FE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0DE72D3">
            <w:pPr>
              <w:pStyle w:val="13"/>
              <w:widowControl w:val="0"/>
              <w:jc w:val="center"/>
              <w:rPr>
                <w:rFonts w:hint="default" w:ascii="Times New Roman" w:hAnsi="Times New Roman" w:cs="Times New Roman"/>
              </w:rPr>
            </w:pPr>
            <w:r>
              <w:rPr>
                <w:rFonts w:hint="default" w:ascii="Times New Roman" w:hAnsi="Times New Roman" w:cs="Times New Roman"/>
              </w:rPr>
              <w:t>合计</w:t>
            </w:r>
          </w:p>
        </w:tc>
        <w:tc>
          <w:tcPr>
            <w:tcW w:w="725" w:type="dxa"/>
            <w:tcBorders>
              <w:bottom w:val="single" w:color="auto" w:sz="12" w:space="0"/>
            </w:tcBorders>
            <w:vAlign w:val="center"/>
          </w:tcPr>
          <w:p w14:paraId="0CD398D1">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r>
              <w:rPr>
                <w:rFonts w:hint="eastAsia" w:ascii="Times New Roman" w:hAnsi="Times New Roman" w:cs="Times New Roman"/>
                <w:bCs/>
                <w:sz w:val="21"/>
                <w:szCs w:val="21"/>
                <w:lang w:val="en-US" w:eastAsia="zh-CN"/>
              </w:rPr>
              <w:t>2</w:t>
            </w:r>
          </w:p>
        </w:tc>
        <w:tc>
          <w:tcPr>
            <w:tcW w:w="669" w:type="dxa"/>
            <w:tcBorders>
              <w:bottom w:val="single" w:color="auto" w:sz="12" w:space="0"/>
            </w:tcBorders>
            <w:vAlign w:val="center"/>
          </w:tcPr>
          <w:p w14:paraId="2B4191D0">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bottom w:val="single" w:color="auto" w:sz="12" w:space="0"/>
              <w:right w:val="single" w:color="auto" w:sz="12" w:space="0"/>
            </w:tcBorders>
            <w:vAlign w:val="center"/>
          </w:tcPr>
          <w:p w14:paraId="4715767D">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32</w:t>
            </w:r>
          </w:p>
        </w:tc>
      </w:tr>
    </w:tbl>
    <w:p w14:paraId="02309012">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1CBB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3CD221BB">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1、使学生在学习物理学知识的同时,逐步建立正确的思想方法和研究方法,充分发挥本课程在培养学生辩证唯物主义世界观方面的作用, 将马克思主义立场观点方法的教育与科学精神的培养结合起来，进行科学素质教育。 </w:t>
            </w:r>
          </w:p>
          <w:p w14:paraId="2A8F1639">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4A856C89">
            <w:pPr>
              <w:widowControl w:val="0"/>
              <w:spacing w:line="360" w:lineRule="exact"/>
              <w:jc w:val="both"/>
              <w:rPr>
                <w:rFonts w:hint="default" w:ascii="Times New Roman" w:hAnsi="Times New Roman" w:cs="Times New Roman"/>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2FF38D9A">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6F5E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BB4A083">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80CD80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463B400">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58E3028B">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78A0FC2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C1E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FA51686">
            <w:pPr>
              <w:widowControl w:val="0"/>
              <w:snapToGrid w:val="0"/>
              <w:jc w:val="center"/>
              <w:rPr>
                <w:rFonts w:ascii="黑体" w:hAnsi="黑体" w:eastAsia="黑体"/>
                <w:bCs/>
                <w:sz w:val="21"/>
                <w:szCs w:val="21"/>
              </w:rPr>
            </w:pPr>
          </w:p>
        </w:tc>
        <w:tc>
          <w:tcPr>
            <w:tcW w:w="709" w:type="dxa"/>
            <w:vMerge w:val="continue"/>
          </w:tcPr>
          <w:p w14:paraId="3240C1A3">
            <w:pPr>
              <w:pStyle w:val="16"/>
              <w:widowControl w:val="0"/>
              <w:jc w:val="both"/>
              <w:rPr>
                <w:rFonts w:ascii="黑体" w:hAnsi="黑体"/>
                <w:bCs/>
                <w:sz w:val="21"/>
                <w:szCs w:val="21"/>
              </w:rPr>
            </w:pPr>
          </w:p>
        </w:tc>
        <w:tc>
          <w:tcPr>
            <w:tcW w:w="2353" w:type="dxa"/>
            <w:vMerge w:val="continue"/>
            <w:tcBorders>
              <w:right w:val="double" w:color="auto" w:sz="4" w:space="0"/>
            </w:tcBorders>
          </w:tcPr>
          <w:p w14:paraId="4BF12ABE">
            <w:pPr>
              <w:pStyle w:val="16"/>
              <w:widowControl w:val="0"/>
              <w:jc w:val="both"/>
              <w:rPr>
                <w:rFonts w:ascii="黑体" w:hAnsi="黑体"/>
                <w:bCs/>
                <w:sz w:val="21"/>
                <w:szCs w:val="21"/>
              </w:rPr>
            </w:pPr>
          </w:p>
        </w:tc>
        <w:tc>
          <w:tcPr>
            <w:tcW w:w="612" w:type="dxa"/>
            <w:tcBorders>
              <w:left w:val="double" w:color="auto" w:sz="4" w:space="0"/>
            </w:tcBorders>
            <w:vAlign w:val="center"/>
          </w:tcPr>
          <w:p w14:paraId="47E03EA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1758056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4B1E32A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4442F303">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3540AB69">
            <w:pPr>
              <w:pStyle w:val="16"/>
              <w:widowControl w:val="0"/>
              <w:spacing w:line="240" w:lineRule="auto"/>
              <w:jc w:val="center"/>
              <w:rPr>
                <w:rFonts w:ascii="黑体" w:hAnsi="黑体"/>
                <w:bCs/>
                <w:sz w:val="21"/>
                <w:szCs w:val="21"/>
              </w:rPr>
            </w:pPr>
          </w:p>
        </w:tc>
      </w:tr>
      <w:tr w14:paraId="1704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B4B5B7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86217E">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75A52A22">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2BABADF9">
            <w:pPr>
              <w:pStyle w:val="14"/>
              <w:widowControl w:val="0"/>
              <w:rPr>
                <w:rFonts w:hint="default" w:eastAsia="宋体"/>
                <w:lang w:val="en-US" w:eastAsia="zh-CN"/>
              </w:rPr>
            </w:pPr>
            <w:r>
              <w:rPr>
                <w:rFonts w:hint="eastAsia"/>
                <w:lang w:val="en-US" w:eastAsia="zh-CN"/>
              </w:rPr>
              <w:t>60</w:t>
            </w:r>
          </w:p>
        </w:tc>
        <w:tc>
          <w:tcPr>
            <w:tcW w:w="612" w:type="dxa"/>
            <w:vAlign w:val="center"/>
          </w:tcPr>
          <w:p w14:paraId="2BB978D2">
            <w:pPr>
              <w:pStyle w:val="14"/>
              <w:widowControl w:val="0"/>
              <w:rPr>
                <w:rFonts w:hint="default" w:eastAsia="宋体"/>
                <w:lang w:val="en-US" w:eastAsia="zh-CN"/>
              </w:rPr>
            </w:pPr>
            <w:r>
              <w:rPr>
                <w:rFonts w:hint="eastAsia"/>
                <w:lang w:val="en-US" w:eastAsia="zh-CN"/>
              </w:rPr>
              <w:t>5</w:t>
            </w:r>
          </w:p>
        </w:tc>
        <w:tc>
          <w:tcPr>
            <w:tcW w:w="612" w:type="dxa"/>
            <w:vAlign w:val="center"/>
          </w:tcPr>
          <w:p w14:paraId="34E7092A">
            <w:pPr>
              <w:pStyle w:val="14"/>
              <w:widowControl w:val="0"/>
              <w:rPr>
                <w:rFonts w:hint="default"/>
                <w:lang w:val="en-US"/>
              </w:rPr>
            </w:pPr>
            <w:r>
              <w:rPr>
                <w:rFonts w:hint="eastAsia"/>
                <w:lang w:val="en-US" w:eastAsia="zh-CN"/>
              </w:rPr>
              <w:t>30</w:t>
            </w:r>
          </w:p>
        </w:tc>
        <w:tc>
          <w:tcPr>
            <w:tcW w:w="612" w:type="dxa"/>
            <w:vAlign w:val="center"/>
          </w:tcPr>
          <w:p w14:paraId="156E972F">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0FEB1951">
            <w:pPr>
              <w:pStyle w:val="14"/>
              <w:widowControl w:val="0"/>
            </w:pPr>
            <w:r>
              <w:rPr>
                <w:rFonts w:hint="eastAsia"/>
              </w:rPr>
              <w:t>1</w:t>
            </w:r>
            <w:r>
              <w:t>00</w:t>
            </w:r>
          </w:p>
        </w:tc>
      </w:tr>
      <w:tr w14:paraId="60C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B84BD9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64D857B6">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0E2B6BEE">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6092B50D">
            <w:pPr>
              <w:pStyle w:val="14"/>
              <w:widowControl w:val="0"/>
              <w:rPr>
                <w:rFonts w:hint="default" w:eastAsia="宋体"/>
                <w:lang w:val="en-US" w:eastAsia="zh-CN"/>
              </w:rPr>
            </w:pPr>
            <w:r>
              <w:rPr>
                <w:rFonts w:hint="eastAsia"/>
                <w:lang w:val="en-US" w:eastAsia="zh-CN"/>
              </w:rPr>
              <w:t>40</w:t>
            </w:r>
          </w:p>
        </w:tc>
        <w:tc>
          <w:tcPr>
            <w:tcW w:w="612" w:type="dxa"/>
            <w:vAlign w:val="center"/>
          </w:tcPr>
          <w:p w14:paraId="7C262236">
            <w:pPr>
              <w:pStyle w:val="14"/>
              <w:widowControl w:val="0"/>
              <w:rPr>
                <w:rFonts w:hint="default" w:eastAsia="宋体"/>
                <w:lang w:val="en-US" w:eastAsia="zh-CN"/>
              </w:rPr>
            </w:pPr>
          </w:p>
        </w:tc>
        <w:tc>
          <w:tcPr>
            <w:tcW w:w="612" w:type="dxa"/>
            <w:vAlign w:val="center"/>
          </w:tcPr>
          <w:p w14:paraId="5556FF69">
            <w:pPr>
              <w:pStyle w:val="14"/>
              <w:widowControl w:val="0"/>
            </w:pPr>
            <w:r>
              <w:rPr>
                <w:rFonts w:hint="eastAsia"/>
                <w:lang w:val="en-US" w:eastAsia="zh-CN"/>
              </w:rPr>
              <w:t>60</w:t>
            </w:r>
          </w:p>
        </w:tc>
        <w:tc>
          <w:tcPr>
            <w:tcW w:w="612" w:type="dxa"/>
            <w:vAlign w:val="center"/>
          </w:tcPr>
          <w:p w14:paraId="6A3F9322">
            <w:pPr>
              <w:pStyle w:val="14"/>
              <w:widowControl w:val="0"/>
            </w:pPr>
          </w:p>
        </w:tc>
        <w:tc>
          <w:tcPr>
            <w:tcW w:w="706" w:type="dxa"/>
            <w:tcBorders>
              <w:right w:val="single" w:color="auto" w:sz="12" w:space="0"/>
            </w:tcBorders>
            <w:vAlign w:val="center"/>
          </w:tcPr>
          <w:p w14:paraId="01DCB754">
            <w:pPr>
              <w:pStyle w:val="14"/>
              <w:widowControl w:val="0"/>
            </w:pPr>
            <w:r>
              <w:rPr>
                <w:rFonts w:hint="eastAsia"/>
              </w:rPr>
              <w:t>1</w:t>
            </w:r>
            <w:r>
              <w:t>00</w:t>
            </w:r>
          </w:p>
        </w:tc>
      </w:tr>
      <w:tr w14:paraId="68AC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E9F835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4CD99BE4">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AD75146">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25397A69">
            <w:pPr>
              <w:pStyle w:val="14"/>
              <w:widowControl w:val="0"/>
              <w:rPr>
                <w:rFonts w:hint="default" w:eastAsia="宋体"/>
                <w:lang w:val="en-US" w:eastAsia="zh-CN"/>
              </w:rPr>
            </w:pPr>
            <w:r>
              <w:rPr>
                <w:rFonts w:hint="eastAsia"/>
                <w:lang w:val="en-US" w:eastAsia="zh-CN"/>
              </w:rPr>
              <w:t>80</w:t>
            </w:r>
          </w:p>
        </w:tc>
        <w:tc>
          <w:tcPr>
            <w:tcW w:w="612" w:type="dxa"/>
            <w:vAlign w:val="center"/>
          </w:tcPr>
          <w:p w14:paraId="5AFC43DE">
            <w:pPr>
              <w:pStyle w:val="14"/>
              <w:widowControl w:val="0"/>
            </w:pPr>
          </w:p>
        </w:tc>
        <w:tc>
          <w:tcPr>
            <w:tcW w:w="612" w:type="dxa"/>
            <w:vAlign w:val="center"/>
          </w:tcPr>
          <w:p w14:paraId="7399F8B4">
            <w:pPr>
              <w:pStyle w:val="14"/>
              <w:widowControl w:val="0"/>
              <w:rPr>
                <w:rFonts w:hint="default" w:eastAsia="宋体"/>
                <w:lang w:val="en-US" w:eastAsia="zh-CN"/>
              </w:rPr>
            </w:pPr>
          </w:p>
        </w:tc>
        <w:tc>
          <w:tcPr>
            <w:tcW w:w="612" w:type="dxa"/>
            <w:vAlign w:val="center"/>
          </w:tcPr>
          <w:p w14:paraId="75FBC3E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B5C06D2">
            <w:pPr>
              <w:pStyle w:val="14"/>
              <w:widowControl w:val="0"/>
            </w:pPr>
            <w:r>
              <w:rPr>
                <w:rFonts w:hint="eastAsia"/>
              </w:rPr>
              <w:t>1</w:t>
            </w:r>
            <w:r>
              <w:t>00</w:t>
            </w:r>
          </w:p>
        </w:tc>
      </w:tr>
      <w:tr w14:paraId="1AE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175942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40CD3DA4">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4982986D">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5719A0AE">
            <w:pPr>
              <w:pStyle w:val="14"/>
              <w:widowControl w:val="0"/>
            </w:pPr>
          </w:p>
        </w:tc>
        <w:tc>
          <w:tcPr>
            <w:tcW w:w="612" w:type="dxa"/>
            <w:vAlign w:val="center"/>
          </w:tcPr>
          <w:p w14:paraId="72A59D68">
            <w:pPr>
              <w:pStyle w:val="14"/>
              <w:widowControl w:val="0"/>
              <w:rPr>
                <w:rFonts w:hint="default" w:eastAsia="宋体"/>
                <w:lang w:val="en-US" w:eastAsia="zh-CN"/>
              </w:rPr>
            </w:pPr>
            <w:r>
              <w:rPr>
                <w:rFonts w:hint="eastAsia"/>
                <w:lang w:val="en-US" w:eastAsia="zh-CN"/>
              </w:rPr>
              <w:t>80</w:t>
            </w:r>
          </w:p>
        </w:tc>
        <w:tc>
          <w:tcPr>
            <w:tcW w:w="612" w:type="dxa"/>
            <w:vAlign w:val="center"/>
          </w:tcPr>
          <w:p w14:paraId="3F43B537">
            <w:pPr>
              <w:pStyle w:val="14"/>
              <w:widowControl w:val="0"/>
              <w:rPr>
                <w:rFonts w:hint="default" w:eastAsia="宋体"/>
                <w:lang w:val="en-US" w:eastAsia="zh-CN"/>
              </w:rPr>
            </w:pPr>
          </w:p>
        </w:tc>
        <w:tc>
          <w:tcPr>
            <w:tcW w:w="612" w:type="dxa"/>
            <w:vAlign w:val="center"/>
          </w:tcPr>
          <w:p w14:paraId="6DAE2974">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3CD6BE82">
            <w:pPr>
              <w:pStyle w:val="14"/>
              <w:widowControl w:val="0"/>
            </w:pPr>
            <w:r>
              <w:rPr>
                <w:rFonts w:hint="eastAsia"/>
              </w:rPr>
              <w:t>1</w:t>
            </w:r>
            <w:r>
              <w:t>00</w:t>
            </w:r>
          </w:p>
        </w:tc>
      </w:tr>
    </w:tbl>
    <w:p w14:paraId="3873D249">
      <w:pPr>
        <w:pStyle w:val="16"/>
        <w:rPr>
          <w:rFonts w:hint="eastAsia" w:ascii="黑体" w:hAnsi="宋体"/>
          <w:sz w:val="18"/>
          <w:szCs w:val="16"/>
        </w:rPr>
      </w:pPr>
    </w:p>
    <w:p w14:paraId="3DB167CD">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578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3C9D5D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3C9D5D8">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F3B6A"/>
    <w:multiLevelType w:val="singleLevel"/>
    <w:tmpl w:val="4CBF3B6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D0372"/>
    <w:rsid w:val="036D035E"/>
    <w:rsid w:val="0A8128A6"/>
    <w:rsid w:val="0BF32A1B"/>
    <w:rsid w:val="0C747AF0"/>
    <w:rsid w:val="10BD2C22"/>
    <w:rsid w:val="12345D7B"/>
    <w:rsid w:val="125D72E8"/>
    <w:rsid w:val="129E7A97"/>
    <w:rsid w:val="1F3C4E81"/>
    <w:rsid w:val="213D28E2"/>
    <w:rsid w:val="22987C80"/>
    <w:rsid w:val="236773C3"/>
    <w:rsid w:val="24021AA8"/>
    <w:rsid w:val="24192CCC"/>
    <w:rsid w:val="24874793"/>
    <w:rsid w:val="28583E4D"/>
    <w:rsid w:val="2A1B63F2"/>
    <w:rsid w:val="2B6B75A9"/>
    <w:rsid w:val="2E1D7542"/>
    <w:rsid w:val="3061701B"/>
    <w:rsid w:val="320478DA"/>
    <w:rsid w:val="39404978"/>
    <w:rsid w:val="39A66CD4"/>
    <w:rsid w:val="3A111922"/>
    <w:rsid w:val="3BBA52A8"/>
    <w:rsid w:val="3C331B88"/>
    <w:rsid w:val="3C442294"/>
    <w:rsid w:val="3CD52CE1"/>
    <w:rsid w:val="410F2E6A"/>
    <w:rsid w:val="4430136C"/>
    <w:rsid w:val="45480B20"/>
    <w:rsid w:val="499476F8"/>
    <w:rsid w:val="4AB0382B"/>
    <w:rsid w:val="50DB3D9F"/>
    <w:rsid w:val="569868B5"/>
    <w:rsid w:val="5C7B084D"/>
    <w:rsid w:val="6071407C"/>
    <w:rsid w:val="60D659F2"/>
    <w:rsid w:val="611F6817"/>
    <w:rsid w:val="64E71501"/>
    <w:rsid w:val="66CA1754"/>
    <w:rsid w:val="680B2F59"/>
    <w:rsid w:val="6B1E4B6C"/>
    <w:rsid w:val="6B6D244C"/>
    <w:rsid w:val="6CCD41D3"/>
    <w:rsid w:val="6DAD27AA"/>
    <w:rsid w:val="6DFA6436"/>
    <w:rsid w:val="6F1E65D4"/>
    <w:rsid w:val="6F266C86"/>
    <w:rsid w:val="6F5042C2"/>
    <w:rsid w:val="74316312"/>
    <w:rsid w:val="75885216"/>
    <w:rsid w:val="7614190F"/>
    <w:rsid w:val="761D0DE5"/>
    <w:rsid w:val="780F13C8"/>
    <w:rsid w:val="786D6A2C"/>
    <w:rsid w:val="7C385448"/>
    <w:rsid w:val="7CB3663D"/>
    <w:rsid w:val="7F471308"/>
    <w:rsid w:val="7FEB0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1257</Words>
  <Characters>1320</Characters>
  <Lines>6</Lines>
  <Paragraphs>1</Paragraphs>
  <TotalTime>0</TotalTime>
  <ScaleCrop>false</ScaleCrop>
  <LinksUpToDate>false</LinksUpToDate>
  <CharactersWithSpaces>1336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2024-03-17T03:54:00Z</cp:lastPrinted>
  <dcterms:modified xsi:type="dcterms:W3CDTF">2025-01-08T07:27:25Z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FF6E2744D1504A6ABE2816739CA1FC21_13</vt:lpwstr>
  </property>
  <property fmtid="{D5CDD505-2E9C-101B-9397-08002B2CF9AE}" pid="4" name="KSOTemplateDocerSaveRecord">
    <vt:lpwstr>eyJoZGlkIjoiZWM5MjBiZWJhMzQ3NDVlYmJjZmQxYTQyZTQ0N2E4MGQifQ==</vt:lpwstr>
  </property>
</Properties>
</file>