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C79FF">
      <w:pPr>
        <w:jc w:val="center"/>
        <w:rPr>
          <w:rFonts w:ascii="黑体" w:hAnsi="黑体" w:eastAsia="黑体"/>
          <w:bCs/>
          <w:sz w:val="32"/>
          <w:szCs w:val="32"/>
        </w:rPr>
      </w:pPr>
      <w:r>
        <w:rPr>
          <w:rFonts w:hint="eastAsia" w:ascii="黑体" w:hAnsi="黑体" w:eastAsia="黑体"/>
          <w:bCs/>
          <w:sz w:val="32"/>
          <w:szCs w:val="32"/>
        </w:rPr>
        <w:t>《法律案件聚焦》课程教学大纲</w:t>
      </w:r>
    </w:p>
    <w:p w14:paraId="6AEA94D6">
      <w:pPr>
        <w:pStyle w:val="16"/>
        <w:spacing w:before="312"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6"/>
        <w:gridCol w:w="2268"/>
        <w:gridCol w:w="1276"/>
        <w:gridCol w:w="851"/>
        <w:gridCol w:w="567"/>
        <w:gridCol w:w="850"/>
        <w:gridCol w:w="788"/>
      </w:tblGrid>
      <w:tr w14:paraId="10DD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restart"/>
            <w:tcBorders>
              <w:top w:val="single" w:color="auto" w:sz="12" w:space="0"/>
              <w:left w:val="single" w:color="auto" w:sz="12" w:space="0"/>
            </w:tcBorders>
            <w:shd w:val="clear" w:color="auto" w:fill="auto"/>
            <w:vAlign w:val="center"/>
          </w:tcPr>
          <w:p w14:paraId="57C5BA0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600" w:type="dxa"/>
            <w:gridSpan w:val="6"/>
            <w:tcBorders>
              <w:top w:val="single" w:color="auto" w:sz="12" w:space="0"/>
              <w:right w:val="single" w:color="auto" w:sz="12" w:space="0"/>
            </w:tcBorders>
            <w:vAlign w:val="center"/>
          </w:tcPr>
          <w:p w14:paraId="112B8F20">
            <w:pPr>
              <w:widowControl w:val="0"/>
              <w:jc w:val="center"/>
              <w:rPr>
                <w:color w:val="000000" w:themeColor="text1"/>
                <w:sz w:val="21"/>
                <w:szCs w:val="21"/>
                <w14:textFill>
                  <w14:solidFill>
                    <w14:schemeClr w14:val="tx1"/>
                  </w14:solidFill>
                </w14:textFill>
              </w:rPr>
            </w:pPr>
            <w:r>
              <w:rPr>
                <w:rFonts w:hint="eastAsia"/>
                <w:sz w:val="21"/>
                <w:szCs w:val="21"/>
              </w:rPr>
              <w:t>法律案件聚焦</w:t>
            </w:r>
          </w:p>
        </w:tc>
      </w:tr>
      <w:tr w14:paraId="2DB9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continue"/>
            <w:tcBorders>
              <w:left w:val="single" w:color="auto" w:sz="12" w:space="0"/>
            </w:tcBorders>
            <w:shd w:val="clear" w:color="auto" w:fill="auto"/>
            <w:vAlign w:val="center"/>
          </w:tcPr>
          <w:p w14:paraId="133970A5">
            <w:pPr>
              <w:widowControl w:val="0"/>
              <w:jc w:val="center"/>
              <w:rPr>
                <w:rFonts w:ascii="黑体" w:hAnsi="黑体" w:eastAsia="黑体"/>
                <w:color w:val="000000" w:themeColor="text1"/>
                <w:sz w:val="21"/>
                <w:szCs w:val="18"/>
                <w14:textFill>
                  <w14:solidFill>
                    <w14:schemeClr w14:val="tx1"/>
                  </w14:solidFill>
                </w14:textFill>
              </w:rPr>
            </w:pPr>
          </w:p>
        </w:tc>
        <w:tc>
          <w:tcPr>
            <w:tcW w:w="6600" w:type="dxa"/>
            <w:gridSpan w:val="6"/>
            <w:tcBorders>
              <w:right w:val="single" w:color="auto" w:sz="12" w:space="0"/>
            </w:tcBorders>
            <w:vAlign w:val="center"/>
          </w:tcPr>
          <w:p w14:paraId="229CAF43">
            <w:pPr>
              <w:widowControl w:val="0"/>
              <w:jc w:val="center"/>
              <w:rPr>
                <w:color w:val="000000" w:themeColor="text1"/>
                <w:sz w:val="21"/>
                <w:szCs w:val="21"/>
                <w:highlight w:val="green"/>
                <w14:textFill>
                  <w14:solidFill>
                    <w14:schemeClr w14:val="tx1"/>
                  </w14:solidFill>
                </w14:textFill>
              </w:rPr>
            </w:pPr>
            <w:r>
              <w:rPr>
                <w:rFonts w:ascii="Times New Roman" w:hAnsi="Times New Roman" w:cs="Times New Roman"/>
                <w:sz w:val="21"/>
                <w:szCs w:val="21"/>
              </w:rPr>
              <w:t>The  legal  case  focus</w:t>
            </w:r>
          </w:p>
        </w:tc>
      </w:tr>
      <w:tr w14:paraId="349F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4ACCEAB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8" w:type="dxa"/>
            <w:vAlign w:val="center"/>
          </w:tcPr>
          <w:p w14:paraId="42D5651D">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t>2108057</w:t>
            </w:r>
          </w:p>
        </w:tc>
        <w:tc>
          <w:tcPr>
            <w:tcW w:w="2127" w:type="dxa"/>
            <w:gridSpan w:val="2"/>
            <w:vAlign w:val="center"/>
          </w:tcPr>
          <w:p w14:paraId="258A17F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05" w:type="dxa"/>
            <w:gridSpan w:val="3"/>
            <w:tcBorders>
              <w:right w:val="single" w:color="auto" w:sz="12" w:space="0"/>
            </w:tcBorders>
            <w:vAlign w:val="center"/>
          </w:tcPr>
          <w:p w14:paraId="0DE560F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5CB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0F53326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8" w:type="dxa"/>
            <w:vAlign w:val="center"/>
          </w:tcPr>
          <w:p w14:paraId="417BC4A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76" w:type="dxa"/>
            <w:vAlign w:val="center"/>
          </w:tcPr>
          <w:p w14:paraId="58F47F0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1" w:type="dxa"/>
            <w:vAlign w:val="center"/>
          </w:tcPr>
          <w:p w14:paraId="64C27F1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p>
        </w:tc>
        <w:tc>
          <w:tcPr>
            <w:tcW w:w="1417" w:type="dxa"/>
            <w:gridSpan w:val="2"/>
            <w:vAlign w:val="center"/>
          </w:tcPr>
          <w:p w14:paraId="0749E5A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8" w:type="dxa"/>
            <w:tcBorders>
              <w:right w:val="single" w:color="auto" w:sz="12" w:space="0"/>
            </w:tcBorders>
            <w:vAlign w:val="center"/>
          </w:tcPr>
          <w:p w14:paraId="706BCA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277B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134DA18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8" w:type="dxa"/>
            <w:vAlign w:val="center"/>
          </w:tcPr>
          <w:p w14:paraId="63B1EE9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2127" w:type="dxa"/>
            <w:gridSpan w:val="2"/>
            <w:vAlign w:val="center"/>
          </w:tcPr>
          <w:p w14:paraId="1229FA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05" w:type="dxa"/>
            <w:gridSpan w:val="3"/>
            <w:tcBorders>
              <w:right w:val="single" w:color="auto" w:sz="12" w:space="0"/>
            </w:tcBorders>
            <w:vAlign w:val="center"/>
          </w:tcPr>
          <w:p w14:paraId="3CE2EA60">
            <w:pPr>
              <w:widowControl w:val="0"/>
              <w:jc w:val="center"/>
              <w:rPr>
                <w:rFonts w:hint="eastAsia"/>
                <w:color w:val="000000" w:themeColor="text1"/>
                <w:sz w:val="21"/>
                <w:szCs w:val="21"/>
                <w:highlight w:val="gree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全校本科</w:t>
            </w:r>
          </w:p>
        </w:tc>
      </w:tr>
      <w:tr w14:paraId="5F6E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6182298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8" w:type="dxa"/>
            <w:vAlign w:val="center"/>
          </w:tcPr>
          <w:p w14:paraId="7AF9BD5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综合素质选修课</w:t>
            </w:r>
          </w:p>
        </w:tc>
        <w:tc>
          <w:tcPr>
            <w:tcW w:w="2127" w:type="dxa"/>
            <w:gridSpan w:val="2"/>
            <w:vAlign w:val="center"/>
          </w:tcPr>
          <w:p w14:paraId="100B2C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05" w:type="dxa"/>
            <w:gridSpan w:val="3"/>
            <w:tcBorders>
              <w:right w:val="single" w:color="auto" w:sz="12" w:space="0"/>
            </w:tcBorders>
            <w:vAlign w:val="center"/>
          </w:tcPr>
          <w:p w14:paraId="296FF07F">
            <w:pPr>
              <w:widowControl w:val="0"/>
              <w:jc w:val="center"/>
              <w:rPr>
                <w:rFonts w:hint="eastAsia" w:eastAsiaTheme="minorEastAsia"/>
                <w:color w:val="000000" w:themeColor="text1"/>
                <w:sz w:val="21"/>
                <w:szCs w:val="21"/>
                <w:highlight w:val="cyan"/>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查</w:t>
            </w:r>
          </w:p>
        </w:tc>
      </w:tr>
      <w:tr w14:paraId="186C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08DAF22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6600" w:type="dxa"/>
            <w:gridSpan w:val="6"/>
            <w:tcBorders>
              <w:right w:val="single" w:color="auto" w:sz="12" w:space="0"/>
            </w:tcBorders>
            <w:vAlign w:val="center"/>
          </w:tcPr>
          <w:p w14:paraId="4AC27092">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主教材</w:t>
            </w:r>
            <w:r>
              <w:rPr>
                <w:rFonts w:hint="eastAsia" w:asciiTheme="minorEastAsia" w:hAnsiTheme="minorEastAsia" w:eastAsiaTheme="minorEastAsia"/>
                <w:color w:val="000000" w:themeColor="text1"/>
                <w:sz w:val="21"/>
                <w:szCs w:val="21"/>
                <w14:textFill>
                  <w14:solidFill>
                    <w14:schemeClr w14:val="tx1"/>
                  </w14:solidFill>
                </w14:textFill>
              </w:rPr>
              <w:t xml:space="preserve">《案件聚焦1000期精选》上海电台主编  上海文广新闻传媒集团出版2018年版 </w:t>
            </w:r>
          </w:p>
        </w:tc>
      </w:tr>
      <w:tr w14:paraId="2EAE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7EBD994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600" w:type="dxa"/>
            <w:gridSpan w:val="6"/>
            <w:tcBorders>
              <w:right w:val="single" w:color="auto" w:sz="12" w:space="0"/>
            </w:tcBorders>
            <w:vAlign w:val="center"/>
          </w:tcPr>
          <w:p w14:paraId="668562ED">
            <w:pPr>
              <w:widowControl w:val="0"/>
              <w:jc w:val="center"/>
              <w:rPr>
                <w:color w:val="000000" w:themeColor="text1"/>
                <w:sz w:val="21"/>
                <w:szCs w:val="21"/>
                <w:highlight w:val="cya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无</w:t>
            </w:r>
          </w:p>
        </w:tc>
      </w:tr>
      <w:tr w14:paraId="23F9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52AE36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600" w:type="dxa"/>
            <w:gridSpan w:val="6"/>
            <w:tcBorders>
              <w:right w:val="single" w:color="auto" w:sz="12" w:space="0"/>
            </w:tcBorders>
            <w:vAlign w:val="center"/>
          </w:tcPr>
          <w:p w14:paraId="302B2079">
            <w:pPr>
              <w:widowControl w:val="0"/>
              <w:spacing w:line="360" w:lineRule="auto"/>
              <w:ind w:firstLine="420" w:firstLineChars="200"/>
              <w:jc w:val="both"/>
              <w:textAlignment w:val="baseline"/>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法律案件聚焦主要通过法律案件的学习和分析，讲述法的基本原理、实体法的基础知识以及法律诉讼的程序。通过学习这门课程，使学生了解我国法律的结构和体系，掌握法学方面的基本理论和基本知识，能够运用法学的基本理论和基本知识分析解决实际生活中的问题；提高大学生的政治觉悟、民意识，培养高尚的思想情操和道德观念。对社会主义法律意识和对依法治国、建设社会主义法治国家的必要性和渐进性的认识；提高学生将来依法参与治理国家的工作能力和工作效率。同时培养大学生成为知法、懂法、自觉守法的21世纪合格人才。</w:t>
            </w:r>
          </w:p>
          <w:p w14:paraId="53A56BBC">
            <w:pPr>
              <w:widowControl w:val="0"/>
              <w:jc w:val="both"/>
              <w:rPr>
                <w:color w:val="000000" w:themeColor="text1"/>
                <w:sz w:val="21"/>
                <w:szCs w:val="21"/>
                <w:highlight w:val="cyan"/>
                <w14:textFill>
                  <w14:solidFill>
                    <w14:schemeClr w14:val="tx1"/>
                  </w14:solidFill>
                </w14:textFill>
              </w:rPr>
            </w:pPr>
          </w:p>
        </w:tc>
      </w:tr>
      <w:tr w14:paraId="7FDE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double" w:color="auto" w:sz="4" w:space="0"/>
            </w:tcBorders>
            <w:shd w:val="clear" w:color="auto" w:fill="auto"/>
            <w:vAlign w:val="center"/>
          </w:tcPr>
          <w:p w14:paraId="008104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600" w:type="dxa"/>
            <w:gridSpan w:val="6"/>
            <w:tcBorders>
              <w:bottom w:val="double" w:color="auto" w:sz="4" w:space="0"/>
              <w:right w:val="single" w:color="auto" w:sz="12" w:space="0"/>
            </w:tcBorders>
            <w:vAlign w:val="center"/>
          </w:tcPr>
          <w:p w14:paraId="2898B9BF">
            <w:pPr>
              <w:widowControl w:val="0"/>
              <w:snapToGrid w:val="0"/>
              <w:spacing w:line="360" w:lineRule="auto"/>
              <w:ind w:left="408" w:leftChars="17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适用于各种专业的学生</w:t>
            </w:r>
          </w:p>
        </w:tc>
      </w:tr>
      <w:tr w14:paraId="0EB9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top w:val="double" w:color="auto" w:sz="4" w:space="0"/>
              <w:left w:val="single" w:color="auto" w:sz="12" w:space="0"/>
            </w:tcBorders>
            <w:shd w:val="clear" w:color="auto" w:fill="auto"/>
            <w:vAlign w:val="center"/>
          </w:tcPr>
          <w:p w14:paraId="52F15AB2">
            <w:pPr>
              <w:widowControl w:val="0"/>
              <w:jc w:val="center"/>
              <w:rPr>
                <w:rFonts w:ascii="黑体" w:hAnsi="黑体" w:eastAsia="黑体"/>
                <w:color w:val="000000" w:themeColor="text1"/>
                <w:sz w:val="21"/>
                <w:szCs w:val="21"/>
                <w14:textFill>
                  <w14:solidFill>
                    <w14:schemeClr w14:val="tx1"/>
                  </w14:solidFill>
                </w14:textFill>
              </w:rPr>
            </w:pPr>
            <w:bookmarkStart w:id="8" w:name="_GoBack" w:colFirst="4" w:colLast="5"/>
            <w:r>
              <w:rPr>
                <w:rFonts w:hint="eastAsia" w:ascii="黑体" w:hAnsi="黑体" w:eastAsia="黑体"/>
                <w:color w:val="000000" w:themeColor="text1"/>
                <w:sz w:val="21"/>
                <w:szCs w:val="21"/>
                <w14:textFill>
                  <w14:solidFill>
                    <w14:schemeClr w14:val="tx1"/>
                  </w14:solidFill>
                </w14:textFill>
              </w:rPr>
              <w:t>大纲编写人</w:t>
            </w:r>
          </w:p>
        </w:tc>
        <w:tc>
          <w:tcPr>
            <w:tcW w:w="3544" w:type="dxa"/>
            <w:gridSpan w:val="2"/>
            <w:tcBorders>
              <w:top w:val="double" w:color="auto" w:sz="4" w:space="0"/>
            </w:tcBorders>
            <w:vAlign w:val="center"/>
          </w:tcPr>
          <w:p w14:paraId="2505300B">
            <w:pPr>
              <w:widowControl w:val="0"/>
              <w:wordWrap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61315" cy="546100"/>
                  <wp:effectExtent l="0" t="0" r="2540" b="4445"/>
                  <wp:docPr id="4" name="图片 4" descr="窦红霞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窦红霞1"/>
                          <pic:cNvPicPr>
                            <a:picLocks noChangeAspect="1"/>
                          </pic:cNvPicPr>
                        </pic:nvPicPr>
                        <pic:blipFill>
                          <a:blip r:embed="rId5"/>
                          <a:stretch>
                            <a:fillRect/>
                          </a:stretch>
                        </pic:blipFill>
                        <pic:spPr>
                          <a:xfrm rot="16200000">
                            <a:off x="0" y="0"/>
                            <a:ext cx="361315" cy="546100"/>
                          </a:xfrm>
                          <a:prstGeom prst="rect">
                            <a:avLst/>
                          </a:prstGeom>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18" w:type="dxa"/>
            <w:gridSpan w:val="2"/>
            <w:tcBorders>
              <w:top w:val="double" w:color="auto" w:sz="4" w:space="0"/>
            </w:tcBorders>
            <w:vAlign w:val="center"/>
          </w:tcPr>
          <w:p w14:paraId="7BCC7DC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制/修定</w:t>
            </w:r>
            <w:bookmarkStart w:id="0" w:name="OLE_LINK19"/>
            <w:bookmarkStart w:id="1" w:name="OLE_LINK20"/>
            <w:r>
              <w:rPr>
                <w:rFonts w:hint="eastAsia" w:ascii="黑体" w:hAnsi="黑体" w:eastAsia="黑体"/>
                <w:color w:val="000000" w:themeColor="text1"/>
                <w:sz w:val="21"/>
                <w:szCs w:val="21"/>
                <w14:textFill>
                  <w14:solidFill>
                    <w14:schemeClr w14:val="tx1"/>
                  </w14:solidFill>
                </w14:textFill>
              </w:rPr>
              <w:t>日期</w:t>
            </w:r>
            <w:bookmarkEnd w:id="0"/>
            <w:bookmarkEnd w:id="1"/>
          </w:p>
        </w:tc>
        <w:tc>
          <w:tcPr>
            <w:tcW w:w="1638" w:type="dxa"/>
            <w:gridSpan w:val="2"/>
            <w:tcBorders>
              <w:top w:val="double" w:color="auto" w:sz="4" w:space="0"/>
              <w:right w:val="single" w:color="auto" w:sz="12" w:space="0"/>
            </w:tcBorders>
            <w:vAlign w:val="center"/>
          </w:tcPr>
          <w:p w14:paraId="3F8E1EA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764D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6200AD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44" w:type="dxa"/>
            <w:gridSpan w:val="2"/>
            <w:vAlign w:val="center"/>
          </w:tcPr>
          <w:p w14:paraId="31149561">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29590" cy="35877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9590" cy="358775"/>
                          </a:xfrm>
                          <a:prstGeom prst="rect">
                            <a:avLst/>
                          </a:prstGeom>
                          <a:noFill/>
                          <a:ln>
                            <a:noFill/>
                          </a:ln>
                        </pic:spPr>
                      </pic:pic>
                    </a:graphicData>
                  </a:graphic>
                </wp:inline>
              </w:drawing>
            </w:r>
            <w:r>
              <w:rPr>
                <w:rFonts w:hint="eastAsia"/>
                <w:sz w:val="21"/>
                <w:szCs w:val="21"/>
              </w:rPr>
              <w:t>（签名）</w:t>
            </w:r>
          </w:p>
        </w:tc>
        <w:tc>
          <w:tcPr>
            <w:tcW w:w="1418" w:type="dxa"/>
            <w:gridSpan w:val="2"/>
            <w:vAlign w:val="center"/>
          </w:tcPr>
          <w:p w14:paraId="715D2B9B">
            <w:pPr>
              <w:widowControl w:val="0"/>
              <w:jc w:val="center"/>
              <w:rPr>
                <w:sz w:val="21"/>
                <w:szCs w:val="21"/>
              </w:rPr>
            </w:pPr>
            <w:bookmarkStart w:id="2" w:name="OLE_LINK11"/>
            <w:bookmarkStart w:id="3" w:name="OLE_LINK12"/>
            <w:r>
              <w:rPr>
                <w:rFonts w:hint="eastAsia" w:ascii="黑体" w:hAnsi="黑体" w:eastAsia="黑体"/>
                <w:color w:val="000000" w:themeColor="text1"/>
                <w:sz w:val="21"/>
                <w:szCs w:val="21"/>
                <w14:textFill>
                  <w14:solidFill>
                    <w14:schemeClr w14:val="tx1"/>
                  </w14:solidFill>
                </w14:textFill>
              </w:rPr>
              <w:t>审定</w:t>
            </w:r>
            <w:bookmarkEnd w:id="2"/>
            <w:bookmarkEnd w:id="3"/>
            <w:r>
              <w:rPr>
                <w:rFonts w:hint="eastAsia" w:ascii="黑体" w:hAnsi="黑体" w:eastAsia="黑体"/>
                <w:color w:val="000000" w:themeColor="text1"/>
                <w:sz w:val="21"/>
                <w:szCs w:val="21"/>
                <w14:textFill>
                  <w14:solidFill>
                    <w14:schemeClr w14:val="tx1"/>
                  </w14:solidFill>
                </w14:textFill>
              </w:rPr>
              <w:t>日期</w:t>
            </w:r>
          </w:p>
        </w:tc>
        <w:tc>
          <w:tcPr>
            <w:tcW w:w="1638" w:type="dxa"/>
            <w:gridSpan w:val="2"/>
            <w:tcBorders>
              <w:right w:val="single" w:color="auto" w:sz="12" w:space="0"/>
            </w:tcBorders>
            <w:vAlign w:val="center"/>
          </w:tcPr>
          <w:p w14:paraId="4E03B4A1">
            <w:pPr>
              <w:pStyle w:val="14"/>
              <w:widowControl w:val="0"/>
              <w:jc w:val="center"/>
              <w:rPr>
                <w:rFonts w:hint="default" w:eastAsia="宋体"/>
                <w:lang w:val="en-US" w:eastAsia="zh-CN"/>
              </w:rPr>
            </w:pPr>
            <w:r>
              <w:rPr>
                <w:rFonts w:hint="eastAsia"/>
                <w:lang w:val="en-US" w:eastAsia="zh-CN"/>
              </w:rPr>
              <w:t>2025.8</w:t>
            </w:r>
          </w:p>
        </w:tc>
      </w:tr>
      <w:tr w14:paraId="29A7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single" w:color="auto" w:sz="12" w:space="0"/>
            </w:tcBorders>
            <w:shd w:val="clear" w:color="auto" w:fill="auto"/>
            <w:vAlign w:val="center"/>
          </w:tcPr>
          <w:p w14:paraId="5F94D2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44" w:type="dxa"/>
            <w:gridSpan w:val="2"/>
            <w:tcBorders>
              <w:bottom w:val="single" w:color="auto" w:sz="12" w:space="0"/>
            </w:tcBorders>
            <w:vAlign w:val="center"/>
          </w:tcPr>
          <w:p w14:paraId="7C92913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97535" cy="297815"/>
                  <wp:effectExtent l="0" t="0" r="1206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97535" cy="297815"/>
                          </a:xfrm>
                          <a:prstGeom prst="rect">
                            <a:avLst/>
                          </a:prstGeom>
                          <a:noFill/>
                          <a:ln>
                            <a:noFill/>
                          </a:ln>
                        </pic:spPr>
                      </pic:pic>
                    </a:graphicData>
                  </a:graphic>
                </wp:inline>
              </w:drawing>
            </w:r>
            <w:r>
              <w:rPr>
                <w:rFonts w:hint="eastAsia"/>
                <w:lang w:val="en-US" w:eastAsia="zh-CN"/>
              </w:rPr>
              <w:t xml:space="preserve"> </w:t>
            </w:r>
            <w:r>
              <w:rPr>
                <w:rFonts w:hint="eastAsia"/>
                <w:sz w:val="21"/>
                <w:szCs w:val="21"/>
              </w:rPr>
              <w:t>（签名）</w:t>
            </w:r>
          </w:p>
        </w:tc>
        <w:tc>
          <w:tcPr>
            <w:tcW w:w="1418" w:type="dxa"/>
            <w:gridSpan w:val="2"/>
            <w:tcBorders>
              <w:bottom w:val="single" w:color="auto" w:sz="12" w:space="0"/>
            </w:tcBorders>
            <w:vAlign w:val="center"/>
          </w:tcPr>
          <w:p w14:paraId="48489A3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批准日期</w:t>
            </w:r>
          </w:p>
        </w:tc>
        <w:tc>
          <w:tcPr>
            <w:tcW w:w="1638" w:type="dxa"/>
            <w:gridSpan w:val="2"/>
            <w:tcBorders>
              <w:bottom w:val="single" w:color="auto" w:sz="12" w:space="0"/>
              <w:right w:val="single" w:color="auto" w:sz="12" w:space="0"/>
            </w:tcBorders>
            <w:vAlign w:val="center"/>
          </w:tcPr>
          <w:p w14:paraId="1590931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bookmarkEnd w:id="8"/>
    </w:tbl>
    <w:p w14:paraId="64EEFC01">
      <w:pPr>
        <w:spacing w:line="100" w:lineRule="exact"/>
      </w:pPr>
    </w:p>
    <w:p w14:paraId="7DBAD29F">
      <w:pPr>
        <w:spacing w:line="100" w:lineRule="exact"/>
      </w:pPr>
    </w:p>
    <w:p w14:paraId="19C7203B">
      <w:pPr>
        <w:pStyle w:val="16"/>
        <w:spacing w:before="312" w:beforeLines="100" w:line="360" w:lineRule="auto"/>
        <w:rPr>
          <w:rFonts w:ascii="黑体" w:hAnsi="宋体"/>
        </w:rPr>
      </w:pPr>
      <w:r>
        <w:rPr>
          <w:rFonts w:hint="eastAsia" w:ascii="黑体" w:hAnsi="宋体"/>
        </w:rPr>
        <w:t>二、毕业要求与课程目标</w:t>
      </w:r>
    </w:p>
    <w:p w14:paraId="0A7EEB53">
      <w:pPr>
        <w:pStyle w:val="17"/>
        <w:spacing w:before="156" w:after="156"/>
      </w:pPr>
      <w:r>
        <w:rPr>
          <w:rFonts w:hint="eastAsia"/>
        </w:rPr>
        <w:t xml:space="preserve">（一）课程目标 </w:t>
      </w:r>
    </w:p>
    <w:p w14:paraId="6FDDF7D0">
      <w:pPr>
        <w:widowControl w:val="0"/>
        <w:rPr>
          <w:color w:val="000000" w:themeColor="text1"/>
          <w:sz w:val="21"/>
          <w:szCs w:val="21"/>
          <w14:textFill>
            <w14:solidFill>
              <w14:schemeClr w14:val="tx1"/>
            </w14:solidFill>
          </w14:textFill>
        </w:rPr>
      </w:pP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FF4B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A5B55E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52E52E8">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EF403E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4D0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06E9AE7">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5C09DF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C9BDF7A">
            <w:pPr>
              <w:pStyle w:val="14"/>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通过学习和分析法律案件，了解法的基本原理、结构</w:t>
            </w:r>
            <w:r>
              <w:rPr>
                <w:rFonts w:asciiTheme="minorEastAsia" w:hAnsiTheme="minorEastAsia" w:eastAsiaTheme="minorEastAsia"/>
                <w:color w:val="000000" w:themeColor="text1"/>
                <w14:textFill>
                  <w14:solidFill>
                    <w14:schemeClr w14:val="tx1"/>
                  </w14:solidFill>
                </w14:textFill>
              </w:rPr>
              <w:t>体系</w:t>
            </w:r>
            <w:r>
              <w:rPr>
                <w:rFonts w:hint="eastAsia" w:asciiTheme="minorEastAsia" w:hAnsiTheme="minorEastAsia" w:eastAsiaTheme="minorEastAsia"/>
                <w:color w:val="000000" w:themeColor="text1"/>
                <w14:textFill>
                  <w14:solidFill>
                    <w14:schemeClr w14:val="tx1"/>
                  </w14:solidFill>
                </w14:textFill>
              </w:rPr>
              <w:t>知识</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 掌握实体法的基础知识以及法律诉讼的程序。 </w:t>
            </w:r>
          </w:p>
        </w:tc>
      </w:tr>
      <w:tr w14:paraId="1DAAF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EAF29E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90B409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17FB379E">
            <w:pPr>
              <w:pStyle w:val="14"/>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能够运用法学的基本理论和基础知识，分析解决实际生活中的问题</w:t>
            </w:r>
          </w:p>
        </w:tc>
      </w:tr>
      <w:tr w14:paraId="14788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9EB1293">
            <w:pPr>
              <w:pStyle w:val="14"/>
              <w:rPr>
                <w:rFonts w:ascii="宋体" w:hAnsi="宋体"/>
              </w:rPr>
            </w:pPr>
          </w:p>
        </w:tc>
        <w:tc>
          <w:tcPr>
            <w:tcW w:w="764" w:type="dxa"/>
            <w:shd w:val="clear" w:color="auto" w:fill="auto"/>
            <w:vAlign w:val="center"/>
          </w:tcPr>
          <w:p w14:paraId="459E273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61A8A9E">
            <w:pPr>
              <w:pStyle w:val="14"/>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能具备自主</w:t>
            </w:r>
            <w:r>
              <w:rPr>
                <w:rFonts w:asciiTheme="minorEastAsia" w:hAnsiTheme="minorEastAsia" w:eastAsiaTheme="minorEastAsia"/>
                <w:color w:val="000000" w:themeColor="text1"/>
                <w14:textFill>
                  <w14:solidFill>
                    <w14:schemeClr w14:val="tx1"/>
                  </w14:solidFill>
                </w14:textFill>
              </w:rPr>
              <w:t>学习，</w:t>
            </w:r>
            <w:r>
              <w:rPr>
                <w:rFonts w:hint="eastAsia" w:asciiTheme="minorEastAsia" w:hAnsiTheme="minorEastAsia" w:eastAsiaTheme="minorEastAsia"/>
                <w:color w:val="000000" w:themeColor="text1"/>
                <w14:textFill>
                  <w14:solidFill>
                    <w14:schemeClr w14:val="tx1"/>
                  </w14:solidFill>
                </w14:textFill>
              </w:rPr>
              <w:t>表达</w:t>
            </w:r>
            <w:r>
              <w:rPr>
                <w:rFonts w:asciiTheme="minorEastAsia" w:hAnsiTheme="minorEastAsia" w:eastAsiaTheme="minorEastAsia"/>
                <w:color w:val="000000" w:themeColor="text1"/>
                <w14:textFill>
                  <w14:solidFill>
                    <w14:schemeClr w14:val="tx1"/>
                  </w14:solidFill>
                </w14:textFill>
              </w:rPr>
              <w:t>沟通，</w:t>
            </w:r>
            <w:r>
              <w:rPr>
                <w:rFonts w:hint="eastAsia" w:asciiTheme="minorEastAsia" w:hAnsiTheme="minorEastAsia" w:eastAsiaTheme="minorEastAsia"/>
                <w:color w:val="000000" w:themeColor="text1"/>
                <w14:textFill>
                  <w14:solidFill>
                    <w14:schemeClr w14:val="tx1"/>
                  </w14:solidFill>
                </w14:textFill>
              </w:rPr>
              <w:t>团队协作</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依法参与治理实践能力</w:t>
            </w:r>
          </w:p>
        </w:tc>
      </w:tr>
      <w:tr w14:paraId="46DC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964DF5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688F2F1">
            <w:pPr>
              <w:pStyle w:val="14"/>
              <w:rPr>
                <w:rFonts w:ascii="宋体" w:hAnsi="宋体"/>
              </w:rPr>
            </w:pPr>
            <w:r>
              <w:rPr>
                <w:rFonts w:hint="eastAsia" w:ascii="黑体" w:hAnsi="黑体" w:eastAsia="黑体"/>
                <w:bCs/>
                <w:szCs w:val="18"/>
              </w:rPr>
              <w:t>(含课程思政目标</w:t>
            </w:r>
            <w:r>
              <w:rPr>
                <w:rFonts w:ascii="黑体" w:hAnsi="黑体" w:eastAsia="黑体"/>
                <w:bCs/>
                <w:szCs w:val="18"/>
              </w:rPr>
              <w:t>)</w:t>
            </w:r>
          </w:p>
        </w:tc>
        <w:tc>
          <w:tcPr>
            <w:tcW w:w="764" w:type="dxa"/>
            <w:shd w:val="clear" w:color="auto" w:fill="auto"/>
            <w:vAlign w:val="center"/>
          </w:tcPr>
          <w:p w14:paraId="7BB07F71">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2EE6D15F">
            <w:pPr>
              <w:pStyle w:val="14"/>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树立正确的价值观</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提高大学生的政治觉悟、民主意识，培养高尚的思想情操和道德观念。培养</w:t>
            </w:r>
            <w:r>
              <w:rPr>
                <w:rFonts w:asciiTheme="minorEastAsia" w:hAnsiTheme="minorEastAsia" w:eastAsiaTheme="minorEastAsia"/>
                <w:color w:val="000000" w:themeColor="text1"/>
                <w14:textFill>
                  <w14:solidFill>
                    <w14:schemeClr w14:val="tx1"/>
                  </w14:solidFill>
                </w14:textFill>
              </w:rPr>
              <w:t>学生</w:t>
            </w:r>
            <w:r>
              <w:rPr>
                <w:rFonts w:hint="eastAsia" w:asciiTheme="minorEastAsia" w:hAnsiTheme="minorEastAsia" w:eastAsiaTheme="minorEastAsia"/>
                <w:color w:val="000000" w:themeColor="text1"/>
                <w14:textFill>
                  <w14:solidFill>
                    <w14:schemeClr w14:val="tx1"/>
                  </w14:solidFill>
                </w14:textFill>
              </w:rPr>
              <w:t>知法、懂法、自觉守法和</w:t>
            </w:r>
            <w:r>
              <w:rPr>
                <w:rFonts w:asciiTheme="minorEastAsia" w:hAnsiTheme="minorEastAsia" w:eastAsiaTheme="minorEastAsia"/>
                <w:color w:val="000000" w:themeColor="text1"/>
                <w14:textFill>
                  <w14:solidFill>
                    <w14:schemeClr w14:val="tx1"/>
                  </w14:solidFill>
                </w14:textFill>
              </w:rPr>
              <w:t>规则意识</w:t>
            </w:r>
            <w:r>
              <w:rPr>
                <w:rFonts w:hint="eastAsia" w:asciiTheme="minorEastAsia" w:hAnsiTheme="minorEastAsia" w:eastAsiaTheme="minorEastAsia"/>
                <w:color w:val="000000" w:themeColor="text1"/>
                <w14:textFill>
                  <w14:solidFill>
                    <w14:schemeClr w14:val="tx1"/>
                  </w14:solidFill>
                </w14:textFill>
              </w:rPr>
              <w:t>，明确爱国、诚信、敬业、友爱的精神，</w:t>
            </w:r>
            <w:r>
              <w:rPr>
                <w:rFonts w:asciiTheme="minorEastAsia" w:hAnsiTheme="minorEastAsia" w:eastAsiaTheme="minorEastAsia"/>
                <w:color w:val="000000" w:themeColor="text1"/>
                <w14:textFill>
                  <w14:solidFill>
                    <w14:schemeClr w14:val="tx1"/>
                  </w14:solidFill>
                </w14:textFill>
              </w:rPr>
              <w:t>协作创新精神</w:t>
            </w:r>
          </w:p>
        </w:tc>
      </w:tr>
    </w:tbl>
    <w:p w14:paraId="5167C973">
      <w:pPr>
        <w:pStyle w:val="17"/>
        <w:spacing w:before="156" w:after="156"/>
      </w:pPr>
      <w:r>
        <w:rPr>
          <w:rFonts w:hint="eastAsia"/>
        </w:rPr>
        <w:t>（二）课程支撑的毕业要求</w:t>
      </w:r>
    </w:p>
    <w:p w14:paraId="254A8DB2">
      <w:pPr>
        <w:widowControl w:val="0"/>
        <w:rPr>
          <w:color w:val="000000" w:themeColor="text1"/>
          <w:sz w:val="21"/>
          <w:szCs w:val="21"/>
          <w14:textFill>
            <w14:solidFill>
              <w14:schemeClr w14:val="tx1"/>
            </w14:solidFill>
          </w14:textFill>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D6048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14:paraId="52C2C981">
            <w:pPr>
              <w:pStyle w:val="14"/>
              <w:widowControl w:val="0"/>
              <w:jc w:val="left"/>
              <w:rPr>
                <w:rFonts w:cs="Times New Roman"/>
              </w:rPr>
            </w:pPr>
            <w:r>
              <w:rPr>
                <w:rFonts w:cs="Times New Roman"/>
              </w:rPr>
              <w:t>LO1</w:t>
            </w:r>
            <w:r>
              <w:rPr>
                <w:rFonts w:cs="Times New Roman"/>
                <w:b/>
              </w:rPr>
              <w:t>品德修养：</w:t>
            </w:r>
            <w:r>
              <w:rPr>
                <w:rFonts w:cs="Times New Roman"/>
              </w:rPr>
              <w:t>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6E3C941A">
            <w:pPr>
              <w:pStyle w:val="14"/>
              <w:widowControl w:val="0"/>
              <w:jc w:val="left"/>
              <w:rPr>
                <w:rFonts w:cs="Times New Roman"/>
              </w:rPr>
            </w:pPr>
            <w:r>
              <w:rPr>
                <w:rFonts w:hint="eastAsia" w:cs="Times New Roman"/>
              </w:rPr>
              <w:t>④</w:t>
            </w:r>
            <w:r>
              <w:rPr>
                <w:rFonts w:cs="Times New Roman"/>
              </w:rPr>
              <w:t xml:space="preserve">诚信尽责，为人诚实，信守承诺，勤奋努力，精益求精，勇于担责。 </w:t>
            </w:r>
          </w:p>
        </w:tc>
      </w:tr>
      <w:tr w14:paraId="3078BE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06AFE14">
            <w:pPr>
              <w:widowControl w:val="0"/>
              <w:tabs>
                <w:tab w:val="left" w:pos="4200"/>
              </w:tabs>
              <w:spacing w:line="360" w:lineRule="auto"/>
              <w:jc w:val="both"/>
              <w:rPr>
                <w:rFonts w:asciiTheme="minorEastAsia" w:hAnsiTheme="minorEastAsia" w:eastAsiaTheme="minorEastAsia"/>
                <w:bCs/>
                <w:sz w:val="21"/>
                <w:szCs w:val="20"/>
              </w:rPr>
            </w:pPr>
            <w:r>
              <w:rPr>
                <w:rFonts w:asciiTheme="minorEastAsia" w:hAnsiTheme="minorEastAsia" w:eastAsiaTheme="minorEastAsia"/>
                <w:b/>
                <w:bCs/>
                <w:color w:val="000000"/>
                <w:sz w:val="21"/>
                <w:szCs w:val="20"/>
              </w:rPr>
              <w:t>LO4</w:t>
            </w:r>
            <w:r>
              <w:rPr>
                <w:rFonts w:asciiTheme="minorEastAsia" w:hAnsiTheme="minorEastAsia" w:eastAsiaTheme="minorEastAsia"/>
                <w:b/>
                <w:sz w:val="21"/>
                <w:szCs w:val="20"/>
              </w:rPr>
              <w:t>自主学习</w:t>
            </w:r>
            <w:r>
              <w:rPr>
                <w:rFonts w:asciiTheme="minorEastAsia" w:hAnsiTheme="minorEastAsia" w:eastAsiaTheme="minorEastAsia"/>
                <w:bCs/>
                <w:sz w:val="21"/>
                <w:szCs w:val="20"/>
              </w:rPr>
              <w:t>：能根据环境需要确定自己的学习目标，并主动地通过搜集信息、分析信息、讨论、实践、质疑、创造等方法来实现学习目标。</w:t>
            </w:r>
          </w:p>
          <w:p w14:paraId="50A143A5">
            <w:pPr>
              <w:pStyle w:val="15"/>
              <w:widowControl w:val="0"/>
              <w:numPr>
                <w:ilvl w:val="0"/>
                <w:numId w:val="1"/>
              </w:numPr>
              <w:tabs>
                <w:tab w:val="left" w:pos="916"/>
                <w:tab w:val="left" w:pos="1832"/>
                <w:tab w:val="left" w:pos="2748"/>
                <w:tab w:val="left" w:pos="3664"/>
                <w:tab w:val="left" w:pos="42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jc w:val="both"/>
              <w:rPr>
                <w:rFonts w:asciiTheme="minorEastAsia" w:hAnsiTheme="minorEastAsia" w:eastAsiaTheme="minorEastAsia"/>
                <w:bCs/>
                <w:sz w:val="20"/>
                <w:szCs w:val="20"/>
              </w:rPr>
            </w:pPr>
            <w:r>
              <w:rPr>
                <w:rFonts w:asciiTheme="minorEastAsia" w:hAnsiTheme="minorEastAsia" w:eastAsiaTheme="minorEastAsia"/>
                <w:bCs/>
                <w:sz w:val="21"/>
                <w:szCs w:val="20"/>
              </w:rPr>
              <w:t>能根据需要确定学习目标，并设计学习计划。</w:t>
            </w:r>
          </w:p>
        </w:tc>
      </w:tr>
      <w:tr w14:paraId="4675CA5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38" w:hRule="atLeast"/>
        </w:trPr>
        <w:tc>
          <w:tcPr>
            <w:tcW w:w="8276" w:type="dxa"/>
          </w:tcPr>
          <w:p w14:paraId="5710E332">
            <w:pPr>
              <w:pStyle w:val="14"/>
              <w:widowControl w:val="0"/>
              <w:jc w:val="left"/>
              <w:rPr>
                <w:rFonts w:cs="Times New Roman"/>
              </w:rPr>
            </w:pPr>
            <w:r>
              <w:rPr>
                <w:rFonts w:cs="Times New Roman"/>
              </w:rPr>
              <w:t>LO6</w:t>
            </w:r>
            <w:r>
              <w:rPr>
                <w:rFonts w:cs="Times New Roman"/>
                <w:b/>
              </w:rPr>
              <w:t>协同创新</w:t>
            </w:r>
            <w:r>
              <w:rPr>
                <w:rFonts w:cs="Times New Roman"/>
              </w:rPr>
              <w:t>：同群体保持良好的合作关系，做集体中的积极成员，善于自我管理和团队管理；善于从多个维度思考问题，利用自己的知识与实践来提出新设想。</w:t>
            </w:r>
          </w:p>
          <w:p w14:paraId="4897E4BE">
            <w:pPr>
              <w:pStyle w:val="14"/>
              <w:widowControl w:val="0"/>
              <w:jc w:val="left"/>
              <w:rPr>
                <w:rFonts w:cs="Times New Roman"/>
              </w:rPr>
            </w:pPr>
            <w:r>
              <w:rPr>
                <w:rFonts w:hint="eastAsia" w:cs="Times New Roman"/>
              </w:rPr>
              <w:t>③</w:t>
            </w:r>
            <w:r>
              <w:rPr>
                <w:rFonts w:cs="Times New Roman"/>
              </w:rPr>
              <w:t>能用创新的方法或者多种方法解决复杂问题或真实问题。</w:t>
            </w:r>
          </w:p>
        </w:tc>
      </w:tr>
    </w:tbl>
    <w:p w14:paraId="2CA4659A">
      <w:pPr>
        <w:pStyle w:val="17"/>
        <w:spacing w:before="156" w:after="156"/>
      </w:pPr>
      <w:r>
        <w:rPr>
          <w:rFonts w:hint="eastAsia"/>
        </w:rPr>
        <w:t>（三）毕业要求与课程目标的关系</w:t>
      </w:r>
    </w:p>
    <w:p w14:paraId="7140D7A8">
      <w:pPr>
        <w:widowControl w:val="0"/>
        <w:rPr>
          <w:color w:val="000000" w:themeColor="text1"/>
          <w:sz w:val="21"/>
          <w:szCs w:val="21"/>
          <w14:textFill>
            <w14:solidFill>
              <w14:schemeClr w14:val="tx1"/>
            </w14:solidFill>
          </w14:textFill>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C1B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F1B278D">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63ACA9E">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862E674">
            <w:pPr>
              <w:pStyle w:val="13"/>
              <w:rPr>
                <w:szCs w:val="16"/>
              </w:rPr>
            </w:pPr>
            <w:r>
              <w:rPr>
                <w:rFonts w:hint="eastAsia"/>
                <w:szCs w:val="16"/>
              </w:rPr>
              <w:t>支撑度</w:t>
            </w:r>
          </w:p>
        </w:tc>
        <w:tc>
          <w:tcPr>
            <w:tcW w:w="4651" w:type="dxa"/>
            <w:tcBorders>
              <w:top w:val="single" w:color="auto" w:sz="12" w:space="0"/>
            </w:tcBorders>
            <w:vAlign w:val="center"/>
          </w:tcPr>
          <w:p w14:paraId="44141470">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4DDD641">
            <w:pPr>
              <w:pStyle w:val="13"/>
              <w:rPr>
                <w:szCs w:val="16"/>
              </w:rPr>
            </w:pPr>
            <w:r>
              <w:rPr>
                <w:rFonts w:hint="eastAsia"/>
                <w:szCs w:val="16"/>
              </w:rPr>
              <w:t>对指标点的贡献度</w:t>
            </w:r>
          </w:p>
        </w:tc>
      </w:tr>
      <w:tr w14:paraId="4BC3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50CB9A94">
            <w:pPr>
              <w:pStyle w:val="14"/>
              <w:rPr>
                <w:rFonts w:cs="Times New Roman"/>
                <w:b/>
              </w:rPr>
            </w:pPr>
            <w:r>
              <w:rPr>
                <w:rFonts w:cs="Times New Roman"/>
                <w:b/>
              </w:rPr>
              <w:t>LO1</w:t>
            </w:r>
          </w:p>
        </w:tc>
        <w:tc>
          <w:tcPr>
            <w:tcW w:w="775" w:type="dxa"/>
            <w:tcBorders>
              <w:left w:val="single" w:color="auto" w:sz="4" w:space="0"/>
            </w:tcBorders>
            <w:vAlign w:val="center"/>
          </w:tcPr>
          <w:p w14:paraId="26A9A1FD">
            <w:pPr>
              <w:pStyle w:val="14"/>
              <w:rPr>
                <w:rFonts w:cs="Times New Roman"/>
                <w:bCs/>
              </w:rPr>
            </w:pPr>
            <w:r>
              <w:rPr>
                <w:rFonts w:ascii="Cambria Math" w:hAnsi="Cambria Math" w:cs="Cambria Math"/>
                <w:bCs/>
              </w:rPr>
              <w:t>①</w:t>
            </w:r>
          </w:p>
        </w:tc>
        <w:tc>
          <w:tcPr>
            <w:tcW w:w="775" w:type="dxa"/>
            <w:tcBorders>
              <w:right w:val="double" w:color="auto" w:sz="4" w:space="0"/>
            </w:tcBorders>
            <w:shd w:val="clear" w:color="auto" w:fill="auto"/>
            <w:vAlign w:val="center"/>
          </w:tcPr>
          <w:p w14:paraId="270DAB56">
            <w:pPr>
              <w:pStyle w:val="14"/>
              <w:rPr>
                <w:rFonts w:cs="Times New Roman"/>
              </w:rPr>
            </w:pPr>
            <w:r>
              <w:rPr>
                <w:rFonts w:cs="Times New Roman"/>
              </w:rPr>
              <w:t>M</w:t>
            </w:r>
          </w:p>
        </w:tc>
        <w:tc>
          <w:tcPr>
            <w:tcW w:w="4651" w:type="dxa"/>
            <w:vAlign w:val="center"/>
          </w:tcPr>
          <w:p w14:paraId="0BE258E6">
            <w:pPr>
              <w:pStyle w:val="14"/>
              <w:jc w:val="left"/>
              <w:rPr>
                <w:rFonts w:cs="Times New Roman"/>
              </w:rPr>
            </w:pPr>
            <w:r>
              <w:rPr>
                <w:rFonts w:hint="eastAsia" w:asciiTheme="minorEastAsia" w:hAnsiTheme="minorEastAsia" w:eastAsiaTheme="minorEastAsia"/>
                <w:color w:val="000000" w:themeColor="text1"/>
                <w14:textFill>
                  <w14:solidFill>
                    <w14:schemeClr w14:val="tx1"/>
                  </w14:solidFill>
                </w14:textFill>
              </w:rPr>
              <w:t>培养</w:t>
            </w:r>
            <w:r>
              <w:rPr>
                <w:rFonts w:asciiTheme="minorEastAsia" w:hAnsiTheme="minorEastAsia" w:eastAsiaTheme="minorEastAsia"/>
                <w:color w:val="000000" w:themeColor="text1"/>
                <w14:textFill>
                  <w14:solidFill>
                    <w14:schemeClr w14:val="tx1"/>
                  </w14:solidFill>
                </w14:textFill>
              </w:rPr>
              <w:t>学生</w:t>
            </w:r>
            <w:r>
              <w:rPr>
                <w:rFonts w:hint="eastAsia" w:asciiTheme="minorEastAsia" w:hAnsiTheme="minorEastAsia" w:eastAsiaTheme="minorEastAsia"/>
                <w:color w:val="000000" w:themeColor="text1"/>
                <w14:textFill>
                  <w14:solidFill>
                    <w14:schemeClr w14:val="tx1"/>
                  </w14:solidFill>
                </w14:textFill>
              </w:rPr>
              <w:t>知法、懂法、</w:t>
            </w:r>
            <w:r>
              <w:t>增强法律意识，培养法律思维，自觉遵守法律 法规、校纪校规。</w:t>
            </w:r>
          </w:p>
        </w:tc>
        <w:tc>
          <w:tcPr>
            <w:tcW w:w="1316" w:type="dxa"/>
            <w:tcBorders>
              <w:right w:val="single" w:color="auto" w:sz="12" w:space="0"/>
            </w:tcBorders>
            <w:vAlign w:val="center"/>
          </w:tcPr>
          <w:p w14:paraId="23A53EB0">
            <w:pPr>
              <w:pStyle w:val="14"/>
              <w:rPr>
                <w:rFonts w:ascii="宋体" w:hAnsi="宋体"/>
                <w:bCs/>
              </w:rPr>
            </w:pPr>
            <w:r>
              <w:rPr>
                <w:rFonts w:ascii="宋体" w:hAnsi="宋体"/>
                <w:bCs/>
              </w:rPr>
              <w:t>100%</w:t>
            </w:r>
          </w:p>
        </w:tc>
      </w:tr>
      <w:tr w14:paraId="00A3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67D5664">
            <w:pPr>
              <w:pStyle w:val="14"/>
              <w:rPr>
                <w:rFonts w:cs="Times New Roman"/>
                <w:b/>
              </w:rPr>
            </w:pPr>
            <w:r>
              <w:rPr>
                <w:rFonts w:cs="Times New Roman"/>
                <w:b/>
              </w:rPr>
              <w:t>LO4</w:t>
            </w:r>
          </w:p>
        </w:tc>
        <w:tc>
          <w:tcPr>
            <w:tcW w:w="775" w:type="dxa"/>
            <w:vMerge w:val="restart"/>
            <w:tcBorders>
              <w:left w:val="single" w:color="auto" w:sz="4" w:space="0"/>
            </w:tcBorders>
            <w:vAlign w:val="center"/>
          </w:tcPr>
          <w:p w14:paraId="1CD9CB34">
            <w:pPr>
              <w:pStyle w:val="14"/>
              <w:rPr>
                <w:rFonts w:cs="Times New Roman"/>
                <w:bCs/>
              </w:rPr>
            </w:pPr>
            <w:r>
              <w:rPr>
                <w:rFonts w:ascii="Cambria Math" w:hAnsi="Cambria Math" w:cs="Cambria Math"/>
                <w:bCs/>
              </w:rPr>
              <w:t>①</w:t>
            </w:r>
          </w:p>
        </w:tc>
        <w:tc>
          <w:tcPr>
            <w:tcW w:w="775" w:type="dxa"/>
            <w:vMerge w:val="restart"/>
            <w:tcBorders>
              <w:right w:val="double" w:color="auto" w:sz="4" w:space="0"/>
            </w:tcBorders>
            <w:shd w:val="clear" w:color="auto" w:fill="auto"/>
            <w:vAlign w:val="center"/>
          </w:tcPr>
          <w:p w14:paraId="076DD208">
            <w:pPr>
              <w:pStyle w:val="14"/>
              <w:rPr>
                <w:rFonts w:cs="Times New Roman"/>
              </w:rPr>
            </w:pPr>
            <w:r>
              <w:rPr>
                <w:rFonts w:cs="Times New Roman"/>
              </w:rPr>
              <w:t>M</w:t>
            </w:r>
          </w:p>
        </w:tc>
        <w:tc>
          <w:tcPr>
            <w:tcW w:w="4651" w:type="dxa"/>
            <w:vAlign w:val="center"/>
          </w:tcPr>
          <w:p w14:paraId="62335A48">
            <w:pPr>
              <w:pStyle w:val="14"/>
              <w:jc w:val="left"/>
              <w:rPr>
                <w:rFonts w:cs="Times New Roman"/>
              </w:rPr>
            </w:pPr>
            <w:r>
              <w:rPr>
                <w:rFonts w:hint="eastAsia" w:asciiTheme="minorEastAsia" w:hAnsiTheme="minorEastAsia" w:eastAsiaTheme="minorEastAsia"/>
                <w:color w:val="000000" w:themeColor="text1"/>
                <w14:textFill>
                  <w14:solidFill>
                    <w14:schemeClr w14:val="tx1"/>
                  </w14:solidFill>
                </w14:textFill>
              </w:rPr>
              <w:t>具备自主</w:t>
            </w:r>
            <w:r>
              <w:rPr>
                <w:rFonts w:asciiTheme="minorEastAsia" w:hAnsiTheme="minorEastAsia" w:eastAsiaTheme="minorEastAsia"/>
                <w:color w:val="000000" w:themeColor="text1"/>
                <w14:textFill>
                  <w14:solidFill>
                    <w14:schemeClr w14:val="tx1"/>
                  </w14:solidFill>
                </w14:textFill>
              </w:rPr>
              <w:t>学习，</w:t>
            </w:r>
            <w:r>
              <w:rPr>
                <w:rFonts w:hint="eastAsia" w:asciiTheme="minorEastAsia" w:hAnsiTheme="minorEastAsia" w:eastAsiaTheme="minorEastAsia"/>
                <w:color w:val="000000" w:themeColor="text1"/>
                <w14:textFill>
                  <w14:solidFill>
                    <w14:schemeClr w14:val="tx1"/>
                  </w14:solidFill>
                </w14:textFill>
              </w:rPr>
              <w:t>表达</w:t>
            </w:r>
            <w:r>
              <w:rPr>
                <w:rFonts w:asciiTheme="minorEastAsia" w:hAnsiTheme="minorEastAsia" w:eastAsiaTheme="minorEastAsia"/>
                <w:color w:val="000000" w:themeColor="text1"/>
                <w14:textFill>
                  <w14:solidFill>
                    <w14:schemeClr w14:val="tx1"/>
                  </w14:solidFill>
                </w14:textFill>
              </w:rPr>
              <w:t>沟通，</w:t>
            </w:r>
            <w:r>
              <w:rPr>
                <w:rFonts w:hint="eastAsia" w:asciiTheme="minorEastAsia" w:hAnsiTheme="minorEastAsia" w:eastAsiaTheme="minorEastAsia"/>
                <w:color w:val="000000" w:themeColor="text1"/>
                <w14:textFill>
                  <w14:solidFill>
                    <w14:schemeClr w14:val="tx1"/>
                  </w14:solidFill>
                </w14:textFill>
              </w:rPr>
              <w:t>团队协作</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依法参与治理实践创新能力</w:t>
            </w:r>
          </w:p>
        </w:tc>
        <w:tc>
          <w:tcPr>
            <w:tcW w:w="1316" w:type="dxa"/>
            <w:tcBorders>
              <w:right w:val="single" w:color="auto" w:sz="12" w:space="0"/>
            </w:tcBorders>
            <w:vAlign w:val="center"/>
          </w:tcPr>
          <w:p w14:paraId="63E29734">
            <w:pPr>
              <w:pStyle w:val="14"/>
              <w:rPr>
                <w:rFonts w:ascii="宋体" w:hAnsi="宋体"/>
                <w:bCs/>
              </w:rPr>
            </w:pPr>
            <w:r>
              <w:rPr>
                <w:rFonts w:ascii="宋体" w:hAnsi="宋体"/>
                <w:bCs/>
              </w:rPr>
              <w:t>50%</w:t>
            </w:r>
          </w:p>
        </w:tc>
      </w:tr>
      <w:tr w14:paraId="2F48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6" w:hRule="atLeast"/>
          <w:jc w:val="center"/>
        </w:trPr>
        <w:tc>
          <w:tcPr>
            <w:tcW w:w="759" w:type="dxa"/>
            <w:vMerge w:val="continue"/>
            <w:tcBorders>
              <w:left w:val="single" w:color="auto" w:sz="12" w:space="0"/>
              <w:right w:val="single" w:color="auto" w:sz="4" w:space="0"/>
            </w:tcBorders>
            <w:shd w:val="clear" w:color="auto" w:fill="auto"/>
            <w:vAlign w:val="center"/>
          </w:tcPr>
          <w:p w14:paraId="5FA14F5D">
            <w:pPr>
              <w:pStyle w:val="14"/>
              <w:rPr>
                <w:rFonts w:cs="Times New Roman"/>
              </w:rPr>
            </w:pPr>
          </w:p>
        </w:tc>
        <w:tc>
          <w:tcPr>
            <w:tcW w:w="775" w:type="dxa"/>
            <w:vMerge w:val="continue"/>
            <w:tcBorders>
              <w:left w:val="single" w:color="auto" w:sz="4" w:space="0"/>
            </w:tcBorders>
            <w:vAlign w:val="center"/>
          </w:tcPr>
          <w:p w14:paraId="61C3A842">
            <w:pPr>
              <w:pStyle w:val="14"/>
              <w:rPr>
                <w:rFonts w:cs="Times New Roman"/>
                <w:bCs/>
              </w:rPr>
            </w:pPr>
          </w:p>
        </w:tc>
        <w:tc>
          <w:tcPr>
            <w:tcW w:w="775" w:type="dxa"/>
            <w:vMerge w:val="continue"/>
            <w:tcBorders>
              <w:right w:val="double" w:color="auto" w:sz="4" w:space="0"/>
            </w:tcBorders>
            <w:shd w:val="clear" w:color="auto" w:fill="auto"/>
            <w:vAlign w:val="center"/>
          </w:tcPr>
          <w:p w14:paraId="0C8A8A09">
            <w:pPr>
              <w:pStyle w:val="14"/>
              <w:rPr>
                <w:rFonts w:cs="Times New Roman"/>
              </w:rPr>
            </w:pPr>
          </w:p>
        </w:tc>
        <w:tc>
          <w:tcPr>
            <w:tcW w:w="4651" w:type="dxa"/>
            <w:vAlign w:val="center"/>
          </w:tcPr>
          <w:p w14:paraId="3D0B78C9">
            <w:pPr>
              <w:pStyle w:val="14"/>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能够运用法学知识，处理解决实际生活中的纠纷</w:t>
            </w:r>
          </w:p>
        </w:tc>
        <w:tc>
          <w:tcPr>
            <w:tcW w:w="1316" w:type="dxa"/>
            <w:tcBorders>
              <w:right w:val="single" w:color="auto" w:sz="12" w:space="0"/>
            </w:tcBorders>
            <w:vAlign w:val="center"/>
          </w:tcPr>
          <w:p w14:paraId="4EEECF5E">
            <w:pPr>
              <w:pStyle w:val="14"/>
              <w:rPr>
                <w:rFonts w:ascii="宋体" w:hAnsi="宋体"/>
                <w:bCs/>
              </w:rPr>
            </w:pPr>
            <w:r>
              <w:rPr>
                <w:rFonts w:ascii="宋体" w:hAnsi="宋体"/>
                <w:bCs/>
              </w:rPr>
              <w:t>50%</w:t>
            </w:r>
          </w:p>
        </w:tc>
      </w:tr>
      <w:tr w14:paraId="6A92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0C3A1A31">
            <w:pPr>
              <w:pStyle w:val="14"/>
              <w:rPr>
                <w:rFonts w:cs="Times New Roman"/>
                <w:b/>
              </w:rPr>
            </w:pPr>
            <w:r>
              <w:rPr>
                <w:rFonts w:cs="Times New Roman"/>
                <w:b/>
              </w:rPr>
              <w:t>LO6</w:t>
            </w:r>
          </w:p>
        </w:tc>
        <w:tc>
          <w:tcPr>
            <w:tcW w:w="775" w:type="dxa"/>
            <w:tcBorders>
              <w:left w:val="single" w:color="auto" w:sz="4" w:space="0"/>
              <w:bottom w:val="single" w:color="auto" w:sz="12" w:space="0"/>
            </w:tcBorders>
            <w:vAlign w:val="center"/>
          </w:tcPr>
          <w:p w14:paraId="7F518426">
            <w:pPr>
              <w:pStyle w:val="14"/>
              <w:rPr>
                <w:rFonts w:cs="Times New Roman"/>
                <w:bCs/>
              </w:rPr>
            </w:pPr>
            <w:r>
              <w:rPr>
                <w:rFonts w:ascii="Cambria Math" w:hAnsi="Cambria Math" w:cs="Cambria Math"/>
                <w:bCs/>
              </w:rPr>
              <w:t>①</w:t>
            </w:r>
          </w:p>
        </w:tc>
        <w:tc>
          <w:tcPr>
            <w:tcW w:w="775" w:type="dxa"/>
            <w:tcBorders>
              <w:bottom w:val="single" w:color="auto" w:sz="12" w:space="0"/>
              <w:right w:val="double" w:color="auto" w:sz="4" w:space="0"/>
            </w:tcBorders>
            <w:shd w:val="clear" w:color="auto" w:fill="auto"/>
            <w:vAlign w:val="center"/>
          </w:tcPr>
          <w:p w14:paraId="3E1405DC">
            <w:pPr>
              <w:pStyle w:val="14"/>
              <w:rPr>
                <w:rFonts w:cs="Times New Roman"/>
              </w:rPr>
            </w:pPr>
            <w:r>
              <w:rPr>
                <w:rFonts w:cs="Times New Roman"/>
              </w:rPr>
              <w:t>L</w:t>
            </w:r>
          </w:p>
        </w:tc>
        <w:tc>
          <w:tcPr>
            <w:tcW w:w="4651" w:type="dxa"/>
            <w:tcBorders>
              <w:bottom w:val="single" w:color="auto" w:sz="12" w:space="0"/>
            </w:tcBorders>
            <w:vAlign w:val="center"/>
          </w:tcPr>
          <w:p w14:paraId="45E30A2F">
            <w:pPr>
              <w:pStyle w:val="14"/>
              <w:jc w:val="left"/>
              <w:rPr>
                <w:rFonts w:cs="Times New Roman"/>
              </w:rPr>
            </w:pPr>
            <w:r>
              <w:rPr>
                <w:rFonts w:hint="eastAsia" w:asciiTheme="minorEastAsia" w:hAnsiTheme="minorEastAsia" w:eastAsiaTheme="minorEastAsia"/>
                <w:color w:val="000000" w:themeColor="text1"/>
                <w14:textFill>
                  <w14:solidFill>
                    <w14:schemeClr w14:val="tx1"/>
                  </w14:solidFill>
                </w14:textFill>
              </w:rPr>
              <w:t>通过学习和分析法律案件， 掌握实体法的基础知识以及法律诉讼的程序。</w:t>
            </w:r>
          </w:p>
        </w:tc>
        <w:tc>
          <w:tcPr>
            <w:tcW w:w="1316" w:type="dxa"/>
            <w:tcBorders>
              <w:bottom w:val="single" w:color="auto" w:sz="12" w:space="0"/>
              <w:right w:val="single" w:color="auto" w:sz="12" w:space="0"/>
            </w:tcBorders>
            <w:vAlign w:val="center"/>
          </w:tcPr>
          <w:p w14:paraId="3771E4B9">
            <w:pPr>
              <w:pStyle w:val="14"/>
              <w:rPr>
                <w:rFonts w:ascii="宋体" w:hAnsi="宋体"/>
                <w:bCs/>
              </w:rPr>
            </w:pPr>
            <w:r>
              <w:rPr>
                <w:rFonts w:hint="eastAsia" w:ascii="宋体" w:hAnsi="宋体"/>
                <w:bCs/>
              </w:rPr>
              <w:t>1</w:t>
            </w:r>
            <w:r>
              <w:rPr>
                <w:rFonts w:ascii="宋体" w:hAnsi="宋体"/>
                <w:bCs/>
              </w:rPr>
              <w:t>00%</w:t>
            </w:r>
          </w:p>
        </w:tc>
      </w:tr>
    </w:tbl>
    <w:p w14:paraId="30FCC9E4">
      <w:pPr>
        <w:pStyle w:val="17"/>
        <w:spacing w:before="156" w:after="156"/>
        <w:rPr>
          <w:color w:val="000000" w:themeColor="text1"/>
          <w:sz w:val="21"/>
          <w:szCs w:val="21"/>
          <w14:textFill>
            <w14:solidFill>
              <w14:schemeClr w14:val="tx1"/>
            </w14:solidFill>
          </w14:textFill>
        </w:rPr>
      </w:pPr>
    </w:p>
    <w:p w14:paraId="4F4DE0F3">
      <w:pPr>
        <w:pStyle w:val="16"/>
        <w:spacing w:before="312"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4299D74">
      <w:pPr>
        <w:pStyle w:val="17"/>
        <w:spacing w:before="156" w:after="156"/>
      </w:pPr>
      <w:r>
        <w:rPr>
          <w:rFonts w:hint="eastAsia"/>
        </w:rPr>
        <w:t>（一）各教学单元预期学习成果与教学内容</w:t>
      </w:r>
    </w:p>
    <w:p w14:paraId="1A6D8A21">
      <w:pPr>
        <w:widowControl w:val="0"/>
        <w:rPr>
          <w:color w:val="000000" w:themeColor="text1"/>
          <w:sz w:val="21"/>
          <w:szCs w:val="21"/>
          <w14:textFill>
            <w14:solidFill>
              <w14:schemeClr w14:val="tx1"/>
            </w14:solidFill>
          </w14:textFill>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45C59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5FF5CE9">
            <w:pPr>
              <w:widowControl w:val="0"/>
              <w:spacing w:line="360" w:lineRule="auto"/>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第一章 法学概论</w:t>
            </w:r>
          </w:p>
          <w:p w14:paraId="1CA35927">
            <w:pPr>
              <w:widowControl w:val="0"/>
              <w:spacing w:line="360" w:lineRule="auto"/>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通过案例使学生了解我国法制建设过程中的基础知识，了解我国法治建设的发展。</w:t>
            </w:r>
          </w:p>
          <w:p w14:paraId="7709B59C">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通过了解中西方古代法庭、庭审、刑罚及相关制度等比较中西方法制文化的区别；</w:t>
            </w:r>
          </w:p>
          <w:p w14:paraId="2201A2B1">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教学重点：理解苏报案及会审公廨制度对中国法制进程的积极影响；</w:t>
            </w:r>
          </w:p>
          <w:p w14:paraId="47234CC9">
            <w:pPr>
              <w:pStyle w:val="14"/>
              <w:widowControl w:val="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w:t>
            </w:r>
            <w:r>
              <w:rPr>
                <w:rFonts w:asciiTheme="minorEastAsia" w:hAnsiTheme="minorEastAsia" w:eastAsiaTheme="minorEastAsia"/>
                <w:color w:val="000000" w:themeColor="text1"/>
                <w14:textFill>
                  <w14:solidFill>
                    <w14:schemeClr w14:val="tx1"/>
                  </w14:solidFill>
                </w14:textFill>
              </w:rPr>
              <w:t>难点</w:t>
            </w:r>
            <w:r>
              <w:rPr>
                <w:rFonts w:hint="eastAsia" w:asciiTheme="minorEastAsia" w:hAnsiTheme="minorEastAsia" w:eastAsiaTheme="minorEastAsia"/>
                <w:color w:val="000000" w:themeColor="text1"/>
                <w14:textFill>
                  <w14:solidFill>
                    <w14:schemeClr w14:val="tx1"/>
                  </w14:solidFill>
                </w14:textFill>
              </w:rPr>
              <w:t>:中法</w:t>
            </w:r>
            <w:r>
              <w:rPr>
                <w:rFonts w:asciiTheme="minorEastAsia" w:hAnsiTheme="minorEastAsia" w:eastAsiaTheme="minorEastAsia"/>
                <w:color w:val="000000" w:themeColor="text1"/>
                <w14:textFill>
                  <w14:solidFill>
                    <w14:schemeClr w14:val="tx1"/>
                  </w14:solidFill>
                </w14:textFill>
              </w:rPr>
              <w:t>史</w:t>
            </w:r>
            <w:r>
              <w:rPr>
                <w:rFonts w:hint="eastAsia" w:asciiTheme="minorEastAsia" w:hAnsiTheme="minorEastAsia" w:eastAsiaTheme="minorEastAsia"/>
                <w:color w:val="000000" w:themeColor="text1"/>
                <w14:textFill>
                  <w14:solidFill>
                    <w14:schemeClr w14:val="tx1"/>
                  </w14:solidFill>
                </w14:textFill>
              </w:rPr>
              <w:t>案件启迪</w:t>
            </w:r>
            <w:r>
              <w:rPr>
                <w:rFonts w:asciiTheme="minorEastAsia" w:hAnsiTheme="minorEastAsia" w:eastAsiaTheme="minorEastAsia"/>
                <w:color w:val="000000" w:themeColor="text1"/>
                <w14:textFill>
                  <w14:solidFill>
                    <w14:schemeClr w14:val="tx1"/>
                  </w14:solidFill>
                </w14:textFill>
              </w:rPr>
              <w:t>和差异</w:t>
            </w:r>
            <w:r>
              <w:rPr>
                <w:rFonts w:hint="eastAsia" w:asciiTheme="minorEastAsia" w:hAnsiTheme="minorEastAsia" w:eastAsiaTheme="minorEastAsia"/>
                <w:color w:val="000000" w:themeColor="text1"/>
                <w14:textFill>
                  <w14:solidFill>
                    <w14:schemeClr w14:val="tx1"/>
                  </w14:solidFill>
                </w14:textFill>
              </w:rPr>
              <w:t>，进化论案的背景及历史影响.</w:t>
            </w:r>
          </w:p>
        </w:tc>
      </w:tr>
      <w:tr w14:paraId="18330E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3595ED">
            <w:pPr>
              <w:widowControl w:val="0"/>
              <w:spacing w:line="360" w:lineRule="auto"/>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第二章 宪法</w:t>
            </w:r>
          </w:p>
          <w:p w14:paraId="26302EA7">
            <w:pPr>
              <w:widowControl w:val="0"/>
              <w:spacing w:line="360" w:lineRule="auto"/>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通过违宪案例使学生理解宪法的概念、地位，了解我国宪法的基本内容。</w:t>
            </w:r>
          </w:p>
          <w:p w14:paraId="56A224AE">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通过法庭观摩（旁听），提高国民法律意识、促进法治进程，培养法律人才</w:t>
            </w:r>
          </w:p>
          <w:p w14:paraId="38A7DF0C">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w:t>
            </w:r>
            <w:r>
              <w:rPr>
                <w:rFonts w:asciiTheme="minorEastAsia" w:hAnsiTheme="minorEastAsia" w:eastAsiaTheme="minorEastAsia"/>
                <w:color w:val="000000" w:themeColor="text1"/>
                <w14:textFill>
                  <w14:solidFill>
                    <w14:schemeClr w14:val="tx1"/>
                  </w14:solidFill>
                </w14:textFill>
              </w:rPr>
              <w:t>重点：</w:t>
            </w:r>
            <w:r>
              <w:rPr>
                <w:rFonts w:hint="eastAsia" w:asciiTheme="minorEastAsia" w:hAnsiTheme="minorEastAsia" w:eastAsiaTheme="minorEastAsia"/>
                <w:color w:val="000000" w:themeColor="text1"/>
                <w14:textFill>
                  <w14:solidFill>
                    <w14:schemeClr w14:val="tx1"/>
                  </w14:solidFill>
                </w14:textFill>
              </w:rPr>
              <w:t>中国宪法的性质、地位及基本内容</w:t>
            </w:r>
          </w:p>
          <w:p w14:paraId="4A2E9792">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w:t>
            </w:r>
            <w:r>
              <w:rPr>
                <w:rFonts w:asciiTheme="minorEastAsia" w:hAnsiTheme="minorEastAsia" w:eastAsiaTheme="minorEastAsia"/>
                <w:color w:val="000000" w:themeColor="text1"/>
                <w14:textFill>
                  <w14:solidFill>
                    <w14:schemeClr w14:val="tx1"/>
                  </w14:solidFill>
                </w14:textFill>
              </w:rPr>
              <w:t>难点：</w:t>
            </w:r>
            <w:r>
              <w:rPr>
                <w:rFonts w:hint="eastAsia" w:asciiTheme="minorEastAsia" w:hAnsiTheme="minorEastAsia" w:eastAsiaTheme="minorEastAsia"/>
                <w:color w:val="000000" w:themeColor="text1"/>
                <w14:textFill>
                  <w14:solidFill>
                    <w14:schemeClr w14:val="tx1"/>
                  </w14:solidFill>
                </w14:textFill>
              </w:rPr>
              <w:t>理解马伯里诉麦迪逊案的历史意义、了解水门事件的经过</w:t>
            </w:r>
          </w:p>
        </w:tc>
      </w:tr>
      <w:tr w14:paraId="48BC12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361CF6E">
            <w:pPr>
              <w:widowControl w:val="0"/>
              <w:spacing w:line="360" w:lineRule="auto"/>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第三章  行政法</w:t>
            </w:r>
          </w:p>
          <w:p w14:paraId="792924CD">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通过行政法案例评析使学生了解行政法的调整对象、地位、特点、基本原则，了解行政主体、行政行为和行政救济。</w:t>
            </w:r>
          </w:p>
          <w:p w14:paraId="2CA5F4F1">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了解行政权的概念、了解行政法的含义、特点及作用</w:t>
            </w:r>
          </w:p>
          <w:p w14:paraId="0706CD55">
            <w:pPr>
              <w:widowControl w:val="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理解三鹿事件所反映的政府责任</w:t>
            </w:r>
          </w:p>
        </w:tc>
      </w:tr>
      <w:tr w14:paraId="2D66EC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2091264">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第四章  民法典-基本理论总则</w:t>
            </w:r>
            <w:r>
              <w:rPr>
                <w:rFonts w:asciiTheme="minorEastAsia" w:hAnsiTheme="minorEastAsia" w:eastAsiaTheme="minorEastAsia"/>
                <w:color w:val="000000" w:themeColor="text1"/>
                <w:sz w:val="21"/>
                <w:szCs w:val="21"/>
                <w14:textFill>
                  <w14:solidFill>
                    <w14:schemeClr w14:val="tx1"/>
                  </w14:solidFill>
                </w14:textFill>
              </w:rPr>
              <w:t>篇</w:t>
            </w:r>
          </w:p>
          <w:p w14:paraId="3C1504F1">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通过民法基本理论的学习理解民法的制定</w:t>
            </w:r>
            <w:r>
              <w:rPr>
                <w:rFonts w:asciiTheme="minorEastAsia" w:hAnsiTheme="minorEastAsia" w:eastAsiaTheme="minorEastAsia"/>
                <w:color w:val="000000" w:themeColor="text1"/>
                <w:sz w:val="21"/>
                <w:szCs w:val="21"/>
                <w14:textFill>
                  <w14:solidFill>
                    <w14:schemeClr w14:val="tx1"/>
                  </w14:solidFill>
                </w14:textFill>
              </w:rPr>
              <w:t>、基本</w:t>
            </w:r>
            <w:r>
              <w:rPr>
                <w:rFonts w:hint="eastAsia" w:asciiTheme="minorEastAsia" w:hAnsiTheme="minorEastAsia" w:eastAsiaTheme="minorEastAsia"/>
                <w:color w:val="000000" w:themeColor="text1"/>
                <w:sz w:val="21"/>
                <w:szCs w:val="21"/>
                <w14:textFill>
                  <w14:solidFill>
                    <w14:schemeClr w14:val="tx1"/>
                  </w14:solidFill>
                </w14:textFill>
              </w:rPr>
              <w:t>原则、民事权利能力的基本概念，加深对民法典的了解，培养法律思维。</w:t>
            </w:r>
          </w:p>
          <w:p w14:paraId="43E8069A">
            <w:pPr>
              <w:pStyle w:val="14"/>
              <w:widowControl w:val="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w:t>
            </w:r>
            <w:r>
              <w:rPr>
                <w:rFonts w:asciiTheme="minorEastAsia" w:hAnsiTheme="minorEastAsia" w:eastAsiaTheme="minorEastAsia"/>
                <w:color w:val="000000" w:themeColor="text1"/>
                <w14:textFill>
                  <w14:solidFill>
                    <w14:schemeClr w14:val="tx1"/>
                  </w14:solidFill>
                </w14:textFill>
              </w:rPr>
              <w:t>重点：民法典制定和法制化进程、民法典修订特点、民事权利</w:t>
            </w:r>
          </w:p>
          <w:p w14:paraId="3B26B2E3">
            <w:pPr>
              <w:pStyle w:val="14"/>
              <w:widowControl w:val="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教学</w:t>
            </w:r>
            <w:r>
              <w:rPr>
                <w:rFonts w:asciiTheme="minorEastAsia" w:hAnsiTheme="minorEastAsia" w:eastAsiaTheme="minorEastAsia"/>
                <w:color w:val="000000" w:themeColor="text1"/>
                <w14:textFill>
                  <w14:solidFill>
                    <w14:schemeClr w14:val="tx1"/>
                  </w14:solidFill>
                </w14:textFill>
              </w:rPr>
              <w:t>难点：民法典总则篇的</w:t>
            </w:r>
            <w:r>
              <w:rPr>
                <w:rFonts w:hint="eastAsia" w:asciiTheme="minorEastAsia" w:hAnsiTheme="minorEastAsia" w:eastAsiaTheme="minorEastAsia"/>
                <w:color w:val="000000" w:themeColor="text1"/>
                <w14:textFill>
                  <w14:solidFill>
                    <w14:schemeClr w14:val="tx1"/>
                  </w14:solidFill>
                </w14:textFill>
              </w:rPr>
              <w:t>基本</w:t>
            </w:r>
            <w:r>
              <w:rPr>
                <w:rFonts w:asciiTheme="minorEastAsia" w:hAnsiTheme="minorEastAsia" w:eastAsiaTheme="minorEastAsia"/>
                <w:color w:val="000000" w:themeColor="text1"/>
                <w14:textFill>
                  <w14:solidFill>
                    <w14:schemeClr w14:val="tx1"/>
                  </w14:solidFill>
                </w14:textFill>
              </w:rPr>
              <w:t>原则案件分析</w:t>
            </w:r>
          </w:p>
        </w:tc>
      </w:tr>
      <w:tr w14:paraId="5FC1C0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1E8567D">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第五章  民法典-合同篇</w:t>
            </w:r>
          </w:p>
          <w:p w14:paraId="12FFF081">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通过合同案例评析使学生了解合同订立、变更、终止等概念，掌握合同订立程序、违约责任，学会分析解决生活中实际法律问题。</w:t>
            </w:r>
          </w:p>
          <w:p w14:paraId="48D17C73">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了解合同订立、变更、终止基础</w:t>
            </w:r>
            <w:r>
              <w:rPr>
                <w:rFonts w:asciiTheme="minorEastAsia" w:hAnsiTheme="minorEastAsia" w:eastAsiaTheme="minorEastAsia"/>
                <w:color w:val="000000" w:themeColor="text1"/>
                <w:sz w:val="21"/>
                <w:szCs w:val="21"/>
                <w14:textFill>
                  <w14:solidFill>
                    <w14:schemeClr w14:val="tx1"/>
                  </w14:solidFill>
                </w14:textFill>
              </w:rPr>
              <w:t>知识。</w:t>
            </w:r>
          </w:p>
          <w:p w14:paraId="45DEC1DB">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难点：民法典合同篇</w:t>
            </w:r>
            <w:r>
              <w:rPr>
                <w:rFonts w:hint="eastAsia" w:asciiTheme="minorEastAsia" w:hAnsiTheme="minorEastAsia" w:eastAsiaTheme="minorEastAsia"/>
                <w:color w:val="000000" w:themeColor="text1"/>
                <w:sz w:val="21"/>
                <w:szCs w:val="21"/>
                <w14:textFill>
                  <w14:solidFill>
                    <w14:schemeClr w14:val="tx1"/>
                  </w14:solidFill>
                </w14:textFill>
              </w:rPr>
              <w:t>的</w:t>
            </w:r>
            <w:r>
              <w:rPr>
                <w:rFonts w:asciiTheme="minorEastAsia" w:hAnsiTheme="minorEastAsia" w:eastAsiaTheme="minorEastAsia"/>
                <w:color w:val="000000" w:themeColor="text1"/>
                <w:sz w:val="21"/>
                <w:szCs w:val="21"/>
                <w14:textFill>
                  <w14:solidFill>
                    <w14:schemeClr w14:val="tx1"/>
                  </w14:solidFill>
                </w14:textFill>
              </w:rPr>
              <w:t>订立、违约责任案件分析</w:t>
            </w:r>
          </w:p>
        </w:tc>
      </w:tr>
      <w:tr w14:paraId="53B008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73EE1B">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第六章  婚姻家庭继承法</w:t>
            </w:r>
          </w:p>
          <w:p w14:paraId="576C3328">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通过婚姻家庭继承法案例评析使学生理解结婚及离婚的条件、离婚财产分配及法定继承的顺序，学会用理论知识分析生活中的实际问题。</w:t>
            </w:r>
          </w:p>
          <w:p w14:paraId="7AE5916C">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重点：民法典之婚姻</w:t>
            </w:r>
            <w:r>
              <w:rPr>
                <w:rFonts w:hint="eastAsia" w:asciiTheme="minorEastAsia" w:hAnsiTheme="minorEastAsia" w:eastAsiaTheme="minorEastAsia"/>
                <w:color w:val="000000" w:themeColor="text1"/>
                <w:sz w:val="21"/>
                <w:szCs w:val="21"/>
                <w14:textFill>
                  <w14:solidFill>
                    <w14:schemeClr w14:val="tx1"/>
                  </w14:solidFill>
                </w14:textFill>
              </w:rPr>
              <w:t>家庭继承</w:t>
            </w:r>
            <w:r>
              <w:rPr>
                <w:rFonts w:asciiTheme="minorEastAsia" w:hAnsiTheme="minorEastAsia" w:eastAsiaTheme="minorEastAsia"/>
                <w:color w:val="000000" w:themeColor="text1"/>
                <w:sz w:val="21"/>
                <w:szCs w:val="21"/>
                <w14:textFill>
                  <w14:solidFill>
                    <w14:schemeClr w14:val="tx1"/>
                  </w14:solidFill>
                </w14:textFill>
              </w:rPr>
              <w:t>的</w:t>
            </w:r>
            <w:r>
              <w:rPr>
                <w:rFonts w:hint="eastAsia" w:asciiTheme="minorEastAsia" w:hAnsiTheme="minorEastAsia" w:eastAsiaTheme="minorEastAsia"/>
                <w:color w:val="000000" w:themeColor="text1"/>
                <w:sz w:val="21"/>
                <w:szCs w:val="21"/>
                <w14:textFill>
                  <w14:solidFill>
                    <w14:schemeClr w14:val="tx1"/>
                  </w14:solidFill>
                </w14:textFill>
              </w:rPr>
              <w:t>基础</w:t>
            </w:r>
            <w:r>
              <w:rPr>
                <w:rFonts w:asciiTheme="minorEastAsia" w:hAnsiTheme="minorEastAsia" w:eastAsiaTheme="minorEastAsia"/>
                <w:color w:val="000000" w:themeColor="text1"/>
                <w:sz w:val="21"/>
                <w:szCs w:val="21"/>
                <w14:textFill>
                  <w14:solidFill>
                    <w14:schemeClr w14:val="tx1"/>
                  </w14:solidFill>
                </w14:textFill>
              </w:rPr>
              <w:t>知识</w:t>
            </w:r>
          </w:p>
          <w:p w14:paraId="47DD9C1A">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继承</w:t>
            </w:r>
            <w:r>
              <w:rPr>
                <w:rFonts w:asciiTheme="minorEastAsia" w:hAnsiTheme="minorEastAsia" w:eastAsiaTheme="minorEastAsia"/>
                <w:color w:val="000000" w:themeColor="text1"/>
                <w:sz w:val="21"/>
                <w:szCs w:val="21"/>
                <w14:textFill>
                  <w14:solidFill>
                    <w14:schemeClr w14:val="tx1"/>
                  </w14:solidFill>
                </w14:textFill>
              </w:rPr>
              <w:t>顺序和</w:t>
            </w:r>
            <w:r>
              <w:rPr>
                <w:rFonts w:hint="eastAsia" w:asciiTheme="minorEastAsia" w:hAnsiTheme="minorEastAsia" w:eastAsiaTheme="minorEastAsia"/>
                <w:color w:val="000000" w:themeColor="text1"/>
                <w:sz w:val="21"/>
                <w:szCs w:val="21"/>
                <w14:textFill>
                  <w14:solidFill>
                    <w14:schemeClr w14:val="tx1"/>
                  </w14:solidFill>
                </w14:textFill>
              </w:rPr>
              <w:t>财产分割</w:t>
            </w:r>
            <w:r>
              <w:rPr>
                <w:rFonts w:asciiTheme="minorEastAsia" w:hAnsiTheme="minorEastAsia" w:eastAsiaTheme="minorEastAsia"/>
                <w:color w:val="000000" w:themeColor="text1"/>
                <w:sz w:val="21"/>
                <w:szCs w:val="21"/>
                <w14:textFill>
                  <w14:solidFill>
                    <w14:schemeClr w14:val="tx1"/>
                  </w14:solidFill>
                </w14:textFill>
              </w:rPr>
              <w:t>案件解析</w:t>
            </w:r>
          </w:p>
          <w:p w14:paraId="13DCCE22">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第七.八</w:t>
            </w:r>
            <w:r>
              <w:rPr>
                <w:rFonts w:asciiTheme="minorEastAsia" w:hAnsiTheme="minorEastAsia" w:eastAsiaTheme="minorEastAsia"/>
                <w:color w:val="000000" w:themeColor="text1"/>
                <w:sz w:val="21"/>
                <w:szCs w:val="21"/>
                <w14:textFill>
                  <w14:solidFill>
                    <w14:schemeClr w14:val="tx1"/>
                  </w14:solidFill>
                </w14:textFill>
              </w:rPr>
              <w:t>章</w:t>
            </w: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民法典之-侵权责任编</w:t>
            </w:r>
          </w:p>
          <w:p w14:paraId="22ED5560">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通过学习使学生理解侵权责任</w:t>
            </w:r>
            <w:r>
              <w:rPr>
                <w:rFonts w:asciiTheme="minorEastAsia" w:hAnsiTheme="minorEastAsia" w:eastAsiaTheme="minorEastAsia"/>
                <w:color w:val="000000" w:themeColor="text1"/>
                <w:sz w:val="21"/>
                <w:szCs w:val="21"/>
                <w14:textFill>
                  <w14:solidFill>
                    <w14:schemeClr w14:val="tx1"/>
                  </w14:solidFill>
                </w14:textFill>
              </w:rPr>
              <w:t>的</w:t>
            </w:r>
            <w:r>
              <w:rPr>
                <w:rFonts w:hint="eastAsia" w:asciiTheme="minorEastAsia" w:hAnsiTheme="minorEastAsia" w:eastAsiaTheme="minorEastAsia"/>
                <w:color w:val="000000" w:themeColor="text1"/>
                <w:sz w:val="21"/>
                <w:szCs w:val="21"/>
                <w14:textFill>
                  <w14:solidFill>
                    <w14:schemeClr w14:val="tx1"/>
                  </w14:solidFill>
                </w14:textFill>
              </w:rPr>
              <w:t>一般</w:t>
            </w:r>
            <w:r>
              <w:rPr>
                <w:rFonts w:asciiTheme="minorEastAsia" w:hAnsiTheme="minorEastAsia" w:eastAsiaTheme="minorEastAsia"/>
                <w:color w:val="000000" w:themeColor="text1"/>
                <w:sz w:val="21"/>
                <w:szCs w:val="21"/>
                <w14:textFill>
                  <w14:solidFill>
                    <w14:schemeClr w14:val="tx1"/>
                  </w14:solidFill>
                </w14:textFill>
              </w:rPr>
              <w:t>规定</w:t>
            </w:r>
            <w:r>
              <w:rPr>
                <w:rFonts w:hint="eastAsia" w:asciiTheme="minorEastAsia" w:hAnsiTheme="minorEastAsia" w:eastAsiaTheme="minorEastAsia"/>
                <w:color w:val="000000" w:themeColor="text1"/>
                <w:sz w:val="21"/>
                <w:szCs w:val="21"/>
                <w14:textFill>
                  <w14:solidFill>
                    <w14:schemeClr w14:val="tx1"/>
                  </w14:solidFill>
                </w14:textFill>
              </w:rPr>
              <w:t>、损害赔偿</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责任</w:t>
            </w:r>
            <w:r>
              <w:rPr>
                <w:rFonts w:asciiTheme="minorEastAsia" w:hAnsiTheme="minorEastAsia" w:eastAsiaTheme="minorEastAsia"/>
                <w:color w:val="000000" w:themeColor="text1"/>
                <w:sz w:val="21"/>
                <w:szCs w:val="21"/>
                <w14:textFill>
                  <w14:solidFill>
                    <w14:schemeClr w14:val="tx1"/>
                  </w14:solidFill>
                </w14:textFill>
              </w:rPr>
              <w:t>主体、产品</w:t>
            </w:r>
            <w:r>
              <w:rPr>
                <w:rFonts w:hint="eastAsia" w:asciiTheme="minorEastAsia" w:hAnsiTheme="minorEastAsia" w:eastAsiaTheme="minorEastAsia"/>
                <w:color w:val="000000" w:themeColor="text1"/>
                <w:sz w:val="21"/>
                <w:szCs w:val="21"/>
                <w14:textFill>
                  <w14:solidFill>
                    <w14:schemeClr w14:val="tx1"/>
                  </w14:solidFill>
                </w14:textFill>
              </w:rPr>
              <w:t>责任效力范围等</w:t>
            </w:r>
            <w:r>
              <w:rPr>
                <w:rFonts w:asciiTheme="minorEastAsia" w:hAnsiTheme="minorEastAsia" w:eastAsiaTheme="minorEastAsia"/>
                <w:color w:val="000000" w:themeColor="text1"/>
                <w:sz w:val="21"/>
                <w:szCs w:val="21"/>
                <w14:textFill>
                  <w14:solidFill>
                    <w14:schemeClr w14:val="tx1"/>
                  </w14:solidFill>
                </w14:textFill>
              </w:rPr>
              <w:t>法律</w:t>
            </w:r>
            <w:r>
              <w:rPr>
                <w:rFonts w:hint="eastAsia" w:asciiTheme="minorEastAsia" w:hAnsiTheme="minorEastAsia" w:eastAsiaTheme="minorEastAsia"/>
                <w:color w:val="000000" w:themeColor="text1"/>
                <w:sz w:val="21"/>
                <w:szCs w:val="21"/>
                <w14:textFill>
                  <w14:solidFill>
                    <w14:schemeClr w14:val="tx1"/>
                  </w14:solidFill>
                </w14:textFill>
              </w:rPr>
              <w:t>知识，掌握几种</w:t>
            </w:r>
            <w:r>
              <w:rPr>
                <w:rFonts w:asciiTheme="minorEastAsia" w:hAnsiTheme="minorEastAsia" w:eastAsiaTheme="minorEastAsia"/>
                <w:color w:val="000000" w:themeColor="text1"/>
                <w:sz w:val="21"/>
                <w:szCs w:val="21"/>
                <w14:textFill>
                  <w14:solidFill>
                    <w14:schemeClr w14:val="tx1"/>
                  </w14:solidFill>
                </w14:textFill>
              </w:rPr>
              <w:t>侵权责任</w:t>
            </w:r>
            <w:r>
              <w:rPr>
                <w:rFonts w:hint="eastAsia" w:asciiTheme="minorEastAsia" w:hAnsiTheme="minorEastAsia" w:eastAsiaTheme="minorEastAsia"/>
                <w:color w:val="000000" w:themeColor="text1"/>
                <w:sz w:val="21"/>
                <w:szCs w:val="21"/>
                <w14:textFill>
                  <w14:solidFill>
                    <w14:schemeClr w14:val="tx1"/>
                  </w14:solidFill>
                </w14:textFill>
              </w:rPr>
              <w:t>法律</w:t>
            </w:r>
            <w:r>
              <w:rPr>
                <w:rFonts w:asciiTheme="minorEastAsia" w:hAnsiTheme="minorEastAsia" w:eastAsiaTheme="minorEastAsia"/>
                <w:color w:val="000000" w:themeColor="text1"/>
                <w:sz w:val="21"/>
                <w:szCs w:val="21"/>
                <w14:textFill>
                  <w14:solidFill>
                    <w14:schemeClr w14:val="tx1"/>
                  </w14:solidFill>
                </w14:textFill>
              </w:rPr>
              <w:t>规定，</w:t>
            </w:r>
            <w:r>
              <w:rPr>
                <w:rFonts w:hint="eastAsia" w:asciiTheme="minorEastAsia" w:hAnsiTheme="minorEastAsia" w:eastAsiaTheme="minorEastAsia"/>
                <w:color w:val="000000" w:themeColor="text1"/>
                <w:sz w:val="21"/>
                <w:szCs w:val="21"/>
                <w14:textFill>
                  <w14:solidFill>
                    <w14:schemeClr w14:val="tx1"/>
                  </w14:solidFill>
                </w14:textFill>
              </w:rPr>
              <w:t>学会</w:t>
            </w:r>
            <w:r>
              <w:rPr>
                <w:rFonts w:asciiTheme="minorEastAsia" w:hAnsiTheme="minorEastAsia" w:eastAsiaTheme="minorEastAsia"/>
                <w:color w:val="000000" w:themeColor="text1"/>
                <w:sz w:val="21"/>
                <w:szCs w:val="21"/>
                <w14:textFill>
                  <w14:solidFill>
                    <w14:schemeClr w14:val="tx1"/>
                  </w14:solidFill>
                </w14:textFill>
              </w:rPr>
              <w:t>处理生活中的</w:t>
            </w:r>
            <w:r>
              <w:rPr>
                <w:rFonts w:hint="eastAsia" w:asciiTheme="minorEastAsia" w:hAnsiTheme="minorEastAsia" w:eastAsiaTheme="minorEastAsia"/>
                <w:color w:val="000000" w:themeColor="text1"/>
                <w:sz w:val="21"/>
                <w:szCs w:val="21"/>
                <w14:textFill>
                  <w14:solidFill>
                    <w14:schemeClr w14:val="tx1"/>
                  </w14:solidFill>
                </w14:textFill>
              </w:rPr>
              <w:t>侵权</w:t>
            </w:r>
            <w:r>
              <w:rPr>
                <w:rFonts w:asciiTheme="minorEastAsia" w:hAnsiTheme="minorEastAsia" w:eastAsiaTheme="minorEastAsia"/>
                <w:color w:val="000000" w:themeColor="text1"/>
                <w:sz w:val="21"/>
                <w:szCs w:val="21"/>
                <w14:textFill>
                  <w14:solidFill>
                    <w14:schemeClr w14:val="tx1"/>
                  </w14:solidFill>
                </w14:textFill>
              </w:rPr>
              <w:t>行为</w:t>
            </w:r>
            <w:r>
              <w:rPr>
                <w:rFonts w:hint="eastAsia" w:asciiTheme="minorEastAsia" w:hAnsiTheme="minorEastAsia" w:eastAsiaTheme="minorEastAsia"/>
                <w:color w:val="000000" w:themeColor="text1"/>
                <w:sz w:val="21"/>
                <w:szCs w:val="21"/>
                <w14:textFill>
                  <w14:solidFill>
                    <w14:schemeClr w14:val="tx1"/>
                  </w14:solidFill>
                </w14:textFill>
              </w:rPr>
              <w:t>法律</w:t>
            </w:r>
            <w:r>
              <w:rPr>
                <w:rFonts w:asciiTheme="minorEastAsia" w:hAnsiTheme="minorEastAsia" w:eastAsiaTheme="minorEastAsia"/>
                <w:color w:val="000000" w:themeColor="text1"/>
                <w:sz w:val="21"/>
                <w:szCs w:val="21"/>
                <w14:textFill>
                  <w14:solidFill>
                    <w14:schemeClr w14:val="tx1"/>
                  </w14:solidFill>
                </w14:textFill>
              </w:rPr>
              <w:t>问题</w:t>
            </w:r>
            <w:r>
              <w:rPr>
                <w:rFonts w:hint="eastAsia" w:asciiTheme="minorEastAsia" w:hAnsiTheme="minorEastAsia" w:eastAsiaTheme="minorEastAsia"/>
                <w:color w:val="000000" w:themeColor="text1"/>
                <w:sz w:val="21"/>
                <w:szCs w:val="21"/>
                <w14:textFill>
                  <w14:solidFill>
                    <w14:schemeClr w14:val="tx1"/>
                  </w14:solidFill>
                </w14:textFill>
              </w:rPr>
              <w:t>。</w:t>
            </w:r>
          </w:p>
          <w:p w14:paraId="36F19B20">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民法典</w:t>
            </w:r>
            <w:r>
              <w:rPr>
                <w:rFonts w:asciiTheme="minorEastAsia" w:hAnsiTheme="minorEastAsia" w:eastAsiaTheme="minorEastAsia"/>
                <w:color w:val="000000" w:themeColor="text1"/>
                <w:sz w:val="21"/>
                <w:szCs w:val="21"/>
                <w14:textFill>
                  <w14:solidFill>
                    <w14:schemeClr w14:val="tx1"/>
                  </w14:solidFill>
                </w14:textFill>
              </w:rPr>
              <w:t>之</w:t>
            </w:r>
            <w:r>
              <w:rPr>
                <w:rFonts w:hint="eastAsia" w:asciiTheme="minorEastAsia" w:hAnsiTheme="minorEastAsia" w:eastAsiaTheme="minorEastAsia"/>
                <w:color w:val="000000" w:themeColor="text1"/>
                <w:sz w:val="21"/>
                <w:szCs w:val="21"/>
                <w14:textFill>
                  <w14:solidFill>
                    <w14:schemeClr w14:val="tx1"/>
                  </w14:solidFill>
                </w14:textFill>
              </w:rPr>
              <w:t>侵权责任</w:t>
            </w:r>
            <w:r>
              <w:rPr>
                <w:rFonts w:asciiTheme="minorEastAsia" w:hAnsiTheme="minorEastAsia" w:eastAsiaTheme="minorEastAsia"/>
                <w:color w:val="000000" w:themeColor="text1"/>
                <w:sz w:val="21"/>
                <w:szCs w:val="21"/>
                <w14:textFill>
                  <w14:solidFill>
                    <w14:schemeClr w14:val="tx1"/>
                  </w14:solidFill>
                </w14:textFill>
              </w:rPr>
              <w:t>规定</w:t>
            </w:r>
          </w:p>
          <w:p w14:paraId="79476F62">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难点：民法典之</w:t>
            </w:r>
            <w:r>
              <w:rPr>
                <w:rFonts w:hint="eastAsia" w:asciiTheme="minorEastAsia" w:hAnsiTheme="minorEastAsia" w:eastAsiaTheme="minorEastAsia"/>
                <w:color w:val="000000" w:themeColor="text1"/>
                <w:sz w:val="21"/>
                <w:szCs w:val="21"/>
                <w14:textFill>
                  <w14:solidFill>
                    <w14:schemeClr w14:val="tx1"/>
                  </w14:solidFill>
                </w14:textFill>
              </w:rPr>
              <w:t>侵权</w:t>
            </w:r>
            <w:r>
              <w:rPr>
                <w:rFonts w:asciiTheme="minorEastAsia" w:hAnsiTheme="minorEastAsia" w:eastAsiaTheme="minorEastAsia"/>
                <w:color w:val="000000" w:themeColor="text1"/>
                <w:sz w:val="21"/>
                <w:szCs w:val="21"/>
                <w14:textFill>
                  <w14:solidFill>
                    <w14:schemeClr w14:val="tx1"/>
                  </w14:solidFill>
                </w14:textFill>
              </w:rPr>
              <w:t>行为</w:t>
            </w:r>
            <w:r>
              <w:rPr>
                <w:rFonts w:hint="eastAsia" w:asciiTheme="minorEastAsia" w:hAnsiTheme="minorEastAsia" w:eastAsiaTheme="minorEastAsia"/>
                <w:color w:val="000000" w:themeColor="text1"/>
                <w:sz w:val="21"/>
                <w:szCs w:val="21"/>
                <w14:textFill>
                  <w14:solidFill>
                    <w14:schemeClr w14:val="tx1"/>
                  </w14:solidFill>
                </w14:textFill>
              </w:rPr>
              <w:t>损害赔偿</w:t>
            </w:r>
            <w:r>
              <w:rPr>
                <w:rFonts w:asciiTheme="minorEastAsia" w:hAnsiTheme="minorEastAsia" w:eastAsiaTheme="minorEastAsia"/>
                <w:color w:val="000000" w:themeColor="text1"/>
                <w:sz w:val="21"/>
                <w:szCs w:val="21"/>
                <w14:textFill>
                  <w14:solidFill>
                    <w14:schemeClr w14:val="tx1"/>
                  </w14:solidFill>
                </w14:textFill>
              </w:rPr>
              <w:t>界定</w:t>
            </w:r>
          </w:p>
        </w:tc>
      </w:tr>
      <w:tr w14:paraId="0CBF32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C13DA63">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第九章  消费者权益保护法</w:t>
            </w:r>
          </w:p>
          <w:p w14:paraId="4A1F149F">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通过消费者权益保护法案例评析使学生了解消费者的基本权利内容和经营者的相关义务，并能通过理论知识的学习在生活中提高维权意识。</w:t>
            </w:r>
          </w:p>
          <w:p w14:paraId="23D980DB">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消费者</w:t>
            </w:r>
            <w:r>
              <w:rPr>
                <w:rFonts w:asciiTheme="minorEastAsia" w:hAnsiTheme="minorEastAsia" w:eastAsiaTheme="minorEastAsia"/>
                <w:color w:val="000000" w:themeColor="text1"/>
                <w:sz w:val="21"/>
                <w:szCs w:val="21"/>
                <w14:textFill>
                  <w14:solidFill>
                    <w14:schemeClr w14:val="tx1"/>
                  </w14:solidFill>
                </w14:textFill>
              </w:rPr>
              <w:t>权益内容</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基本权利、</w:t>
            </w:r>
            <w:r>
              <w:rPr>
                <w:rFonts w:hint="eastAsia" w:asciiTheme="minorEastAsia" w:hAnsiTheme="minorEastAsia" w:eastAsiaTheme="minorEastAsia"/>
                <w:color w:val="000000" w:themeColor="text1"/>
                <w:sz w:val="21"/>
                <w:szCs w:val="21"/>
                <w14:textFill>
                  <w14:solidFill>
                    <w14:schemeClr w14:val="tx1"/>
                  </w14:solidFill>
                </w14:textFill>
              </w:rPr>
              <w:t>义务</w:t>
            </w:r>
          </w:p>
          <w:p w14:paraId="2C6B99D8">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维护</w:t>
            </w:r>
            <w:r>
              <w:rPr>
                <w:rFonts w:asciiTheme="minorEastAsia" w:hAnsiTheme="minorEastAsia" w:eastAsiaTheme="minorEastAsia"/>
                <w:color w:val="000000" w:themeColor="text1"/>
                <w:sz w:val="21"/>
                <w:szCs w:val="21"/>
                <w14:textFill>
                  <w14:solidFill>
                    <w14:schemeClr w14:val="tx1"/>
                  </w14:solidFill>
                </w14:textFill>
              </w:rPr>
              <w:t>消费者权益的法律途径、方法</w:t>
            </w:r>
          </w:p>
        </w:tc>
      </w:tr>
      <w:tr w14:paraId="10D3C3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F3224DA">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第十章  劳动和</w:t>
            </w:r>
            <w:r>
              <w:rPr>
                <w:rFonts w:asciiTheme="minorEastAsia" w:hAnsiTheme="minorEastAsia" w:eastAsiaTheme="minorEastAsia"/>
                <w:color w:val="000000" w:themeColor="text1"/>
                <w:sz w:val="21"/>
                <w:szCs w:val="21"/>
                <w14:textFill>
                  <w14:solidFill>
                    <w14:schemeClr w14:val="tx1"/>
                  </w14:solidFill>
                </w14:textFill>
              </w:rPr>
              <w:t>社会保障</w:t>
            </w:r>
            <w:r>
              <w:rPr>
                <w:rFonts w:hint="eastAsia" w:asciiTheme="minorEastAsia" w:hAnsiTheme="minorEastAsia" w:eastAsiaTheme="minorEastAsia"/>
                <w:color w:val="000000" w:themeColor="text1"/>
                <w:sz w:val="21"/>
                <w:szCs w:val="21"/>
                <w14:textFill>
                  <w14:solidFill>
                    <w14:schemeClr w14:val="tx1"/>
                  </w14:solidFill>
                </w14:textFill>
              </w:rPr>
              <w:t>法</w:t>
            </w:r>
          </w:p>
          <w:p w14:paraId="4DCE76C0">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通过劳动法案例评析使学生了解劳动法的基本理论知识，提高就业中的维权意识，学会分析解决生活中的实际法律问题。</w:t>
            </w:r>
          </w:p>
          <w:p w14:paraId="0D9F0625">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重点：劳动</w:t>
            </w:r>
            <w:r>
              <w:rPr>
                <w:rFonts w:hint="eastAsia" w:asciiTheme="minorEastAsia" w:hAnsiTheme="minorEastAsia" w:eastAsiaTheme="minorEastAsia"/>
                <w:color w:val="000000" w:themeColor="text1"/>
                <w:sz w:val="21"/>
                <w:szCs w:val="21"/>
                <w14:textFill>
                  <w14:solidFill>
                    <w14:schemeClr w14:val="tx1"/>
                  </w14:solidFill>
                </w14:textFill>
              </w:rPr>
              <w:t>者</w:t>
            </w:r>
            <w:r>
              <w:rPr>
                <w:rFonts w:asciiTheme="minorEastAsia" w:hAnsiTheme="minorEastAsia" w:eastAsiaTheme="minorEastAsia"/>
                <w:color w:val="000000" w:themeColor="text1"/>
                <w:sz w:val="21"/>
                <w:szCs w:val="21"/>
                <w14:textFill>
                  <w14:solidFill>
                    <w14:schemeClr w14:val="tx1"/>
                  </w14:solidFill>
                </w14:textFill>
              </w:rPr>
              <w:t>权利</w:t>
            </w:r>
            <w:r>
              <w:rPr>
                <w:rFonts w:hint="eastAsia" w:asciiTheme="minorEastAsia" w:hAnsiTheme="minorEastAsia" w:eastAsiaTheme="minorEastAsia"/>
                <w:color w:val="000000" w:themeColor="text1"/>
                <w:sz w:val="21"/>
                <w:szCs w:val="21"/>
                <w14:textFill>
                  <w14:solidFill>
                    <w14:schemeClr w14:val="tx1"/>
                  </w14:solidFill>
                </w14:textFill>
              </w:rPr>
              <w:t>义务</w:t>
            </w:r>
          </w:p>
          <w:p w14:paraId="4D97DA70">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教学难点</w:t>
            </w:r>
            <w:r>
              <w:rPr>
                <w:rFonts w:asciiTheme="minorEastAsia" w:hAnsiTheme="minorEastAsia" w:eastAsiaTheme="minorEastAsia"/>
                <w:color w:val="000000" w:themeColor="text1"/>
                <w:sz w:val="21"/>
                <w:szCs w:val="21"/>
                <w14:textFill>
                  <w14:solidFill>
                    <w14:schemeClr w14:val="tx1"/>
                  </w14:solidFill>
                </w14:textFill>
              </w:rPr>
              <w:t>：劳动保障</w:t>
            </w:r>
            <w:r>
              <w:rPr>
                <w:rFonts w:hint="eastAsia" w:asciiTheme="minorEastAsia" w:hAnsiTheme="minorEastAsia" w:eastAsiaTheme="minorEastAsia"/>
                <w:color w:val="000000" w:themeColor="text1"/>
                <w:sz w:val="21"/>
                <w:szCs w:val="21"/>
                <w14:textFill>
                  <w14:solidFill>
                    <w14:schemeClr w14:val="tx1"/>
                  </w14:solidFill>
                </w14:textFill>
              </w:rPr>
              <w:t>侵权</w:t>
            </w:r>
            <w:r>
              <w:rPr>
                <w:rFonts w:asciiTheme="minorEastAsia" w:hAnsiTheme="minorEastAsia" w:eastAsiaTheme="minorEastAsia"/>
                <w:color w:val="000000" w:themeColor="text1"/>
                <w:sz w:val="21"/>
                <w:szCs w:val="21"/>
                <w14:textFill>
                  <w14:solidFill>
                    <w14:schemeClr w14:val="tx1"/>
                  </w14:solidFill>
                </w14:textFill>
              </w:rPr>
              <w:t>行为的</w:t>
            </w:r>
            <w:r>
              <w:rPr>
                <w:rFonts w:hint="eastAsia" w:asciiTheme="minorEastAsia" w:hAnsiTheme="minorEastAsia" w:eastAsiaTheme="minorEastAsia"/>
                <w:color w:val="000000" w:themeColor="text1"/>
                <w:sz w:val="21"/>
                <w:szCs w:val="21"/>
                <w14:textFill>
                  <w14:solidFill>
                    <w14:schemeClr w14:val="tx1"/>
                  </w14:solidFill>
                </w14:textFill>
              </w:rPr>
              <w:t>处理</w:t>
            </w:r>
            <w:r>
              <w:rPr>
                <w:rFonts w:asciiTheme="minorEastAsia" w:hAnsiTheme="minorEastAsia" w:eastAsiaTheme="minorEastAsia"/>
                <w:color w:val="000000" w:themeColor="text1"/>
                <w:sz w:val="21"/>
                <w:szCs w:val="21"/>
                <w14:textFill>
                  <w14:solidFill>
                    <w14:schemeClr w14:val="tx1"/>
                  </w14:solidFill>
                </w14:textFill>
              </w:rPr>
              <w:t>途径</w:t>
            </w:r>
          </w:p>
        </w:tc>
      </w:tr>
      <w:tr w14:paraId="25D5A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98490CC">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第十一.十二章  刑法总论</w:t>
            </w:r>
          </w:p>
          <w:p w14:paraId="636CFFF0">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通过刑法案例评析使学生理解刑法的概念、效力范围，掌握犯罪的概念、基本特征、构成，深入领会和掌握犯罪的形态、共同犯罪、正当防卫、紧急避险。</w:t>
            </w:r>
          </w:p>
          <w:p w14:paraId="32E8BF94">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犯罪概念</w:t>
            </w:r>
            <w:r>
              <w:rPr>
                <w:rFonts w:asciiTheme="minorEastAsia" w:hAnsiTheme="minorEastAsia" w:eastAsiaTheme="minorEastAsia"/>
                <w:color w:val="000000" w:themeColor="text1"/>
                <w:sz w:val="21"/>
                <w:szCs w:val="21"/>
                <w14:textFill>
                  <w14:solidFill>
                    <w14:schemeClr w14:val="tx1"/>
                  </w14:solidFill>
                </w14:textFill>
              </w:rPr>
              <w:t>和构成要件</w:t>
            </w:r>
          </w:p>
          <w:p w14:paraId="4A2A8EC2">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正当</w:t>
            </w:r>
            <w:r>
              <w:rPr>
                <w:rFonts w:asciiTheme="minorEastAsia" w:hAnsiTheme="minorEastAsia" w:eastAsiaTheme="minorEastAsia"/>
                <w:color w:val="000000" w:themeColor="text1"/>
                <w:sz w:val="21"/>
                <w:szCs w:val="21"/>
                <w14:textFill>
                  <w14:solidFill>
                    <w14:schemeClr w14:val="tx1"/>
                  </w14:solidFill>
                </w14:textFill>
              </w:rPr>
              <w:t>防卫</w:t>
            </w:r>
            <w:r>
              <w:rPr>
                <w:rFonts w:hint="eastAsia" w:asciiTheme="minorEastAsia" w:hAnsiTheme="minorEastAsia" w:eastAsiaTheme="minorEastAsia"/>
                <w:color w:val="000000" w:themeColor="text1"/>
                <w:sz w:val="21"/>
                <w:szCs w:val="21"/>
                <w14:textFill>
                  <w14:solidFill>
                    <w14:schemeClr w14:val="tx1"/>
                  </w14:solidFill>
                </w14:textFill>
              </w:rPr>
              <w:t>成立要件</w:t>
            </w:r>
            <w:r>
              <w:rPr>
                <w:rFonts w:asciiTheme="minorEastAsia" w:hAnsiTheme="minorEastAsia" w:eastAsiaTheme="minorEastAsia"/>
                <w:color w:val="000000" w:themeColor="text1"/>
                <w:sz w:val="21"/>
                <w:szCs w:val="21"/>
                <w14:textFill>
                  <w14:solidFill>
                    <w14:schemeClr w14:val="tx1"/>
                  </w14:solidFill>
                </w14:textFill>
              </w:rPr>
              <w:t>及构成犯罪的</w:t>
            </w:r>
            <w:r>
              <w:rPr>
                <w:rFonts w:hint="eastAsia" w:asciiTheme="minorEastAsia" w:hAnsiTheme="minorEastAsia" w:eastAsiaTheme="minorEastAsia"/>
                <w:color w:val="000000" w:themeColor="text1"/>
                <w:sz w:val="21"/>
                <w:szCs w:val="21"/>
                <w14:textFill>
                  <w14:solidFill>
                    <w14:schemeClr w14:val="tx1"/>
                  </w14:solidFill>
                </w14:textFill>
              </w:rPr>
              <w:t>概念</w:t>
            </w:r>
          </w:p>
        </w:tc>
      </w:tr>
      <w:tr w14:paraId="5DAF56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DC33C1E">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第十三章  刑法分论</w:t>
            </w:r>
          </w:p>
          <w:p w14:paraId="11C54FB9">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通过刑法案例评析使学生了解危害国家安全罪、危害公共安全罪及破坏社会主义市场经济罪的类型和特点，掌握相似罪的区别界限。</w:t>
            </w:r>
          </w:p>
          <w:p w14:paraId="5C2E9F05">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危害公共</w:t>
            </w:r>
            <w:r>
              <w:rPr>
                <w:rFonts w:asciiTheme="minorEastAsia" w:hAnsiTheme="minorEastAsia" w:eastAsiaTheme="minorEastAsia"/>
                <w:color w:val="000000" w:themeColor="text1"/>
                <w:sz w:val="21"/>
                <w:szCs w:val="21"/>
                <w14:textFill>
                  <w14:solidFill>
                    <w14:schemeClr w14:val="tx1"/>
                  </w14:solidFill>
                </w14:textFill>
              </w:rPr>
              <w:t>安全最构成要件</w:t>
            </w:r>
          </w:p>
          <w:p w14:paraId="1726C8BD">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教学难点</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相似罪的区别界限</w:t>
            </w:r>
          </w:p>
        </w:tc>
      </w:tr>
      <w:tr w14:paraId="0D9906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7202B62">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第十四章  刑法分论</w:t>
            </w:r>
          </w:p>
          <w:p w14:paraId="7E27F6CE">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通过刑法案例评析使学生了解侵犯公民人身、民主权利罪的概念及与这作斗争的意义；掌握各种具体侵犯公民人身权利、民主权利犯罪的特殊构成要件、处罚原则，及其与其他一些犯罪的界限。</w:t>
            </w:r>
          </w:p>
          <w:p w14:paraId="7A450A0B">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侵犯公民</w:t>
            </w:r>
            <w:r>
              <w:rPr>
                <w:rFonts w:asciiTheme="minorEastAsia" w:hAnsiTheme="minorEastAsia" w:eastAsiaTheme="minorEastAsia"/>
                <w:color w:val="000000" w:themeColor="text1"/>
                <w:sz w:val="21"/>
                <w:szCs w:val="21"/>
                <w14:textFill>
                  <w14:solidFill>
                    <w14:schemeClr w14:val="tx1"/>
                  </w14:solidFill>
                </w14:textFill>
              </w:rPr>
              <w:t>人身权</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民主权犯罪</w:t>
            </w:r>
            <w:r>
              <w:rPr>
                <w:rFonts w:hint="eastAsia" w:asciiTheme="minorEastAsia" w:hAnsiTheme="minorEastAsia" w:eastAsiaTheme="minorEastAsia"/>
                <w:color w:val="000000" w:themeColor="text1"/>
                <w:sz w:val="21"/>
                <w:szCs w:val="21"/>
                <w14:textFill>
                  <w14:solidFill>
                    <w14:schemeClr w14:val="tx1"/>
                  </w14:solidFill>
                </w14:textFill>
              </w:rPr>
              <w:t>构成</w:t>
            </w:r>
            <w:r>
              <w:rPr>
                <w:rFonts w:asciiTheme="minorEastAsia" w:hAnsiTheme="minorEastAsia" w:eastAsiaTheme="minorEastAsia"/>
                <w:color w:val="000000" w:themeColor="text1"/>
                <w:sz w:val="21"/>
                <w:szCs w:val="21"/>
                <w14:textFill>
                  <w14:solidFill>
                    <w14:schemeClr w14:val="tx1"/>
                  </w14:solidFill>
                </w14:textFill>
              </w:rPr>
              <w:t>要件</w:t>
            </w:r>
          </w:p>
          <w:p w14:paraId="79F724DA">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这类</w:t>
            </w:r>
            <w:r>
              <w:rPr>
                <w:rFonts w:asciiTheme="minorEastAsia" w:hAnsiTheme="minorEastAsia" w:eastAsiaTheme="minorEastAsia"/>
                <w:color w:val="000000" w:themeColor="text1"/>
                <w:sz w:val="21"/>
                <w:szCs w:val="21"/>
                <w14:textFill>
                  <w14:solidFill>
                    <w14:schemeClr w14:val="tx1"/>
                  </w14:solidFill>
                </w14:textFill>
              </w:rPr>
              <w:t>案件</w:t>
            </w:r>
            <w:r>
              <w:rPr>
                <w:rFonts w:hint="eastAsia" w:asciiTheme="minorEastAsia" w:hAnsiTheme="minorEastAsia" w:eastAsiaTheme="minorEastAsia"/>
                <w:color w:val="000000" w:themeColor="text1"/>
                <w:sz w:val="21"/>
                <w:szCs w:val="21"/>
                <w14:textFill>
                  <w14:solidFill>
                    <w14:schemeClr w14:val="tx1"/>
                  </w14:solidFill>
                </w14:textFill>
              </w:rPr>
              <w:t>犯罪的</w:t>
            </w:r>
            <w:r>
              <w:rPr>
                <w:rFonts w:asciiTheme="minorEastAsia" w:hAnsiTheme="minorEastAsia" w:eastAsiaTheme="minorEastAsia"/>
                <w:color w:val="000000" w:themeColor="text1"/>
                <w:sz w:val="21"/>
                <w:szCs w:val="21"/>
                <w14:textFill>
                  <w14:solidFill>
                    <w14:schemeClr w14:val="tx1"/>
                  </w14:solidFill>
                </w14:textFill>
              </w:rPr>
              <w:t>界限</w:t>
            </w:r>
          </w:p>
        </w:tc>
      </w:tr>
      <w:tr w14:paraId="590E82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D92BADC">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第十五章  诉讼法</w:t>
            </w:r>
          </w:p>
          <w:p w14:paraId="6AEF4F3A">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通过诉讼法案例评析使学生了解民事诉讼法、刑事诉讼法、行政诉讼法的基本原理和区别，掌握民事诉讼程序及诉状的格式，学会分析解决生活中的实际法律问题。</w:t>
            </w:r>
          </w:p>
          <w:p w14:paraId="6265BE2C">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重点：</w:t>
            </w:r>
            <w:r>
              <w:rPr>
                <w:rFonts w:hint="eastAsia" w:asciiTheme="minorEastAsia" w:hAnsiTheme="minorEastAsia" w:eastAsiaTheme="minorEastAsia"/>
                <w:color w:val="000000" w:themeColor="text1"/>
                <w:sz w:val="21"/>
                <w:szCs w:val="21"/>
                <w14:textFill>
                  <w14:solidFill>
                    <w14:schemeClr w14:val="tx1"/>
                  </w14:solidFill>
                </w14:textFill>
              </w:rPr>
              <w:t>诉讼</w:t>
            </w:r>
            <w:r>
              <w:rPr>
                <w:rFonts w:asciiTheme="minorEastAsia" w:hAnsiTheme="minorEastAsia" w:eastAsiaTheme="minorEastAsia"/>
                <w:color w:val="000000" w:themeColor="text1"/>
                <w:sz w:val="21"/>
                <w:szCs w:val="21"/>
                <w14:textFill>
                  <w14:solidFill>
                    <w14:schemeClr w14:val="tx1"/>
                  </w14:solidFill>
                </w14:textFill>
              </w:rPr>
              <w:t>法</w:t>
            </w:r>
            <w:r>
              <w:rPr>
                <w:rFonts w:hint="eastAsia" w:asciiTheme="minorEastAsia" w:hAnsiTheme="minorEastAsia" w:eastAsiaTheme="minorEastAsia"/>
                <w:color w:val="000000" w:themeColor="text1"/>
                <w:sz w:val="21"/>
                <w:szCs w:val="21"/>
                <w14:textFill>
                  <w14:solidFill>
                    <w14:schemeClr w14:val="tx1"/>
                  </w14:solidFill>
                </w14:textFill>
              </w:rPr>
              <w:t>基本</w:t>
            </w:r>
            <w:r>
              <w:rPr>
                <w:rFonts w:asciiTheme="minorEastAsia" w:hAnsiTheme="minorEastAsia" w:eastAsiaTheme="minorEastAsia"/>
                <w:color w:val="000000" w:themeColor="text1"/>
                <w:sz w:val="21"/>
                <w:szCs w:val="21"/>
                <w14:textFill>
                  <w14:solidFill>
                    <w14:schemeClr w14:val="tx1"/>
                  </w14:solidFill>
                </w14:textFill>
              </w:rPr>
              <w:t>原理</w:t>
            </w:r>
          </w:p>
          <w:p w14:paraId="301AFE6C">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教学</w:t>
            </w:r>
            <w:r>
              <w:rPr>
                <w:rFonts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14:textFill>
                  <w14:solidFill>
                    <w14:schemeClr w14:val="tx1"/>
                  </w14:solidFill>
                </w14:textFill>
              </w:rPr>
              <w:t>民事</w:t>
            </w:r>
            <w:r>
              <w:rPr>
                <w:rFonts w:asciiTheme="minorEastAsia" w:hAnsiTheme="minorEastAsia" w:eastAsiaTheme="minorEastAsia"/>
                <w:color w:val="000000" w:themeColor="text1"/>
                <w:sz w:val="21"/>
                <w:szCs w:val="21"/>
                <w14:textFill>
                  <w14:solidFill>
                    <w14:schemeClr w14:val="tx1"/>
                  </w14:solidFill>
                </w14:textFill>
              </w:rPr>
              <w:t>、行政、</w:t>
            </w:r>
            <w:r>
              <w:rPr>
                <w:rFonts w:hint="eastAsia" w:asciiTheme="minorEastAsia" w:hAnsiTheme="minorEastAsia" w:eastAsiaTheme="minorEastAsia"/>
                <w:color w:val="000000" w:themeColor="text1"/>
                <w:sz w:val="21"/>
                <w:szCs w:val="21"/>
                <w14:textFill>
                  <w14:solidFill>
                    <w14:schemeClr w14:val="tx1"/>
                  </w14:solidFill>
                </w14:textFill>
              </w:rPr>
              <w:t>刑事诉讼法的区别</w:t>
            </w:r>
          </w:p>
        </w:tc>
      </w:tr>
      <w:tr w14:paraId="55BD4B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4E0C82">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第十六周  综合</w:t>
            </w:r>
            <w:r>
              <w:rPr>
                <w:rFonts w:asciiTheme="minorEastAsia" w:hAnsiTheme="minorEastAsia" w:eastAsiaTheme="minorEastAsia"/>
                <w:color w:val="000000" w:themeColor="text1"/>
                <w:sz w:val="21"/>
                <w:szCs w:val="21"/>
                <w14:textFill>
                  <w14:solidFill>
                    <w14:schemeClr w14:val="tx1"/>
                  </w14:solidFill>
                </w14:textFill>
              </w:rPr>
              <w:t>测试</w:t>
            </w:r>
            <w:r>
              <w:rPr>
                <w:rFonts w:hint="eastAsia" w:asciiTheme="minorEastAsia" w:hAnsiTheme="minorEastAsia" w:eastAsiaTheme="minorEastAsia"/>
                <w:color w:val="000000" w:themeColor="text1"/>
                <w:sz w:val="21"/>
                <w:szCs w:val="21"/>
                <w14:textFill>
                  <w14:solidFill>
                    <w14:schemeClr w14:val="tx1"/>
                  </w14:solidFill>
                </w14:textFill>
              </w:rPr>
              <w:t xml:space="preserve"> 考核</w:t>
            </w:r>
          </w:p>
          <w:p w14:paraId="1BECAD74">
            <w:pPr>
              <w:widowControl w:val="0"/>
              <w:jc w:val="both"/>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通过综合</w:t>
            </w:r>
            <w:r>
              <w:rPr>
                <w:rFonts w:asciiTheme="minorEastAsia" w:hAnsiTheme="minorEastAsia" w:eastAsiaTheme="minorEastAsia"/>
                <w:color w:val="000000" w:themeColor="text1"/>
                <w:sz w:val="21"/>
                <w:szCs w:val="21"/>
                <w14:textFill>
                  <w14:solidFill>
                    <w14:schemeClr w14:val="tx1"/>
                  </w14:solidFill>
                </w14:textFill>
              </w:rPr>
              <w:t>测试</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了解和评定</w:t>
            </w:r>
            <w:r>
              <w:rPr>
                <w:rFonts w:hint="eastAsia" w:asciiTheme="minorEastAsia" w:hAnsiTheme="minorEastAsia" w:eastAsiaTheme="minorEastAsia"/>
                <w:color w:val="000000" w:themeColor="text1"/>
                <w:sz w:val="21"/>
                <w:szCs w:val="21"/>
                <w14:textFill>
                  <w14:solidFill>
                    <w14:schemeClr w14:val="tx1"/>
                  </w14:solidFill>
                </w14:textFill>
              </w:rPr>
              <w:t>学生</w:t>
            </w:r>
            <w:r>
              <w:rPr>
                <w:rFonts w:asciiTheme="minorEastAsia" w:hAnsiTheme="minorEastAsia" w:eastAsiaTheme="minorEastAsia"/>
                <w:color w:val="000000" w:themeColor="text1"/>
                <w:sz w:val="21"/>
                <w:szCs w:val="21"/>
                <w14:textFill>
                  <w14:solidFill>
                    <w14:schemeClr w14:val="tx1"/>
                  </w14:solidFill>
                </w14:textFill>
              </w:rPr>
              <w:t>所</w:t>
            </w:r>
            <w:r>
              <w:rPr>
                <w:rFonts w:hint="eastAsia" w:asciiTheme="minorEastAsia" w:hAnsiTheme="minorEastAsia" w:eastAsiaTheme="minorEastAsia"/>
                <w:color w:val="000000" w:themeColor="text1"/>
                <w:sz w:val="21"/>
                <w:szCs w:val="21"/>
                <w14:textFill>
                  <w14:solidFill>
                    <w14:schemeClr w14:val="tx1"/>
                  </w14:solidFill>
                </w14:textFill>
              </w:rPr>
              <w:t>学掌握</w:t>
            </w:r>
            <w:r>
              <w:rPr>
                <w:rFonts w:asciiTheme="minorEastAsia" w:hAnsiTheme="minorEastAsia" w:eastAsiaTheme="minorEastAsia"/>
                <w:color w:val="000000" w:themeColor="text1"/>
                <w:sz w:val="21"/>
                <w:szCs w:val="21"/>
                <w14:textFill>
                  <w14:solidFill>
                    <w14:schemeClr w14:val="tx1"/>
                  </w14:solidFill>
                </w14:textFill>
              </w:rPr>
              <w:t>的</w:t>
            </w:r>
            <w:r>
              <w:rPr>
                <w:rFonts w:hint="eastAsia" w:asciiTheme="minorEastAsia" w:hAnsiTheme="minorEastAsia" w:eastAsiaTheme="minorEastAsia"/>
                <w:color w:val="000000" w:themeColor="text1"/>
                <w:sz w:val="21"/>
                <w:szCs w:val="21"/>
                <w14:textFill>
                  <w14:solidFill>
                    <w14:schemeClr w14:val="tx1"/>
                  </w14:solidFill>
                </w14:textFill>
              </w:rPr>
              <w:t>知识状况</w:t>
            </w:r>
            <w:r>
              <w:rPr>
                <w:rFonts w:asciiTheme="minorEastAsia" w:hAnsiTheme="minorEastAsia" w:eastAsiaTheme="minorEastAsia"/>
                <w:color w:val="000000" w:themeColor="text1"/>
                <w:sz w:val="21"/>
                <w:szCs w:val="21"/>
                <w14:textFill>
                  <w14:solidFill>
                    <w14:schemeClr w14:val="tx1"/>
                  </w14:solidFill>
                </w14:textFill>
              </w:rPr>
              <w:t>，按照占比给出成绩</w:t>
            </w:r>
            <w:r>
              <w:rPr>
                <w:rFonts w:hint="eastAsia" w:asciiTheme="minorEastAsia" w:hAnsiTheme="minorEastAsia" w:eastAsiaTheme="minorEastAsia"/>
                <w:color w:val="000000" w:themeColor="text1"/>
                <w:sz w:val="21"/>
                <w:szCs w:val="21"/>
                <w14:textFill>
                  <w14:solidFill>
                    <w14:schemeClr w14:val="tx1"/>
                  </w14:solidFill>
                </w14:textFill>
              </w:rPr>
              <w:t>。</w:t>
            </w:r>
          </w:p>
        </w:tc>
      </w:tr>
    </w:tbl>
    <w:p w14:paraId="3E4FCB86">
      <w:pPr>
        <w:pStyle w:val="17"/>
        <w:spacing w:before="156" w:after="156"/>
      </w:pPr>
    </w:p>
    <w:p w14:paraId="63770AAC">
      <w:pPr>
        <w:pStyle w:val="17"/>
        <w:spacing w:before="156" w:after="156"/>
      </w:pPr>
    </w:p>
    <w:p w14:paraId="5C7893EC">
      <w:pPr>
        <w:pStyle w:val="17"/>
        <w:spacing w:before="156" w:after="156"/>
      </w:pPr>
    </w:p>
    <w:p w14:paraId="47DE52E3">
      <w:pPr>
        <w:pStyle w:val="17"/>
        <w:spacing w:before="156" w:after="156"/>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220"/>
        <w:gridCol w:w="1314"/>
        <w:gridCol w:w="1314"/>
        <w:gridCol w:w="1314"/>
        <w:gridCol w:w="1314"/>
      </w:tblGrid>
      <w:tr w14:paraId="0500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8" w:hRule="atLeast"/>
          <w:jc w:val="center"/>
        </w:trPr>
        <w:tc>
          <w:tcPr>
            <w:tcW w:w="3144" w:type="dxa"/>
            <w:tcBorders>
              <w:top w:val="single" w:color="auto" w:sz="12" w:space="0"/>
              <w:left w:val="single" w:color="auto" w:sz="12" w:space="0"/>
              <w:tl2br w:val="single" w:color="auto" w:sz="4" w:space="0"/>
            </w:tcBorders>
          </w:tcPr>
          <w:p w14:paraId="692C4A40">
            <w:pPr>
              <w:pStyle w:val="13"/>
              <w:ind w:firstLine="489"/>
              <w:rPr>
                <w:szCs w:val="16"/>
              </w:rPr>
            </w:pPr>
            <w:r>
              <w:rPr>
                <w:rFonts w:hint="eastAsia"/>
                <w:szCs w:val="16"/>
              </w:rPr>
              <w:t>课程目标</w:t>
            </w:r>
          </w:p>
          <w:p w14:paraId="1B142BFE">
            <w:pPr>
              <w:pStyle w:val="13"/>
              <w:ind w:right="210"/>
              <w:jc w:val="left"/>
              <w:rPr>
                <w:szCs w:val="16"/>
              </w:rPr>
            </w:pPr>
          </w:p>
          <w:p w14:paraId="340E3538">
            <w:pPr>
              <w:pStyle w:val="13"/>
              <w:ind w:right="210"/>
              <w:jc w:val="left"/>
              <w:rPr>
                <w:szCs w:val="16"/>
              </w:rPr>
            </w:pPr>
            <w:r>
              <w:rPr>
                <w:rFonts w:hint="eastAsia"/>
                <w:szCs w:val="16"/>
              </w:rPr>
              <w:t>教学单元</w:t>
            </w:r>
          </w:p>
        </w:tc>
        <w:tc>
          <w:tcPr>
            <w:tcW w:w="1283" w:type="dxa"/>
            <w:tcBorders>
              <w:top w:val="single" w:color="auto" w:sz="12" w:space="0"/>
            </w:tcBorders>
            <w:vAlign w:val="center"/>
          </w:tcPr>
          <w:p w14:paraId="1431CA5D">
            <w:pPr>
              <w:pStyle w:val="13"/>
              <w:rPr>
                <w:szCs w:val="16"/>
              </w:rPr>
            </w:pPr>
            <w:r>
              <w:rPr>
                <w:szCs w:val="16"/>
              </w:rPr>
              <w:t>1</w:t>
            </w:r>
          </w:p>
        </w:tc>
        <w:tc>
          <w:tcPr>
            <w:tcW w:w="1283" w:type="dxa"/>
            <w:tcBorders>
              <w:top w:val="single" w:color="auto" w:sz="12" w:space="0"/>
            </w:tcBorders>
            <w:vAlign w:val="center"/>
          </w:tcPr>
          <w:p w14:paraId="27FE6FBF">
            <w:pPr>
              <w:pStyle w:val="13"/>
              <w:rPr>
                <w:szCs w:val="16"/>
              </w:rPr>
            </w:pPr>
            <w:r>
              <w:rPr>
                <w:szCs w:val="16"/>
              </w:rPr>
              <w:t>2</w:t>
            </w:r>
          </w:p>
        </w:tc>
        <w:tc>
          <w:tcPr>
            <w:tcW w:w="1283" w:type="dxa"/>
            <w:tcBorders>
              <w:top w:val="single" w:color="auto" w:sz="12" w:space="0"/>
            </w:tcBorders>
            <w:vAlign w:val="center"/>
          </w:tcPr>
          <w:p w14:paraId="0459952E">
            <w:pPr>
              <w:pStyle w:val="13"/>
              <w:rPr>
                <w:szCs w:val="16"/>
              </w:rPr>
            </w:pPr>
            <w:r>
              <w:rPr>
                <w:szCs w:val="16"/>
              </w:rPr>
              <w:t>3</w:t>
            </w:r>
          </w:p>
        </w:tc>
        <w:tc>
          <w:tcPr>
            <w:tcW w:w="1283" w:type="dxa"/>
            <w:tcBorders>
              <w:top w:val="single" w:color="auto" w:sz="12" w:space="0"/>
              <w:right w:val="single" w:color="auto" w:sz="12" w:space="0"/>
            </w:tcBorders>
            <w:vAlign w:val="center"/>
          </w:tcPr>
          <w:p w14:paraId="2B71F5FF">
            <w:pPr>
              <w:pStyle w:val="13"/>
              <w:rPr>
                <w:szCs w:val="16"/>
              </w:rPr>
            </w:pPr>
            <w:r>
              <w:rPr>
                <w:szCs w:val="16"/>
              </w:rPr>
              <w:t>4</w:t>
            </w:r>
          </w:p>
        </w:tc>
      </w:tr>
      <w:tr w14:paraId="724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71195539">
            <w:pPr>
              <w:jc w:val="center"/>
              <w:rPr>
                <w:sz w:val="21"/>
                <w:szCs w:val="21"/>
              </w:rPr>
            </w:pPr>
            <w:r>
              <w:rPr>
                <w:rFonts w:hint="eastAsia"/>
                <w:color w:val="000000"/>
                <w:sz w:val="18"/>
                <w:szCs w:val="18"/>
              </w:rPr>
              <w:t>法学概论</w:t>
            </w:r>
          </w:p>
        </w:tc>
        <w:tc>
          <w:tcPr>
            <w:tcW w:w="1283" w:type="dxa"/>
            <w:vAlign w:val="center"/>
          </w:tcPr>
          <w:p w14:paraId="44662087">
            <w:pPr>
              <w:pStyle w:val="14"/>
            </w:pPr>
            <w:r>
              <w:rPr>
                <w:rFonts w:ascii="宋体" w:hAnsi="宋体"/>
                <w:color w:val="000000" w:themeColor="text1"/>
                <w14:textFill>
                  <w14:solidFill>
                    <w14:schemeClr w14:val="tx1"/>
                  </w14:solidFill>
                </w14:textFill>
              </w:rPr>
              <w:t>√</w:t>
            </w:r>
          </w:p>
        </w:tc>
        <w:tc>
          <w:tcPr>
            <w:tcW w:w="1283" w:type="dxa"/>
            <w:vAlign w:val="center"/>
          </w:tcPr>
          <w:p w14:paraId="1C9C4E56">
            <w:pPr>
              <w:pStyle w:val="14"/>
            </w:pPr>
            <w:r>
              <w:rPr>
                <w:rFonts w:ascii="宋体" w:hAnsi="宋体"/>
                <w:color w:val="000000" w:themeColor="text1"/>
                <w14:textFill>
                  <w14:solidFill>
                    <w14:schemeClr w14:val="tx1"/>
                  </w14:solidFill>
                </w14:textFill>
              </w:rPr>
              <w:t>√</w:t>
            </w:r>
          </w:p>
        </w:tc>
        <w:tc>
          <w:tcPr>
            <w:tcW w:w="1283" w:type="dxa"/>
            <w:vAlign w:val="center"/>
          </w:tcPr>
          <w:p w14:paraId="1DB71C62">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313FC121">
            <w:pPr>
              <w:pStyle w:val="14"/>
            </w:pPr>
            <w:r>
              <w:rPr>
                <w:rFonts w:ascii="宋体" w:hAnsi="宋体"/>
                <w:color w:val="000000" w:themeColor="text1"/>
                <w14:textFill>
                  <w14:solidFill>
                    <w14:schemeClr w14:val="tx1"/>
                  </w14:solidFill>
                </w14:textFill>
              </w:rPr>
              <w:t>√</w:t>
            </w:r>
          </w:p>
        </w:tc>
      </w:tr>
      <w:tr w14:paraId="039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6900D9DE">
            <w:pPr>
              <w:jc w:val="center"/>
              <w:rPr>
                <w:sz w:val="21"/>
                <w:szCs w:val="21"/>
              </w:rPr>
            </w:pPr>
            <w:r>
              <w:rPr>
                <w:color w:val="000000"/>
                <w:sz w:val="18"/>
                <w:szCs w:val="18"/>
              </w:rPr>
              <w:t>宪法</w:t>
            </w:r>
          </w:p>
        </w:tc>
        <w:tc>
          <w:tcPr>
            <w:tcW w:w="1283" w:type="dxa"/>
            <w:vAlign w:val="center"/>
          </w:tcPr>
          <w:p w14:paraId="6E4ADA34">
            <w:pPr>
              <w:pStyle w:val="14"/>
            </w:pPr>
            <w:r>
              <w:rPr>
                <w:rFonts w:ascii="宋体" w:hAnsi="宋体"/>
                <w:color w:val="000000" w:themeColor="text1"/>
                <w14:textFill>
                  <w14:solidFill>
                    <w14:schemeClr w14:val="tx1"/>
                  </w14:solidFill>
                </w14:textFill>
              </w:rPr>
              <w:t>√</w:t>
            </w:r>
          </w:p>
        </w:tc>
        <w:tc>
          <w:tcPr>
            <w:tcW w:w="1283" w:type="dxa"/>
            <w:vAlign w:val="center"/>
          </w:tcPr>
          <w:p w14:paraId="770568D2">
            <w:pPr>
              <w:pStyle w:val="14"/>
            </w:pPr>
            <w:r>
              <w:rPr>
                <w:rFonts w:ascii="宋体" w:hAnsi="宋体"/>
                <w:color w:val="000000" w:themeColor="text1"/>
                <w14:textFill>
                  <w14:solidFill>
                    <w14:schemeClr w14:val="tx1"/>
                  </w14:solidFill>
                </w14:textFill>
              </w:rPr>
              <w:t>√</w:t>
            </w:r>
          </w:p>
        </w:tc>
        <w:tc>
          <w:tcPr>
            <w:tcW w:w="1283" w:type="dxa"/>
            <w:vAlign w:val="center"/>
          </w:tcPr>
          <w:p w14:paraId="552863A8">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66FAF5D8">
            <w:pPr>
              <w:pStyle w:val="14"/>
            </w:pPr>
            <w:r>
              <w:rPr>
                <w:rFonts w:ascii="宋体" w:hAnsi="宋体"/>
                <w:color w:val="000000" w:themeColor="text1"/>
                <w14:textFill>
                  <w14:solidFill>
                    <w14:schemeClr w14:val="tx1"/>
                  </w14:solidFill>
                </w14:textFill>
              </w:rPr>
              <w:t>√</w:t>
            </w:r>
          </w:p>
        </w:tc>
      </w:tr>
      <w:tr w14:paraId="37EE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4E9BB4B2">
            <w:pPr>
              <w:jc w:val="center"/>
              <w:rPr>
                <w:sz w:val="21"/>
                <w:szCs w:val="21"/>
              </w:rPr>
            </w:pPr>
            <w:r>
              <w:rPr>
                <w:color w:val="000000"/>
                <w:sz w:val="18"/>
                <w:szCs w:val="18"/>
              </w:rPr>
              <w:t>行政法</w:t>
            </w:r>
          </w:p>
        </w:tc>
        <w:tc>
          <w:tcPr>
            <w:tcW w:w="1283" w:type="dxa"/>
            <w:vAlign w:val="center"/>
          </w:tcPr>
          <w:p w14:paraId="6AD2DCE0">
            <w:pPr>
              <w:pStyle w:val="14"/>
            </w:pPr>
            <w:r>
              <w:rPr>
                <w:rFonts w:ascii="宋体" w:hAnsi="宋体"/>
                <w:color w:val="000000" w:themeColor="text1"/>
                <w14:textFill>
                  <w14:solidFill>
                    <w14:schemeClr w14:val="tx1"/>
                  </w14:solidFill>
                </w14:textFill>
              </w:rPr>
              <w:t>√</w:t>
            </w:r>
          </w:p>
        </w:tc>
        <w:tc>
          <w:tcPr>
            <w:tcW w:w="1283" w:type="dxa"/>
            <w:vAlign w:val="center"/>
          </w:tcPr>
          <w:p w14:paraId="5D989D9E">
            <w:pPr>
              <w:pStyle w:val="14"/>
            </w:pPr>
            <w:r>
              <w:rPr>
                <w:rFonts w:ascii="宋体" w:hAnsi="宋体"/>
                <w:color w:val="000000" w:themeColor="text1"/>
                <w14:textFill>
                  <w14:solidFill>
                    <w14:schemeClr w14:val="tx1"/>
                  </w14:solidFill>
                </w14:textFill>
              </w:rPr>
              <w:t>√</w:t>
            </w:r>
          </w:p>
        </w:tc>
        <w:tc>
          <w:tcPr>
            <w:tcW w:w="1283" w:type="dxa"/>
            <w:vAlign w:val="center"/>
          </w:tcPr>
          <w:p w14:paraId="27587A6C">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47C2E36D">
            <w:pPr>
              <w:pStyle w:val="14"/>
            </w:pPr>
            <w:r>
              <w:rPr>
                <w:rFonts w:ascii="宋体" w:hAnsi="宋体"/>
                <w:color w:val="000000" w:themeColor="text1"/>
                <w14:textFill>
                  <w14:solidFill>
                    <w14:schemeClr w14:val="tx1"/>
                  </w14:solidFill>
                </w14:textFill>
              </w:rPr>
              <w:t>√</w:t>
            </w:r>
          </w:p>
        </w:tc>
      </w:tr>
      <w:tr w14:paraId="5D1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2CED5C8E">
            <w:pPr>
              <w:jc w:val="center"/>
              <w:rPr>
                <w:sz w:val="21"/>
                <w:szCs w:val="21"/>
              </w:rPr>
            </w:pPr>
            <w:r>
              <w:rPr>
                <w:color w:val="000000"/>
                <w:sz w:val="18"/>
                <w:szCs w:val="18"/>
              </w:rPr>
              <w:t>民法</w:t>
            </w:r>
            <w:r>
              <w:rPr>
                <w:rFonts w:hint="eastAsia"/>
                <w:color w:val="000000"/>
                <w:sz w:val="18"/>
                <w:szCs w:val="18"/>
              </w:rPr>
              <w:t>典</w:t>
            </w:r>
            <w:r>
              <w:rPr>
                <w:color w:val="000000"/>
                <w:sz w:val="18"/>
                <w:szCs w:val="18"/>
              </w:rPr>
              <w:t>基本原理</w:t>
            </w:r>
            <w:r>
              <w:rPr>
                <w:rFonts w:hint="eastAsia"/>
                <w:color w:val="000000"/>
                <w:sz w:val="18"/>
                <w:szCs w:val="18"/>
              </w:rPr>
              <w:t>总则篇</w:t>
            </w:r>
          </w:p>
        </w:tc>
        <w:tc>
          <w:tcPr>
            <w:tcW w:w="1283" w:type="dxa"/>
            <w:vAlign w:val="center"/>
          </w:tcPr>
          <w:p w14:paraId="7291F78D">
            <w:pPr>
              <w:pStyle w:val="14"/>
            </w:pPr>
            <w:r>
              <w:rPr>
                <w:rFonts w:ascii="宋体" w:hAnsi="宋体"/>
                <w:color w:val="000000" w:themeColor="text1"/>
                <w14:textFill>
                  <w14:solidFill>
                    <w14:schemeClr w14:val="tx1"/>
                  </w14:solidFill>
                </w14:textFill>
              </w:rPr>
              <w:t>√</w:t>
            </w:r>
          </w:p>
        </w:tc>
        <w:tc>
          <w:tcPr>
            <w:tcW w:w="1283" w:type="dxa"/>
            <w:vAlign w:val="center"/>
          </w:tcPr>
          <w:p w14:paraId="5432ADCB">
            <w:pPr>
              <w:pStyle w:val="14"/>
            </w:pPr>
            <w:r>
              <w:rPr>
                <w:rFonts w:ascii="宋体" w:hAnsi="宋体"/>
                <w:color w:val="000000" w:themeColor="text1"/>
                <w14:textFill>
                  <w14:solidFill>
                    <w14:schemeClr w14:val="tx1"/>
                  </w14:solidFill>
                </w14:textFill>
              </w:rPr>
              <w:t>√</w:t>
            </w:r>
          </w:p>
        </w:tc>
        <w:tc>
          <w:tcPr>
            <w:tcW w:w="1283" w:type="dxa"/>
            <w:vAlign w:val="center"/>
          </w:tcPr>
          <w:p w14:paraId="1ECDDFCA">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C3D9BC2">
            <w:pPr>
              <w:pStyle w:val="14"/>
            </w:pPr>
            <w:r>
              <w:rPr>
                <w:rFonts w:ascii="宋体" w:hAnsi="宋体"/>
                <w:color w:val="000000" w:themeColor="text1"/>
                <w14:textFill>
                  <w14:solidFill>
                    <w14:schemeClr w14:val="tx1"/>
                  </w14:solidFill>
                </w14:textFill>
              </w:rPr>
              <w:t>√</w:t>
            </w:r>
          </w:p>
        </w:tc>
      </w:tr>
      <w:tr w14:paraId="1B4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2FCDA0E5">
            <w:pPr>
              <w:jc w:val="center"/>
              <w:rPr>
                <w:sz w:val="21"/>
                <w:szCs w:val="21"/>
              </w:rPr>
            </w:pPr>
            <w:r>
              <w:rPr>
                <w:rFonts w:hint="eastAsia"/>
                <w:color w:val="000000"/>
                <w:sz w:val="18"/>
                <w:szCs w:val="18"/>
              </w:rPr>
              <w:t>民法典-合同篇</w:t>
            </w:r>
          </w:p>
        </w:tc>
        <w:tc>
          <w:tcPr>
            <w:tcW w:w="1283" w:type="dxa"/>
            <w:vAlign w:val="center"/>
          </w:tcPr>
          <w:p w14:paraId="57B63D87">
            <w:pPr>
              <w:pStyle w:val="14"/>
            </w:pPr>
            <w:r>
              <w:rPr>
                <w:rFonts w:ascii="宋体" w:hAnsi="宋体"/>
                <w:color w:val="000000" w:themeColor="text1"/>
                <w14:textFill>
                  <w14:solidFill>
                    <w14:schemeClr w14:val="tx1"/>
                  </w14:solidFill>
                </w14:textFill>
              </w:rPr>
              <w:t>√</w:t>
            </w:r>
          </w:p>
        </w:tc>
        <w:tc>
          <w:tcPr>
            <w:tcW w:w="1283" w:type="dxa"/>
            <w:vAlign w:val="center"/>
          </w:tcPr>
          <w:p w14:paraId="0A591D29">
            <w:pPr>
              <w:pStyle w:val="14"/>
            </w:pPr>
            <w:r>
              <w:rPr>
                <w:rFonts w:ascii="宋体" w:hAnsi="宋体"/>
                <w:color w:val="000000" w:themeColor="text1"/>
                <w14:textFill>
                  <w14:solidFill>
                    <w14:schemeClr w14:val="tx1"/>
                  </w14:solidFill>
                </w14:textFill>
              </w:rPr>
              <w:t>√</w:t>
            </w:r>
          </w:p>
        </w:tc>
        <w:tc>
          <w:tcPr>
            <w:tcW w:w="1283" w:type="dxa"/>
            <w:vAlign w:val="center"/>
          </w:tcPr>
          <w:p w14:paraId="36F5ED5F">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6584D671">
            <w:pPr>
              <w:pStyle w:val="14"/>
            </w:pPr>
            <w:r>
              <w:rPr>
                <w:rFonts w:ascii="宋体" w:hAnsi="宋体"/>
                <w:color w:val="000000" w:themeColor="text1"/>
                <w14:textFill>
                  <w14:solidFill>
                    <w14:schemeClr w14:val="tx1"/>
                  </w14:solidFill>
                </w14:textFill>
              </w:rPr>
              <w:t>√</w:t>
            </w:r>
          </w:p>
        </w:tc>
      </w:tr>
      <w:tr w14:paraId="583C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6D917D0F">
            <w:pPr>
              <w:jc w:val="center"/>
              <w:rPr>
                <w:sz w:val="21"/>
                <w:szCs w:val="21"/>
              </w:rPr>
            </w:pPr>
            <w:r>
              <w:rPr>
                <w:color w:val="000000"/>
                <w:sz w:val="18"/>
                <w:szCs w:val="18"/>
              </w:rPr>
              <w:t>婚姻家庭继承法</w:t>
            </w:r>
          </w:p>
        </w:tc>
        <w:tc>
          <w:tcPr>
            <w:tcW w:w="1283" w:type="dxa"/>
            <w:vAlign w:val="center"/>
          </w:tcPr>
          <w:p w14:paraId="4035DF74">
            <w:pPr>
              <w:pStyle w:val="14"/>
            </w:pPr>
            <w:r>
              <w:rPr>
                <w:rFonts w:ascii="宋体" w:hAnsi="宋体"/>
                <w:color w:val="000000" w:themeColor="text1"/>
                <w14:textFill>
                  <w14:solidFill>
                    <w14:schemeClr w14:val="tx1"/>
                  </w14:solidFill>
                </w14:textFill>
              </w:rPr>
              <w:t>√</w:t>
            </w:r>
          </w:p>
        </w:tc>
        <w:tc>
          <w:tcPr>
            <w:tcW w:w="1283" w:type="dxa"/>
            <w:vAlign w:val="center"/>
          </w:tcPr>
          <w:p w14:paraId="679EFFA6">
            <w:pPr>
              <w:pStyle w:val="14"/>
            </w:pPr>
            <w:r>
              <w:rPr>
                <w:rFonts w:ascii="宋体" w:hAnsi="宋体"/>
                <w:color w:val="000000" w:themeColor="text1"/>
                <w14:textFill>
                  <w14:solidFill>
                    <w14:schemeClr w14:val="tx1"/>
                  </w14:solidFill>
                </w14:textFill>
              </w:rPr>
              <w:t>√</w:t>
            </w:r>
          </w:p>
        </w:tc>
        <w:tc>
          <w:tcPr>
            <w:tcW w:w="1283" w:type="dxa"/>
            <w:vAlign w:val="center"/>
          </w:tcPr>
          <w:p w14:paraId="26130179">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E601FE2">
            <w:pPr>
              <w:pStyle w:val="14"/>
            </w:pPr>
            <w:r>
              <w:rPr>
                <w:rFonts w:ascii="宋体" w:hAnsi="宋体"/>
                <w:color w:val="000000" w:themeColor="text1"/>
                <w14:textFill>
                  <w14:solidFill>
                    <w14:schemeClr w14:val="tx1"/>
                  </w14:solidFill>
                </w14:textFill>
              </w:rPr>
              <w:t>√</w:t>
            </w:r>
          </w:p>
        </w:tc>
      </w:tr>
      <w:tr w14:paraId="6502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4DE14A6A">
            <w:pPr>
              <w:jc w:val="center"/>
              <w:rPr>
                <w:sz w:val="21"/>
                <w:szCs w:val="21"/>
              </w:rPr>
            </w:pPr>
            <w:r>
              <w:rPr>
                <w:rFonts w:hint="eastAsia" w:cs="Arial"/>
                <w:sz w:val="18"/>
                <w:szCs w:val="18"/>
              </w:rPr>
              <w:t>民法典之-侵权责任编</w:t>
            </w:r>
          </w:p>
        </w:tc>
        <w:tc>
          <w:tcPr>
            <w:tcW w:w="1283" w:type="dxa"/>
            <w:vAlign w:val="center"/>
          </w:tcPr>
          <w:p w14:paraId="2B0CB5B4">
            <w:pPr>
              <w:pStyle w:val="14"/>
            </w:pPr>
            <w:r>
              <w:rPr>
                <w:rFonts w:ascii="宋体" w:hAnsi="宋体"/>
                <w:color w:val="000000" w:themeColor="text1"/>
                <w14:textFill>
                  <w14:solidFill>
                    <w14:schemeClr w14:val="tx1"/>
                  </w14:solidFill>
                </w14:textFill>
              </w:rPr>
              <w:t>√</w:t>
            </w:r>
          </w:p>
        </w:tc>
        <w:tc>
          <w:tcPr>
            <w:tcW w:w="1283" w:type="dxa"/>
            <w:vAlign w:val="center"/>
          </w:tcPr>
          <w:p w14:paraId="6C884E8D">
            <w:pPr>
              <w:pStyle w:val="14"/>
            </w:pPr>
            <w:r>
              <w:rPr>
                <w:rFonts w:ascii="宋体" w:hAnsi="宋体"/>
                <w:color w:val="000000" w:themeColor="text1"/>
                <w14:textFill>
                  <w14:solidFill>
                    <w14:schemeClr w14:val="tx1"/>
                  </w14:solidFill>
                </w14:textFill>
              </w:rPr>
              <w:t>√</w:t>
            </w:r>
          </w:p>
        </w:tc>
        <w:tc>
          <w:tcPr>
            <w:tcW w:w="1283" w:type="dxa"/>
            <w:vAlign w:val="center"/>
          </w:tcPr>
          <w:p w14:paraId="0F197432">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3E6E29C0">
            <w:pPr>
              <w:pStyle w:val="14"/>
            </w:pPr>
            <w:r>
              <w:rPr>
                <w:rFonts w:ascii="宋体" w:hAnsi="宋体"/>
                <w:color w:val="000000" w:themeColor="text1"/>
                <w14:textFill>
                  <w14:solidFill>
                    <w14:schemeClr w14:val="tx1"/>
                  </w14:solidFill>
                </w14:textFill>
              </w:rPr>
              <w:t>√</w:t>
            </w:r>
          </w:p>
        </w:tc>
      </w:tr>
      <w:tr w14:paraId="6B56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79799290">
            <w:pPr>
              <w:jc w:val="center"/>
              <w:rPr>
                <w:sz w:val="21"/>
                <w:szCs w:val="21"/>
              </w:rPr>
            </w:pPr>
            <w:r>
              <w:rPr>
                <w:rFonts w:hint="eastAsia" w:cs="Arial"/>
                <w:sz w:val="18"/>
                <w:szCs w:val="18"/>
              </w:rPr>
              <w:t>民法典之-侵权责任编</w:t>
            </w:r>
          </w:p>
        </w:tc>
        <w:tc>
          <w:tcPr>
            <w:tcW w:w="1283" w:type="dxa"/>
            <w:vAlign w:val="center"/>
          </w:tcPr>
          <w:p w14:paraId="292D21E7">
            <w:pPr>
              <w:pStyle w:val="14"/>
            </w:pPr>
            <w:r>
              <w:rPr>
                <w:rFonts w:ascii="宋体" w:hAnsi="宋体"/>
                <w:color w:val="000000" w:themeColor="text1"/>
                <w14:textFill>
                  <w14:solidFill>
                    <w14:schemeClr w14:val="tx1"/>
                  </w14:solidFill>
                </w14:textFill>
              </w:rPr>
              <w:t>√</w:t>
            </w:r>
          </w:p>
        </w:tc>
        <w:tc>
          <w:tcPr>
            <w:tcW w:w="1283" w:type="dxa"/>
            <w:vAlign w:val="center"/>
          </w:tcPr>
          <w:p w14:paraId="7039EAFF">
            <w:pPr>
              <w:pStyle w:val="14"/>
            </w:pPr>
            <w:r>
              <w:rPr>
                <w:rFonts w:ascii="宋体" w:hAnsi="宋体"/>
                <w:color w:val="000000" w:themeColor="text1"/>
                <w14:textFill>
                  <w14:solidFill>
                    <w14:schemeClr w14:val="tx1"/>
                  </w14:solidFill>
                </w14:textFill>
              </w:rPr>
              <w:t>√</w:t>
            </w:r>
          </w:p>
        </w:tc>
        <w:tc>
          <w:tcPr>
            <w:tcW w:w="1283" w:type="dxa"/>
            <w:vAlign w:val="center"/>
          </w:tcPr>
          <w:p w14:paraId="3EB6B552">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04E20202">
            <w:pPr>
              <w:pStyle w:val="14"/>
            </w:pPr>
            <w:r>
              <w:rPr>
                <w:rFonts w:ascii="宋体" w:hAnsi="宋体"/>
                <w:color w:val="000000" w:themeColor="text1"/>
                <w14:textFill>
                  <w14:solidFill>
                    <w14:schemeClr w14:val="tx1"/>
                  </w14:solidFill>
                </w14:textFill>
              </w:rPr>
              <w:t>√</w:t>
            </w:r>
          </w:p>
        </w:tc>
      </w:tr>
      <w:tr w14:paraId="5185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1D55A156">
            <w:pPr>
              <w:jc w:val="center"/>
              <w:rPr>
                <w:sz w:val="21"/>
                <w:szCs w:val="21"/>
              </w:rPr>
            </w:pPr>
            <w:r>
              <w:rPr>
                <w:color w:val="000000"/>
                <w:sz w:val="18"/>
                <w:szCs w:val="18"/>
              </w:rPr>
              <w:t>消费者权益保护法</w:t>
            </w:r>
          </w:p>
        </w:tc>
        <w:tc>
          <w:tcPr>
            <w:tcW w:w="1283" w:type="dxa"/>
            <w:vAlign w:val="center"/>
          </w:tcPr>
          <w:p w14:paraId="5C11D881">
            <w:pPr>
              <w:pStyle w:val="14"/>
            </w:pPr>
            <w:r>
              <w:rPr>
                <w:rFonts w:ascii="宋体" w:hAnsi="宋体"/>
                <w:color w:val="000000" w:themeColor="text1"/>
                <w14:textFill>
                  <w14:solidFill>
                    <w14:schemeClr w14:val="tx1"/>
                  </w14:solidFill>
                </w14:textFill>
              </w:rPr>
              <w:t>√</w:t>
            </w:r>
          </w:p>
        </w:tc>
        <w:tc>
          <w:tcPr>
            <w:tcW w:w="1283" w:type="dxa"/>
            <w:vAlign w:val="center"/>
          </w:tcPr>
          <w:p w14:paraId="6EE00A4B">
            <w:pPr>
              <w:pStyle w:val="14"/>
            </w:pPr>
            <w:r>
              <w:rPr>
                <w:rFonts w:ascii="宋体" w:hAnsi="宋体"/>
                <w:color w:val="000000" w:themeColor="text1"/>
                <w14:textFill>
                  <w14:solidFill>
                    <w14:schemeClr w14:val="tx1"/>
                  </w14:solidFill>
                </w14:textFill>
              </w:rPr>
              <w:t>√</w:t>
            </w:r>
          </w:p>
        </w:tc>
        <w:tc>
          <w:tcPr>
            <w:tcW w:w="1283" w:type="dxa"/>
            <w:vAlign w:val="center"/>
          </w:tcPr>
          <w:p w14:paraId="6DB1CF27">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0049C8D1">
            <w:pPr>
              <w:pStyle w:val="14"/>
            </w:pPr>
            <w:r>
              <w:rPr>
                <w:rFonts w:ascii="宋体" w:hAnsi="宋体"/>
                <w:color w:val="000000" w:themeColor="text1"/>
                <w14:textFill>
                  <w14:solidFill>
                    <w14:schemeClr w14:val="tx1"/>
                  </w14:solidFill>
                </w14:textFill>
              </w:rPr>
              <w:t>√</w:t>
            </w:r>
          </w:p>
        </w:tc>
      </w:tr>
      <w:tr w14:paraId="320E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3C38DC15">
            <w:pPr>
              <w:jc w:val="center"/>
              <w:rPr>
                <w:rFonts w:eastAsia="黑体"/>
                <w:sz w:val="21"/>
                <w:szCs w:val="21"/>
              </w:rPr>
            </w:pPr>
            <w:r>
              <w:rPr>
                <w:color w:val="000000"/>
                <w:sz w:val="18"/>
                <w:szCs w:val="18"/>
              </w:rPr>
              <w:t>劳动</w:t>
            </w:r>
            <w:r>
              <w:rPr>
                <w:rFonts w:hint="eastAsia" w:eastAsiaTheme="minorEastAsia"/>
                <w:color w:val="000000"/>
                <w:sz w:val="18"/>
                <w:szCs w:val="18"/>
              </w:rPr>
              <w:t>和社会</w:t>
            </w:r>
            <w:r>
              <w:rPr>
                <w:rFonts w:eastAsiaTheme="minorEastAsia"/>
                <w:color w:val="000000"/>
                <w:sz w:val="18"/>
                <w:szCs w:val="18"/>
              </w:rPr>
              <w:t>保障</w:t>
            </w:r>
            <w:r>
              <w:rPr>
                <w:rFonts w:hint="eastAsia" w:eastAsiaTheme="minorEastAsia"/>
                <w:color w:val="000000"/>
                <w:sz w:val="18"/>
                <w:szCs w:val="18"/>
              </w:rPr>
              <w:t>法</w:t>
            </w:r>
          </w:p>
        </w:tc>
        <w:tc>
          <w:tcPr>
            <w:tcW w:w="1283" w:type="dxa"/>
            <w:vAlign w:val="center"/>
          </w:tcPr>
          <w:p w14:paraId="7B2F79B2">
            <w:pPr>
              <w:pStyle w:val="14"/>
            </w:pPr>
            <w:r>
              <w:rPr>
                <w:rFonts w:ascii="宋体" w:hAnsi="宋体"/>
                <w:color w:val="000000" w:themeColor="text1"/>
                <w14:textFill>
                  <w14:solidFill>
                    <w14:schemeClr w14:val="tx1"/>
                  </w14:solidFill>
                </w14:textFill>
              </w:rPr>
              <w:t>√</w:t>
            </w:r>
          </w:p>
        </w:tc>
        <w:tc>
          <w:tcPr>
            <w:tcW w:w="1283" w:type="dxa"/>
            <w:vAlign w:val="center"/>
          </w:tcPr>
          <w:p w14:paraId="56FAA817">
            <w:pPr>
              <w:pStyle w:val="14"/>
            </w:pPr>
            <w:r>
              <w:rPr>
                <w:rFonts w:ascii="宋体" w:hAnsi="宋体"/>
                <w:color w:val="000000" w:themeColor="text1"/>
                <w14:textFill>
                  <w14:solidFill>
                    <w14:schemeClr w14:val="tx1"/>
                  </w14:solidFill>
                </w14:textFill>
              </w:rPr>
              <w:t>√</w:t>
            </w:r>
          </w:p>
        </w:tc>
        <w:tc>
          <w:tcPr>
            <w:tcW w:w="1283" w:type="dxa"/>
            <w:vAlign w:val="center"/>
          </w:tcPr>
          <w:p w14:paraId="45E5BD7D">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D89F41B">
            <w:pPr>
              <w:pStyle w:val="14"/>
            </w:pPr>
            <w:r>
              <w:rPr>
                <w:rFonts w:ascii="宋体" w:hAnsi="宋体"/>
                <w:color w:val="000000" w:themeColor="text1"/>
                <w14:textFill>
                  <w14:solidFill>
                    <w14:schemeClr w14:val="tx1"/>
                  </w14:solidFill>
                </w14:textFill>
              </w:rPr>
              <w:t>√</w:t>
            </w:r>
          </w:p>
        </w:tc>
      </w:tr>
      <w:tr w14:paraId="3410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7B05DF3C">
            <w:pPr>
              <w:jc w:val="center"/>
              <w:rPr>
                <w:rFonts w:eastAsia="黑体"/>
                <w:sz w:val="21"/>
                <w:szCs w:val="21"/>
              </w:rPr>
            </w:pPr>
            <w:r>
              <w:rPr>
                <w:color w:val="000000"/>
                <w:sz w:val="18"/>
                <w:szCs w:val="18"/>
              </w:rPr>
              <w:t>刑法-总论</w:t>
            </w:r>
          </w:p>
        </w:tc>
        <w:tc>
          <w:tcPr>
            <w:tcW w:w="1283" w:type="dxa"/>
            <w:vAlign w:val="center"/>
          </w:tcPr>
          <w:p w14:paraId="654EF788">
            <w:pPr>
              <w:pStyle w:val="14"/>
            </w:pPr>
            <w:r>
              <w:rPr>
                <w:rFonts w:ascii="宋体" w:hAnsi="宋体"/>
                <w:color w:val="000000" w:themeColor="text1"/>
                <w14:textFill>
                  <w14:solidFill>
                    <w14:schemeClr w14:val="tx1"/>
                  </w14:solidFill>
                </w14:textFill>
              </w:rPr>
              <w:t>√</w:t>
            </w:r>
          </w:p>
        </w:tc>
        <w:tc>
          <w:tcPr>
            <w:tcW w:w="1283" w:type="dxa"/>
            <w:vAlign w:val="center"/>
          </w:tcPr>
          <w:p w14:paraId="18FC148B">
            <w:pPr>
              <w:pStyle w:val="14"/>
            </w:pPr>
            <w:r>
              <w:rPr>
                <w:rFonts w:ascii="宋体" w:hAnsi="宋体"/>
                <w:color w:val="000000" w:themeColor="text1"/>
                <w14:textFill>
                  <w14:solidFill>
                    <w14:schemeClr w14:val="tx1"/>
                  </w14:solidFill>
                </w14:textFill>
              </w:rPr>
              <w:t>√</w:t>
            </w:r>
          </w:p>
        </w:tc>
        <w:tc>
          <w:tcPr>
            <w:tcW w:w="1283" w:type="dxa"/>
            <w:vAlign w:val="center"/>
          </w:tcPr>
          <w:p w14:paraId="753DDF62">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6FF35F36">
            <w:pPr>
              <w:pStyle w:val="14"/>
            </w:pPr>
            <w:r>
              <w:rPr>
                <w:rFonts w:ascii="宋体" w:hAnsi="宋体"/>
                <w:color w:val="000000" w:themeColor="text1"/>
                <w14:textFill>
                  <w14:solidFill>
                    <w14:schemeClr w14:val="tx1"/>
                  </w14:solidFill>
                </w14:textFill>
              </w:rPr>
              <w:t>√</w:t>
            </w:r>
          </w:p>
        </w:tc>
      </w:tr>
      <w:tr w14:paraId="7317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3F147915">
            <w:pPr>
              <w:jc w:val="center"/>
              <w:rPr>
                <w:rFonts w:eastAsia="黑体"/>
                <w:sz w:val="21"/>
                <w:szCs w:val="21"/>
              </w:rPr>
            </w:pPr>
            <w:r>
              <w:rPr>
                <w:color w:val="000000"/>
                <w:sz w:val="18"/>
                <w:szCs w:val="18"/>
              </w:rPr>
              <w:t>刑法-</w:t>
            </w:r>
            <w:r>
              <w:rPr>
                <w:rFonts w:hint="eastAsia"/>
                <w:color w:val="000000"/>
                <w:sz w:val="18"/>
                <w:szCs w:val="18"/>
              </w:rPr>
              <w:t>总</w:t>
            </w:r>
            <w:r>
              <w:rPr>
                <w:color w:val="000000"/>
                <w:sz w:val="18"/>
                <w:szCs w:val="18"/>
              </w:rPr>
              <w:t>论</w:t>
            </w:r>
          </w:p>
        </w:tc>
        <w:tc>
          <w:tcPr>
            <w:tcW w:w="1283" w:type="dxa"/>
            <w:vAlign w:val="center"/>
          </w:tcPr>
          <w:p w14:paraId="3636EA0F">
            <w:pPr>
              <w:pStyle w:val="14"/>
            </w:pPr>
            <w:r>
              <w:rPr>
                <w:rFonts w:ascii="宋体" w:hAnsi="宋体"/>
                <w:color w:val="000000" w:themeColor="text1"/>
                <w14:textFill>
                  <w14:solidFill>
                    <w14:schemeClr w14:val="tx1"/>
                  </w14:solidFill>
                </w14:textFill>
              </w:rPr>
              <w:t>√</w:t>
            </w:r>
          </w:p>
        </w:tc>
        <w:tc>
          <w:tcPr>
            <w:tcW w:w="1283" w:type="dxa"/>
            <w:vAlign w:val="center"/>
          </w:tcPr>
          <w:p w14:paraId="2C68FF33">
            <w:pPr>
              <w:pStyle w:val="14"/>
            </w:pPr>
            <w:r>
              <w:rPr>
                <w:rFonts w:ascii="宋体" w:hAnsi="宋体"/>
                <w:color w:val="000000" w:themeColor="text1"/>
                <w14:textFill>
                  <w14:solidFill>
                    <w14:schemeClr w14:val="tx1"/>
                  </w14:solidFill>
                </w14:textFill>
              </w:rPr>
              <w:t>√</w:t>
            </w:r>
          </w:p>
        </w:tc>
        <w:tc>
          <w:tcPr>
            <w:tcW w:w="1283" w:type="dxa"/>
            <w:vAlign w:val="center"/>
          </w:tcPr>
          <w:p w14:paraId="66707D7F">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42DFCFE1">
            <w:pPr>
              <w:pStyle w:val="14"/>
            </w:pPr>
            <w:r>
              <w:rPr>
                <w:rFonts w:ascii="宋体" w:hAnsi="宋体"/>
                <w:color w:val="000000" w:themeColor="text1"/>
                <w14:textFill>
                  <w14:solidFill>
                    <w14:schemeClr w14:val="tx1"/>
                  </w14:solidFill>
                </w14:textFill>
              </w:rPr>
              <w:t>√</w:t>
            </w:r>
          </w:p>
        </w:tc>
      </w:tr>
      <w:tr w14:paraId="10CE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3B180406">
            <w:pPr>
              <w:jc w:val="center"/>
              <w:rPr>
                <w:rFonts w:eastAsia="黑体"/>
                <w:sz w:val="21"/>
                <w:szCs w:val="21"/>
              </w:rPr>
            </w:pPr>
            <w:r>
              <w:rPr>
                <w:color w:val="000000"/>
                <w:sz w:val="18"/>
                <w:szCs w:val="18"/>
              </w:rPr>
              <w:t>刑法-分论</w:t>
            </w:r>
          </w:p>
        </w:tc>
        <w:tc>
          <w:tcPr>
            <w:tcW w:w="1283" w:type="dxa"/>
            <w:vAlign w:val="center"/>
          </w:tcPr>
          <w:p w14:paraId="1E2CE077">
            <w:pPr>
              <w:pStyle w:val="14"/>
            </w:pPr>
            <w:r>
              <w:rPr>
                <w:rFonts w:ascii="宋体" w:hAnsi="宋体"/>
                <w:color w:val="000000" w:themeColor="text1"/>
                <w14:textFill>
                  <w14:solidFill>
                    <w14:schemeClr w14:val="tx1"/>
                  </w14:solidFill>
                </w14:textFill>
              </w:rPr>
              <w:t>√</w:t>
            </w:r>
          </w:p>
        </w:tc>
        <w:tc>
          <w:tcPr>
            <w:tcW w:w="1283" w:type="dxa"/>
            <w:vAlign w:val="center"/>
          </w:tcPr>
          <w:p w14:paraId="6A132A35">
            <w:pPr>
              <w:pStyle w:val="14"/>
            </w:pPr>
            <w:r>
              <w:rPr>
                <w:rFonts w:ascii="宋体" w:hAnsi="宋体"/>
                <w:color w:val="000000" w:themeColor="text1"/>
                <w14:textFill>
                  <w14:solidFill>
                    <w14:schemeClr w14:val="tx1"/>
                  </w14:solidFill>
                </w14:textFill>
              </w:rPr>
              <w:t>√</w:t>
            </w:r>
          </w:p>
        </w:tc>
        <w:tc>
          <w:tcPr>
            <w:tcW w:w="1283" w:type="dxa"/>
            <w:vAlign w:val="center"/>
          </w:tcPr>
          <w:p w14:paraId="21DA120C">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02B6110">
            <w:pPr>
              <w:pStyle w:val="14"/>
            </w:pPr>
            <w:r>
              <w:rPr>
                <w:rFonts w:ascii="宋体" w:hAnsi="宋体"/>
                <w:color w:val="000000" w:themeColor="text1"/>
                <w14:textFill>
                  <w14:solidFill>
                    <w14:schemeClr w14:val="tx1"/>
                  </w14:solidFill>
                </w14:textFill>
              </w:rPr>
              <w:t>√</w:t>
            </w:r>
          </w:p>
        </w:tc>
      </w:tr>
      <w:tr w14:paraId="5046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7D364FA1">
            <w:pPr>
              <w:jc w:val="center"/>
              <w:rPr>
                <w:rFonts w:eastAsia="黑体"/>
                <w:sz w:val="21"/>
                <w:szCs w:val="21"/>
              </w:rPr>
            </w:pPr>
            <w:r>
              <w:rPr>
                <w:color w:val="000000"/>
                <w:sz w:val="18"/>
                <w:szCs w:val="18"/>
              </w:rPr>
              <w:t>刑法-分论</w:t>
            </w:r>
          </w:p>
        </w:tc>
        <w:tc>
          <w:tcPr>
            <w:tcW w:w="1283" w:type="dxa"/>
            <w:vAlign w:val="center"/>
          </w:tcPr>
          <w:p w14:paraId="008498EE">
            <w:pPr>
              <w:pStyle w:val="14"/>
            </w:pPr>
            <w:r>
              <w:rPr>
                <w:rFonts w:ascii="宋体" w:hAnsi="宋体"/>
                <w:color w:val="000000" w:themeColor="text1"/>
                <w14:textFill>
                  <w14:solidFill>
                    <w14:schemeClr w14:val="tx1"/>
                  </w14:solidFill>
                </w14:textFill>
              </w:rPr>
              <w:t>√</w:t>
            </w:r>
          </w:p>
        </w:tc>
        <w:tc>
          <w:tcPr>
            <w:tcW w:w="1283" w:type="dxa"/>
            <w:vAlign w:val="center"/>
          </w:tcPr>
          <w:p w14:paraId="7EC920C3">
            <w:pPr>
              <w:pStyle w:val="14"/>
            </w:pPr>
            <w:r>
              <w:rPr>
                <w:rFonts w:ascii="宋体" w:hAnsi="宋体"/>
                <w:color w:val="000000" w:themeColor="text1"/>
                <w14:textFill>
                  <w14:solidFill>
                    <w14:schemeClr w14:val="tx1"/>
                  </w14:solidFill>
                </w14:textFill>
              </w:rPr>
              <w:t>√</w:t>
            </w:r>
          </w:p>
        </w:tc>
        <w:tc>
          <w:tcPr>
            <w:tcW w:w="1283" w:type="dxa"/>
            <w:vAlign w:val="center"/>
          </w:tcPr>
          <w:p w14:paraId="364180D3">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64D4CC8A">
            <w:pPr>
              <w:pStyle w:val="14"/>
            </w:pPr>
            <w:r>
              <w:rPr>
                <w:rFonts w:ascii="宋体" w:hAnsi="宋体"/>
                <w:color w:val="000000" w:themeColor="text1"/>
                <w14:textFill>
                  <w14:solidFill>
                    <w14:schemeClr w14:val="tx1"/>
                  </w14:solidFill>
                </w14:textFill>
              </w:rPr>
              <w:t>√</w:t>
            </w:r>
          </w:p>
        </w:tc>
      </w:tr>
      <w:tr w14:paraId="7ED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2FA79FE6">
            <w:pPr>
              <w:jc w:val="center"/>
              <w:rPr>
                <w:rFonts w:eastAsia="黑体"/>
                <w:sz w:val="21"/>
                <w:szCs w:val="21"/>
              </w:rPr>
            </w:pPr>
            <w:r>
              <w:rPr>
                <w:color w:val="000000"/>
                <w:sz w:val="18"/>
                <w:szCs w:val="18"/>
              </w:rPr>
              <w:t>诉讼法</w:t>
            </w:r>
          </w:p>
        </w:tc>
        <w:tc>
          <w:tcPr>
            <w:tcW w:w="1283" w:type="dxa"/>
            <w:vAlign w:val="center"/>
          </w:tcPr>
          <w:p w14:paraId="44FD36C7">
            <w:pPr>
              <w:pStyle w:val="14"/>
            </w:pPr>
            <w:r>
              <w:rPr>
                <w:rFonts w:ascii="宋体" w:hAnsi="宋体"/>
                <w:color w:val="000000" w:themeColor="text1"/>
                <w14:textFill>
                  <w14:solidFill>
                    <w14:schemeClr w14:val="tx1"/>
                  </w14:solidFill>
                </w14:textFill>
              </w:rPr>
              <w:t>√</w:t>
            </w:r>
          </w:p>
        </w:tc>
        <w:tc>
          <w:tcPr>
            <w:tcW w:w="1283" w:type="dxa"/>
            <w:vAlign w:val="center"/>
          </w:tcPr>
          <w:p w14:paraId="2148A2B3">
            <w:pPr>
              <w:pStyle w:val="14"/>
            </w:pPr>
            <w:r>
              <w:rPr>
                <w:rFonts w:ascii="宋体" w:hAnsi="宋体"/>
                <w:color w:val="000000" w:themeColor="text1"/>
                <w14:textFill>
                  <w14:solidFill>
                    <w14:schemeClr w14:val="tx1"/>
                  </w14:solidFill>
                </w14:textFill>
              </w:rPr>
              <w:t>√</w:t>
            </w:r>
          </w:p>
        </w:tc>
        <w:tc>
          <w:tcPr>
            <w:tcW w:w="1283" w:type="dxa"/>
            <w:vAlign w:val="center"/>
          </w:tcPr>
          <w:p w14:paraId="6598B8B1">
            <w:pPr>
              <w:pStyle w:val="14"/>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7A7B208">
            <w:pPr>
              <w:pStyle w:val="14"/>
            </w:pPr>
            <w:r>
              <w:rPr>
                <w:rFonts w:ascii="宋体" w:hAnsi="宋体"/>
                <w:color w:val="000000" w:themeColor="text1"/>
                <w14:textFill>
                  <w14:solidFill>
                    <w14:schemeClr w14:val="tx1"/>
                  </w14:solidFill>
                </w14:textFill>
              </w:rPr>
              <w:t>√</w:t>
            </w:r>
          </w:p>
        </w:tc>
      </w:tr>
      <w:tr w14:paraId="2AF0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bottom w:val="single" w:color="auto" w:sz="12" w:space="0"/>
            </w:tcBorders>
            <w:vAlign w:val="center"/>
          </w:tcPr>
          <w:p w14:paraId="669F59C5">
            <w:pPr>
              <w:jc w:val="center"/>
              <w:rPr>
                <w:rFonts w:eastAsia="黑体"/>
                <w:sz w:val="21"/>
                <w:szCs w:val="21"/>
              </w:rPr>
            </w:pPr>
            <w:r>
              <w:rPr>
                <w:rFonts w:hint="eastAsia"/>
                <w:color w:val="000000"/>
                <w:sz w:val="18"/>
                <w:szCs w:val="18"/>
              </w:rPr>
              <w:t>综合</w:t>
            </w:r>
            <w:r>
              <w:rPr>
                <w:color w:val="000000"/>
                <w:sz w:val="18"/>
                <w:szCs w:val="18"/>
              </w:rPr>
              <w:t>测评</w:t>
            </w:r>
            <w:r>
              <w:rPr>
                <w:rFonts w:hint="eastAsia"/>
                <w:color w:val="000000"/>
                <w:sz w:val="18"/>
                <w:szCs w:val="18"/>
              </w:rPr>
              <w:t xml:space="preserve"> </w:t>
            </w:r>
            <w:r>
              <w:rPr>
                <w:color w:val="000000"/>
                <w:sz w:val="18"/>
                <w:szCs w:val="18"/>
              </w:rPr>
              <w:t>考核</w:t>
            </w:r>
          </w:p>
        </w:tc>
        <w:tc>
          <w:tcPr>
            <w:tcW w:w="1283" w:type="dxa"/>
            <w:tcBorders>
              <w:bottom w:val="single" w:color="auto" w:sz="12" w:space="0"/>
            </w:tcBorders>
            <w:vAlign w:val="center"/>
          </w:tcPr>
          <w:p w14:paraId="269A4874">
            <w:pPr>
              <w:pStyle w:val="14"/>
            </w:pPr>
            <w:r>
              <w:rPr>
                <w:rFonts w:ascii="宋体" w:hAnsi="宋体"/>
                <w:color w:val="000000" w:themeColor="text1"/>
                <w14:textFill>
                  <w14:solidFill>
                    <w14:schemeClr w14:val="tx1"/>
                  </w14:solidFill>
                </w14:textFill>
              </w:rPr>
              <w:t>√</w:t>
            </w:r>
          </w:p>
        </w:tc>
        <w:tc>
          <w:tcPr>
            <w:tcW w:w="1283" w:type="dxa"/>
            <w:tcBorders>
              <w:bottom w:val="single" w:color="auto" w:sz="12" w:space="0"/>
            </w:tcBorders>
            <w:vAlign w:val="center"/>
          </w:tcPr>
          <w:p w14:paraId="08596E72">
            <w:pPr>
              <w:pStyle w:val="14"/>
            </w:pPr>
            <w:r>
              <w:rPr>
                <w:rFonts w:ascii="宋体" w:hAnsi="宋体"/>
                <w:color w:val="000000" w:themeColor="text1"/>
                <w14:textFill>
                  <w14:solidFill>
                    <w14:schemeClr w14:val="tx1"/>
                  </w14:solidFill>
                </w14:textFill>
              </w:rPr>
              <w:t>√</w:t>
            </w:r>
          </w:p>
        </w:tc>
        <w:tc>
          <w:tcPr>
            <w:tcW w:w="1283" w:type="dxa"/>
            <w:tcBorders>
              <w:bottom w:val="single" w:color="auto" w:sz="12" w:space="0"/>
            </w:tcBorders>
            <w:vAlign w:val="center"/>
          </w:tcPr>
          <w:p w14:paraId="5D5860BE">
            <w:pPr>
              <w:pStyle w:val="14"/>
            </w:pPr>
            <w:r>
              <w:rPr>
                <w:rFonts w:ascii="宋体" w:hAnsi="宋体"/>
                <w:color w:val="000000" w:themeColor="text1"/>
                <w14:textFill>
                  <w14:solidFill>
                    <w14:schemeClr w14:val="tx1"/>
                  </w14:solidFill>
                </w14:textFill>
              </w:rPr>
              <w:t>√</w:t>
            </w:r>
          </w:p>
        </w:tc>
        <w:tc>
          <w:tcPr>
            <w:tcW w:w="1283" w:type="dxa"/>
            <w:tcBorders>
              <w:bottom w:val="single" w:color="auto" w:sz="12" w:space="0"/>
              <w:right w:val="single" w:color="auto" w:sz="12" w:space="0"/>
            </w:tcBorders>
            <w:vAlign w:val="center"/>
          </w:tcPr>
          <w:p w14:paraId="72E8EDA5">
            <w:pPr>
              <w:pStyle w:val="14"/>
            </w:pPr>
            <w:r>
              <w:rPr>
                <w:rFonts w:ascii="宋体" w:hAnsi="宋体"/>
                <w:color w:val="000000" w:themeColor="text1"/>
                <w14:textFill>
                  <w14:solidFill>
                    <w14:schemeClr w14:val="tx1"/>
                  </w14:solidFill>
                </w14:textFill>
              </w:rPr>
              <w:t>√</w:t>
            </w:r>
          </w:p>
        </w:tc>
      </w:tr>
    </w:tbl>
    <w:p w14:paraId="1A0261DE">
      <w:pPr>
        <w:pStyle w:val="17"/>
        <w:spacing w:before="156" w:after="156"/>
      </w:pPr>
    </w:p>
    <w:p w14:paraId="144270D6">
      <w:pPr>
        <w:pStyle w:val="17"/>
        <w:spacing w:before="156" w:after="156"/>
      </w:pPr>
      <w:r>
        <w:rPr>
          <w:rFonts w:hint="eastAsia"/>
        </w:rPr>
        <w:t>（三）教学方法与学时分配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739"/>
        <w:gridCol w:w="1738"/>
        <w:gridCol w:w="725"/>
        <w:gridCol w:w="669"/>
        <w:gridCol w:w="717"/>
      </w:tblGrid>
      <w:tr w14:paraId="1DD46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restart"/>
            <w:vAlign w:val="center"/>
          </w:tcPr>
          <w:p w14:paraId="402C6CA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698" w:type="dxa"/>
            <w:vMerge w:val="restart"/>
            <w:vAlign w:val="center"/>
          </w:tcPr>
          <w:p w14:paraId="1D880A62">
            <w:pPr>
              <w:pStyle w:val="13"/>
              <w:widowControl w:val="0"/>
              <w:rPr>
                <w:szCs w:val="21"/>
              </w:rPr>
            </w:pPr>
            <w:r>
              <w:rPr>
                <w:rFonts w:hint="eastAsia" w:ascii="黑体" w:hAnsi="黑体"/>
                <w:szCs w:val="21"/>
              </w:rPr>
              <w:t>教与学方式</w:t>
            </w:r>
          </w:p>
        </w:tc>
        <w:tc>
          <w:tcPr>
            <w:tcW w:w="1697" w:type="dxa"/>
            <w:vMerge w:val="restart"/>
            <w:vAlign w:val="center"/>
          </w:tcPr>
          <w:p w14:paraId="1E5FB9F7">
            <w:pPr>
              <w:pStyle w:val="13"/>
              <w:widowControl w:val="0"/>
              <w:rPr>
                <w:rFonts w:ascii="黑体" w:hAnsi="黑体"/>
                <w:szCs w:val="21"/>
              </w:rPr>
            </w:pPr>
            <w:r>
              <w:rPr>
                <w:rFonts w:hint="eastAsia" w:ascii="黑体" w:hAnsi="黑体"/>
                <w:szCs w:val="21"/>
              </w:rPr>
              <w:t>评价方式</w:t>
            </w:r>
          </w:p>
        </w:tc>
        <w:tc>
          <w:tcPr>
            <w:tcW w:w="2061" w:type="dxa"/>
            <w:gridSpan w:val="3"/>
            <w:vAlign w:val="center"/>
          </w:tcPr>
          <w:p w14:paraId="293D04C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42EB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continue"/>
          </w:tcPr>
          <w:p w14:paraId="5A28D464">
            <w:pPr>
              <w:widowControl w:val="0"/>
              <w:snapToGrid w:val="0"/>
              <w:jc w:val="center"/>
              <w:rPr>
                <w:rFonts w:ascii="黑体" w:hAnsi="黑体" w:eastAsia="黑体"/>
                <w:bCs/>
                <w:sz w:val="21"/>
                <w:szCs w:val="21"/>
              </w:rPr>
            </w:pPr>
          </w:p>
        </w:tc>
        <w:tc>
          <w:tcPr>
            <w:tcW w:w="1698" w:type="dxa"/>
            <w:vMerge w:val="continue"/>
          </w:tcPr>
          <w:p w14:paraId="70EB0B60">
            <w:pPr>
              <w:widowControl w:val="0"/>
              <w:snapToGrid w:val="0"/>
              <w:jc w:val="center"/>
              <w:rPr>
                <w:rFonts w:ascii="黑体" w:hAnsi="黑体" w:eastAsia="黑体"/>
                <w:bCs/>
                <w:sz w:val="21"/>
                <w:szCs w:val="21"/>
              </w:rPr>
            </w:pPr>
          </w:p>
        </w:tc>
        <w:tc>
          <w:tcPr>
            <w:tcW w:w="1697" w:type="dxa"/>
            <w:vMerge w:val="continue"/>
          </w:tcPr>
          <w:p w14:paraId="549D6C73">
            <w:pPr>
              <w:widowControl w:val="0"/>
              <w:snapToGrid w:val="0"/>
              <w:jc w:val="center"/>
              <w:rPr>
                <w:rFonts w:ascii="黑体" w:hAnsi="黑体" w:eastAsia="黑体"/>
                <w:bCs/>
                <w:sz w:val="21"/>
                <w:szCs w:val="21"/>
              </w:rPr>
            </w:pPr>
          </w:p>
        </w:tc>
        <w:tc>
          <w:tcPr>
            <w:tcW w:w="708" w:type="dxa"/>
            <w:vAlign w:val="center"/>
          </w:tcPr>
          <w:p w14:paraId="63EC091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F58309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vAlign w:val="center"/>
          </w:tcPr>
          <w:p w14:paraId="204D745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C2E0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691DF5C2">
            <w:pPr>
              <w:widowControl/>
              <w:jc w:val="center"/>
              <w:rPr>
                <w:sz w:val="21"/>
                <w:szCs w:val="21"/>
              </w:rPr>
            </w:pPr>
            <w:r>
              <w:rPr>
                <w:rFonts w:hint="eastAsia"/>
                <w:color w:val="000000"/>
                <w:sz w:val="18"/>
                <w:szCs w:val="18"/>
              </w:rPr>
              <w:t>法学概论</w:t>
            </w:r>
          </w:p>
        </w:tc>
        <w:tc>
          <w:tcPr>
            <w:tcW w:w="1698" w:type="dxa"/>
            <w:vAlign w:val="center"/>
          </w:tcPr>
          <w:p w14:paraId="31CFBC1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讲课</w:t>
            </w:r>
          </w:p>
        </w:tc>
        <w:tc>
          <w:tcPr>
            <w:tcW w:w="1697" w:type="dxa"/>
            <w:vAlign w:val="center"/>
          </w:tcPr>
          <w:p w14:paraId="217C59E5">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08" w:type="dxa"/>
            <w:vAlign w:val="center"/>
          </w:tcPr>
          <w:p w14:paraId="06A48E4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089B0E9">
            <w:pPr>
              <w:widowControl w:val="0"/>
              <w:snapToGrid w:val="0"/>
              <w:jc w:val="center"/>
              <w:rPr>
                <w:rFonts w:ascii="Times New Roman" w:hAnsi="Times New Roman"/>
                <w:bCs/>
                <w:sz w:val="21"/>
                <w:szCs w:val="21"/>
              </w:rPr>
            </w:pPr>
          </w:p>
        </w:tc>
        <w:tc>
          <w:tcPr>
            <w:tcW w:w="700" w:type="dxa"/>
          </w:tcPr>
          <w:p w14:paraId="1B5576C4">
            <w:pPr>
              <w:widowControl w:val="0"/>
              <w:jc w:val="center"/>
            </w:pPr>
            <w:r>
              <w:rPr>
                <w:rFonts w:hint="eastAsia" w:ascii="Times New Roman" w:hAnsi="Times New Roman"/>
                <w:bCs/>
                <w:sz w:val="21"/>
                <w:szCs w:val="21"/>
              </w:rPr>
              <w:t>2</w:t>
            </w:r>
          </w:p>
        </w:tc>
      </w:tr>
      <w:tr w14:paraId="78BF6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5402C475">
            <w:pPr>
              <w:widowControl/>
              <w:jc w:val="center"/>
              <w:rPr>
                <w:sz w:val="21"/>
                <w:szCs w:val="21"/>
              </w:rPr>
            </w:pPr>
            <w:r>
              <w:rPr>
                <w:color w:val="000000"/>
                <w:sz w:val="18"/>
                <w:szCs w:val="18"/>
              </w:rPr>
              <w:t>宪法</w:t>
            </w:r>
          </w:p>
        </w:tc>
        <w:tc>
          <w:tcPr>
            <w:tcW w:w="1698" w:type="dxa"/>
          </w:tcPr>
          <w:p w14:paraId="0BF3E6CC">
            <w:pPr>
              <w:widowControl w:val="0"/>
              <w:jc w:val="center"/>
            </w:pPr>
            <w:r>
              <w:rPr>
                <w:rFonts w:hint="eastAsia" w:ascii="Times New Roman" w:hAnsi="Times New Roman"/>
                <w:bCs/>
                <w:sz w:val="21"/>
                <w:szCs w:val="21"/>
              </w:rPr>
              <w:t>讲课</w:t>
            </w:r>
          </w:p>
        </w:tc>
        <w:tc>
          <w:tcPr>
            <w:tcW w:w="1697" w:type="dxa"/>
          </w:tcPr>
          <w:p w14:paraId="6830C87D">
            <w:pPr>
              <w:widowControl w:val="0"/>
              <w:jc w:val="center"/>
            </w:pPr>
            <w:r>
              <w:rPr>
                <w:rFonts w:hint="eastAsia" w:ascii="Times New Roman" w:hAnsi="Times New Roman"/>
                <w:bCs/>
                <w:sz w:val="21"/>
                <w:szCs w:val="21"/>
              </w:rPr>
              <w:t>考查</w:t>
            </w:r>
          </w:p>
        </w:tc>
        <w:tc>
          <w:tcPr>
            <w:tcW w:w="708" w:type="dxa"/>
          </w:tcPr>
          <w:p w14:paraId="7D0EBB0B">
            <w:pPr>
              <w:widowControl w:val="0"/>
              <w:jc w:val="center"/>
            </w:pPr>
            <w:r>
              <w:rPr>
                <w:rFonts w:hint="eastAsia" w:ascii="Times New Roman" w:hAnsi="Times New Roman"/>
                <w:bCs/>
                <w:sz w:val="21"/>
                <w:szCs w:val="21"/>
              </w:rPr>
              <w:t>2</w:t>
            </w:r>
          </w:p>
        </w:tc>
        <w:tc>
          <w:tcPr>
            <w:tcW w:w="653" w:type="dxa"/>
            <w:vAlign w:val="center"/>
          </w:tcPr>
          <w:p w14:paraId="289AD09A">
            <w:pPr>
              <w:widowControl w:val="0"/>
              <w:snapToGrid w:val="0"/>
              <w:jc w:val="center"/>
              <w:rPr>
                <w:rFonts w:ascii="Times New Roman" w:hAnsi="Times New Roman"/>
                <w:bCs/>
                <w:sz w:val="21"/>
                <w:szCs w:val="21"/>
              </w:rPr>
            </w:pPr>
          </w:p>
        </w:tc>
        <w:tc>
          <w:tcPr>
            <w:tcW w:w="700" w:type="dxa"/>
          </w:tcPr>
          <w:p w14:paraId="6E108284">
            <w:pPr>
              <w:widowControl w:val="0"/>
              <w:jc w:val="center"/>
            </w:pPr>
            <w:r>
              <w:rPr>
                <w:rFonts w:hint="eastAsia" w:ascii="Times New Roman" w:hAnsi="Times New Roman"/>
                <w:bCs/>
                <w:sz w:val="21"/>
                <w:szCs w:val="21"/>
              </w:rPr>
              <w:t>2</w:t>
            </w:r>
          </w:p>
        </w:tc>
      </w:tr>
      <w:tr w14:paraId="4C947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51053D1C">
            <w:pPr>
              <w:widowControl/>
              <w:jc w:val="center"/>
              <w:rPr>
                <w:sz w:val="21"/>
                <w:szCs w:val="21"/>
              </w:rPr>
            </w:pPr>
            <w:r>
              <w:rPr>
                <w:color w:val="000000"/>
                <w:sz w:val="18"/>
                <w:szCs w:val="18"/>
              </w:rPr>
              <w:t>行政法</w:t>
            </w:r>
          </w:p>
        </w:tc>
        <w:tc>
          <w:tcPr>
            <w:tcW w:w="1698" w:type="dxa"/>
          </w:tcPr>
          <w:p w14:paraId="17D495C3">
            <w:pPr>
              <w:widowControl w:val="0"/>
              <w:jc w:val="center"/>
            </w:pPr>
            <w:r>
              <w:rPr>
                <w:rFonts w:hint="eastAsia" w:ascii="Times New Roman" w:hAnsi="Times New Roman"/>
                <w:bCs/>
                <w:sz w:val="21"/>
                <w:szCs w:val="21"/>
              </w:rPr>
              <w:t>讲课</w:t>
            </w:r>
          </w:p>
        </w:tc>
        <w:tc>
          <w:tcPr>
            <w:tcW w:w="1697" w:type="dxa"/>
          </w:tcPr>
          <w:p w14:paraId="63D00438">
            <w:pPr>
              <w:widowControl w:val="0"/>
              <w:jc w:val="center"/>
            </w:pPr>
            <w:r>
              <w:rPr>
                <w:rFonts w:hint="eastAsia" w:ascii="Times New Roman" w:hAnsi="Times New Roman"/>
                <w:bCs/>
                <w:sz w:val="21"/>
                <w:szCs w:val="21"/>
              </w:rPr>
              <w:t>考查</w:t>
            </w:r>
          </w:p>
        </w:tc>
        <w:tc>
          <w:tcPr>
            <w:tcW w:w="708" w:type="dxa"/>
          </w:tcPr>
          <w:p w14:paraId="3B4CF9AC">
            <w:pPr>
              <w:widowControl w:val="0"/>
              <w:jc w:val="center"/>
            </w:pPr>
            <w:r>
              <w:rPr>
                <w:rFonts w:hint="eastAsia" w:ascii="Times New Roman" w:hAnsi="Times New Roman"/>
                <w:bCs/>
                <w:sz w:val="21"/>
                <w:szCs w:val="21"/>
              </w:rPr>
              <w:t>2</w:t>
            </w:r>
          </w:p>
        </w:tc>
        <w:tc>
          <w:tcPr>
            <w:tcW w:w="653" w:type="dxa"/>
            <w:vAlign w:val="center"/>
          </w:tcPr>
          <w:p w14:paraId="35BFFD88">
            <w:pPr>
              <w:widowControl w:val="0"/>
              <w:snapToGrid w:val="0"/>
              <w:jc w:val="center"/>
              <w:rPr>
                <w:rFonts w:ascii="Times New Roman" w:hAnsi="Times New Roman"/>
                <w:bCs/>
                <w:sz w:val="21"/>
                <w:szCs w:val="21"/>
              </w:rPr>
            </w:pPr>
          </w:p>
        </w:tc>
        <w:tc>
          <w:tcPr>
            <w:tcW w:w="700" w:type="dxa"/>
          </w:tcPr>
          <w:p w14:paraId="57113BBB">
            <w:pPr>
              <w:widowControl w:val="0"/>
              <w:jc w:val="center"/>
            </w:pPr>
            <w:r>
              <w:rPr>
                <w:rFonts w:hint="eastAsia" w:ascii="Times New Roman" w:hAnsi="Times New Roman"/>
                <w:bCs/>
                <w:sz w:val="21"/>
                <w:szCs w:val="21"/>
              </w:rPr>
              <w:t>2</w:t>
            </w:r>
          </w:p>
        </w:tc>
      </w:tr>
      <w:tr w14:paraId="394CE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695F7F64">
            <w:pPr>
              <w:widowControl/>
              <w:jc w:val="center"/>
              <w:rPr>
                <w:sz w:val="21"/>
                <w:szCs w:val="21"/>
              </w:rPr>
            </w:pPr>
            <w:r>
              <w:rPr>
                <w:color w:val="000000"/>
                <w:sz w:val="18"/>
                <w:szCs w:val="18"/>
              </w:rPr>
              <w:t>民法</w:t>
            </w:r>
            <w:r>
              <w:rPr>
                <w:rFonts w:hint="eastAsia"/>
                <w:color w:val="000000"/>
                <w:sz w:val="18"/>
                <w:szCs w:val="18"/>
              </w:rPr>
              <w:t>典</w:t>
            </w:r>
            <w:r>
              <w:rPr>
                <w:color w:val="000000"/>
                <w:sz w:val="18"/>
                <w:szCs w:val="18"/>
              </w:rPr>
              <w:t>基本原理</w:t>
            </w:r>
            <w:r>
              <w:rPr>
                <w:rFonts w:hint="eastAsia"/>
                <w:color w:val="000000"/>
                <w:sz w:val="18"/>
                <w:szCs w:val="18"/>
              </w:rPr>
              <w:t>总则篇</w:t>
            </w:r>
          </w:p>
        </w:tc>
        <w:tc>
          <w:tcPr>
            <w:tcW w:w="1698" w:type="dxa"/>
          </w:tcPr>
          <w:p w14:paraId="229199D1">
            <w:pPr>
              <w:widowControl w:val="0"/>
              <w:jc w:val="center"/>
            </w:pPr>
            <w:r>
              <w:rPr>
                <w:rFonts w:hint="eastAsia" w:ascii="Times New Roman" w:hAnsi="Times New Roman"/>
                <w:bCs/>
                <w:sz w:val="21"/>
                <w:szCs w:val="21"/>
              </w:rPr>
              <w:t>讲课</w:t>
            </w:r>
          </w:p>
        </w:tc>
        <w:tc>
          <w:tcPr>
            <w:tcW w:w="1697" w:type="dxa"/>
          </w:tcPr>
          <w:p w14:paraId="19C74C5A">
            <w:pPr>
              <w:widowControl w:val="0"/>
              <w:jc w:val="center"/>
            </w:pPr>
            <w:r>
              <w:rPr>
                <w:rFonts w:hint="eastAsia" w:ascii="Times New Roman" w:hAnsi="Times New Roman"/>
                <w:bCs/>
                <w:sz w:val="21"/>
                <w:szCs w:val="21"/>
              </w:rPr>
              <w:t>考查</w:t>
            </w:r>
          </w:p>
        </w:tc>
        <w:tc>
          <w:tcPr>
            <w:tcW w:w="708" w:type="dxa"/>
          </w:tcPr>
          <w:p w14:paraId="7A31C226">
            <w:pPr>
              <w:widowControl w:val="0"/>
              <w:jc w:val="center"/>
            </w:pPr>
            <w:r>
              <w:rPr>
                <w:rFonts w:hint="eastAsia" w:ascii="Times New Roman" w:hAnsi="Times New Roman"/>
                <w:bCs/>
                <w:sz w:val="21"/>
                <w:szCs w:val="21"/>
              </w:rPr>
              <w:t>2</w:t>
            </w:r>
          </w:p>
        </w:tc>
        <w:tc>
          <w:tcPr>
            <w:tcW w:w="653" w:type="dxa"/>
            <w:vAlign w:val="center"/>
          </w:tcPr>
          <w:p w14:paraId="2758FB99">
            <w:pPr>
              <w:widowControl w:val="0"/>
              <w:snapToGrid w:val="0"/>
              <w:jc w:val="center"/>
              <w:rPr>
                <w:rFonts w:ascii="Times New Roman" w:hAnsi="Times New Roman"/>
                <w:bCs/>
                <w:sz w:val="21"/>
                <w:szCs w:val="21"/>
              </w:rPr>
            </w:pPr>
          </w:p>
        </w:tc>
        <w:tc>
          <w:tcPr>
            <w:tcW w:w="700" w:type="dxa"/>
          </w:tcPr>
          <w:p w14:paraId="3F2762CE">
            <w:pPr>
              <w:widowControl w:val="0"/>
              <w:jc w:val="center"/>
            </w:pPr>
            <w:r>
              <w:rPr>
                <w:rFonts w:hint="eastAsia" w:ascii="Times New Roman" w:hAnsi="Times New Roman"/>
                <w:bCs/>
                <w:sz w:val="21"/>
                <w:szCs w:val="21"/>
              </w:rPr>
              <w:t>2</w:t>
            </w:r>
          </w:p>
        </w:tc>
      </w:tr>
      <w:tr w14:paraId="38F0F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7B9066E0">
            <w:pPr>
              <w:widowControl w:val="0"/>
              <w:jc w:val="center"/>
              <w:rPr>
                <w:sz w:val="21"/>
                <w:szCs w:val="21"/>
              </w:rPr>
            </w:pPr>
            <w:r>
              <w:rPr>
                <w:rFonts w:hint="eastAsia"/>
                <w:color w:val="000000"/>
                <w:sz w:val="18"/>
                <w:szCs w:val="18"/>
              </w:rPr>
              <w:t>民法典-合同篇</w:t>
            </w:r>
          </w:p>
        </w:tc>
        <w:tc>
          <w:tcPr>
            <w:tcW w:w="1698" w:type="dxa"/>
          </w:tcPr>
          <w:p w14:paraId="08F1217D">
            <w:pPr>
              <w:widowControl w:val="0"/>
              <w:jc w:val="center"/>
            </w:pPr>
            <w:r>
              <w:rPr>
                <w:rFonts w:hint="eastAsia" w:ascii="Times New Roman" w:hAnsi="Times New Roman"/>
                <w:bCs/>
                <w:sz w:val="21"/>
                <w:szCs w:val="21"/>
              </w:rPr>
              <w:t>讲课</w:t>
            </w:r>
          </w:p>
        </w:tc>
        <w:tc>
          <w:tcPr>
            <w:tcW w:w="1697" w:type="dxa"/>
          </w:tcPr>
          <w:p w14:paraId="58CE9959">
            <w:pPr>
              <w:widowControl w:val="0"/>
              <w:jc w:val="center"/>
            </w:pPr>
            <w:r>
              <w:rPr>
                <w:rFonts w:hint="eastAsia" w:ascii="Times New Roman" w:hAnsi="Times New Roman"/>
                <w:bCs/>
                <w:sz w:val="21"/>
                <w:szCs w:val="21"/>
              </w:rPr>
              <w:t>考查</w:t>
            </w:r>
          </w:p>
        </w:tc>
        <w:tc>
          <w:tcPr>
            <w:tcW w:w="708" w:type="dxa"/>
          </w:tcPr>
          <w:p w14:paraId="43FEDC84">
            <w:pPr>
              <w:widowControl w:val="0"/>
              <w:jc w:val="center"/>
            </w:pPr>
            <w:r>
              <w:rPr>
                <w:rFonts w:hint="eastAsia" w:ascii="Times New Roman" w:hAnsi="Times New Roman"/>
                <w:bCs/>
                <w:sz w:val="21"/>
                <w:szCs w:val="21"/>
              </w:rPr>
              <w:t>2</w:t>
            </w:r>
          </w:p>
        </w:tc>
        <w:tc>
          <w:tcPr>
            <w:tcW w:w="653" w:type="dxa"/>
            <w:vAlign w:val="center"/>
          </w:tcPr>
          <w:p w14:paraId="6CB72597">
            <w:pPr>
              <w:widowControl w:val="0"/>
              <w:snapToGrid w:val="0"/>
              <w:jc w:val="center"/>
              <w:rPr>
                <w:rFonts w:ascii="Times New Roman" w:hAnsi="Times New Roman"/>
                <w:bCs/>
                <w:sz w:val="21"/>
                <w:szCs w:val="21"/>
              </w:rPr>
            </w:pPr>
          </w:p>
        </w:tc>
        <w:tc>
          <w:tcPr>
            <w:tcW w:w="700" w:type="dxa"/>
          </w:tcPr>
          <w:p w14:paraId="291C3FE0">
            <w:pPr>
              <w:widowControl w:val="0"/>
              <w:jc w:val="center"/>
            </w:pPr>
            <w:r>
              <w:rPr>
                <w:rFonts w:hint="eastAsia" w:ascii="Times New Roman" w:hAnsi="Times New Roman"/>
                <w:bCs/>
                <w:sz w:val="21"/>
                <w:szCs w:val="21"/>
              </w:rPr>
              <w:t>2</w:t>
            </w:r>
          </w:p>
        </w:tc>
      </w:tr>
      <w:tr w14:paraId="41EDE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1F0B2B3A">
            <w:pPr>
              <w:widowControl/>
              <w:jc w:val="center"/>
              <w:rPr>
                <w:sz w:val="21"/>
                <w:szCs w:val="21"/>
              </w:rPr>
            </w:pPr>
            <w:r>
              <w:rPr>
                <w:color w:val="000000"/>
                <w:sz w:val="18"/>
                <w:szCs w:val="18"/>
              </w:rPr>
              <w:t>婚姻家庭继承法</w:t>
            </w:r>
          </w:p>
        </w:tc>
        <w:tc>
          <w:tcPr>
            <w:tcW w:w="1698" w:type="dxa"/>
          </w:tcPr>
          <w:p w14:paraId="480F3E60">
            <w:pPr>
              <w:widowControl w:val="0"/>
              <w:jc w:val="center"/>
            </w:pPr>
            <w:r>
              <w:rPr>
                <w:rFonts w:hint="eastAsia" w:ascii="Times New Roman" w:hAnsi="Times New Roman"/>
                <w:bCs/>
                <w:sz w:val="21"/>
                <w:szCs w:val="21"/>
              </w:rPr>
              <w:t>讲课</w:t>
            </w:r>
          </w:p>
        </w:tc>
        <w:tc>
          <w:tcPr>
            <w:tcW w:w="1697" w:type="dxa"/>
          </w:tcPr>
          <w:p w14:paraId="480B01A7">
            <w:pPr>
              <w:widowControl w:val="0"/>
              <w:jc w:val="center"/>
            </w:pPr>
            <w:r>
              <w:rPr>
                <w:rFonts w:hint="eastAsia" w:ascii="Times New Roman" w:hAnsi="Times New Roman"/>
                <w:bCs/>
                <w:sz w:val="21"/>
                <w:szCs w:val="21"/>
              </w:rPr>
              <w:t>考查</w:t>
            </w:r>
          </w:p>
        </w:tc>
        <w:tc>
          <w:tcPr>
            <w:tcW w:w="708" w:type="dxa"/>
          </w:tcPr>
          <w:p w14:paraId="59D8B32F">
            <w:pPr>
              <w:widowControl w:val="0"/>
              <w:jc w:val="center"/>
            </w:pPr>
            <w:r>
              <w:rPr>
                <w:rFonts w:hint="eastAsia" w:ascii="Times New Roman" w:hAnsi="Times New Roman"/>
                <w:bCs/>
                <w:sz w:val="21"/>
                <w:szCs w:val="21"/>
              </w:rPr>
              <w:t>2</w:t>
            </w:r>
          </w:p>
        </w:tc>
        <w:tc>
          <w:tcPr>
            <w:tcW w:w="653" w:type="dxa"/>
            <w:vAlign w:val="center"/>
          </w:tcPr>
          <w:p w14:paraId="231B8E52">
            <w:pPr>
              <w:widowControl w:val="0"/>
              <w:snapToGrid w:val="0"/>
              <w:jc w:val="center"/>
              <w:rPr>
                <w:rFonts w:ascii="Times New Roman" w:hAnsi="Times New Roman"/>
                <w:bCs/>
                <w:sz w:val="21"/>
                <w:szCs w:val="21"/>
              </w:rPr>
            </w:pPr>
          </w:p>
        </w:tc>
        <w:tc>
          <w:tcPr>
            <w:tcW w:w="700" w:type="dxa"/>
          </w:tcPr>
          <w:p w14:paraId="572C79E8">
            <w:pPr>
              <w:widowControl w:val="0"/>
              <w:jc w:val="center"/>
            </w:pPr>
            <w:r>
              <w:rPr>
                <w:rFonts w:hint="eastAsia" w:ascii="Times New Roman" w:hAnsi="Times New Roman"/>
                <w:bCs/>
                <w:sz w:val="21"/>
                <w:szCs w:val="21"/>
              </w:rPr>
              <w:t>2</w:t>
            </w:r>
          </w:p>
        </w:tc>
      </w:tr>
      <w:tr w14:paraId="507AE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101ED392">
            <w:pPr>
              <w:widowControl/>
              <w:jc w:val="center"/>
              <w:rPr>
                <w:sz w:val="21"/>
                <w:szCs w:val="21"/>
              </w:rPr>
            </w:pPr>
            <w:r>
              <w:rPr>
                <w:rFonts w:hint="eastAsia" w:cs="Arial"/>
                <w:sz w:val="18"/>
                <w:szCs w:val="18"/>
              </w:rPr>
              <w:t>民法典之-侵权责任编</w:t>
            </w:r>
          </w:p>
        </w:tc>
        <w:tc>
          <w:tcPr>
            <w:tcW w:w="1698" w:type="dxa"/>
          </w:tcPr>
          <w:p w14:paraId="412F3242">
            <w:pPr>
              <w:widowControl w:val="0"/>
              <w:jc w:val="center"/>
            </w:pPr>
            <w:r>
              <w:rPr>
                <w:rFonts w:hint="eastAsia" w:ascii="Times New Roman" w:hAnsi="Times New Roman"/>
                <w:bCs/>
                <w:sz w:val="21"/>
                <w:szCs w:val="21"/>
              </w:rPr>
              <w:t>讲课</w:t>
            </w:r>
          </w:p>
        </w:tc>
        <w:tc>
          <w:tcPr>
            <w:tcW w:w="1697" w:type="dxa"/>
          </w:tcPr>
          <w:p w14:paraId="1B784417">
            <w:pPr>
              <w:widowControl w:val="0"/>
              <w:jc w:val="center"/>
            </w:pPr>
            <w:r>
              <w:rPr>
                <w:rFonts w:hint="eastAsia" w:ascii="Times New Roman" w:hAnsi="Times New Roman"/>
                <w:bCs/>
                <w:sz w:val="21"/>
                <w:szCs w:val="21"/>
              </w:rPr>
              <w:t>考查</w:t>
            </w:r>
          </w:p>
        </w:tc>
        <w:tc>
          <w:tcPr>
            <w:tcW w:w="708" w:type="dxa"/>
          </w:tcPr>
          <w:p w14:paraId="74B1B3B3">
            <w:pPr>
              <w:widowControl w:val="0"/>
              <w:jc w:val="center"/>
            </w:pPr>
            <w:r>
              <w:rPr>
                <w:rFonts w:hint="eastAsia" w:ascii="Times New Roman" w:hAnsi="Times New Roman"/>
                <w:bCs/>
                <w:sz w:val="21"/>
                <w:szCs w:val="21"/>
              </w:rPr>
              <w:t>2</w:t>
            </w:r>
          </w:p>
        </w:tc>
        <w:tc>
          <w:tcPr>
            <w:tcW w:w="653" w:type="dxa"/>
            <w:vAlign w:val="center"/>
          </w:tcPr>
          <w:p w14:paraId="60BB4CF4">
            <w:pPr>
              <w:widowControl w:val="0"/>
              <w:snapToGrid w:val="0"/>
              <w:jc w:val="center"/>
              <w:rPr>
                <w:rFonts w:ascii="Times New Roman" w:hAnsi="Times New Roman"/>
                <w:bCs/>
                <w:sz w:val="21"/>
                <w:szCs w:val="21"/>
              </w:rPr>
            </w:pPr>
          </w:p>
        </w:tc>
        <w:tc>
          <w:tcPr>
            <w:tcW w:w="700" w:type="dxa"/>
          </w:tcPr>
          <w:p w14:paraId="7BB0F53B">
            <w:pPr>
              <w:widowControl w:val="0"/>
              <w:jc w:val="center"/>
            </w:pPr>
            <w:r>
              <w:rPr>
                <w:rFonts w:hint="eastAsia" w:ascii="Times New Roman" w:hAnsi="Times New Roman"/>
                <w:bCs/>
                <w:sz w:val="21"/>
                <w:szCs w:val="21"/>
              </w:rPr>
              <w:t>2</w:t>
            </w:r>
          </w:p>
        </w:tc>
      </w:tr>
      <w:tr w14:paraId="04DB8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793DA9AD">
            <w:pPr>
              <w:widowControl/>
              <w:jc w:val="center"/>
              <w:rPr>
                <w:sz w:val="21"/>
                <w:szCs w:val="21"/>
              </w:rPr>
            </w:pPr>
            <w:r>
              <w:rPr>
                <w:rFonts w:hint="eastAsia" w:cs="Arial"/>
                <w:sz w:val="18"/>
                <w:szCs w:val="18"/>
              </w:rPr>
              <w:t>民法典之-侵权责任编</w:t>
            </w:r>
          </w:p>
        </w:tc>
        <w:tc>
          <w:tcPr>
            <w:tcW w:w="1698" w:type="dxa"/>
          </w:tcPr>
          <w:p w14:paraId="7C50A7D2">
            <w:pPr>
              <w:widowControl w:val="0"/>
              <w:jc w:val="center"/>
            </w:pPr>
            <w:r>
              <w:rPr>
                <w:rFonts w:hint="eastAsia" w:ascii="Times New Roman" w:hAnsi="Times New Roman"/>
                <w:bCs/>
                <w:sz w:val="21"/>
                <w:szCs w:val="21"/>
              </w:rPr>
              <w:t>讲课</w:t>
            </w:r>
          </w:p>
        </w:tc>
        <w:tc>
          <w:tcPr>
            <w:tcW w:w="1697" w:type="dxa"/>
          </w:tcPr>
          <w:p w14:paraId="7BF371C9">
            <w:pPr>
              <w:widowControl w:val="0"/>
              <w:jc w:val="center"/>
            </w:pPr>
            <w:r>
              <w:rPr>
                <w:rFonts w:hint="eastAsia" w:ascii="Times New Roman" w:hAnsi="Times New Roman"/>
                <w:bCs/>
                <w:sz w:val="21"/>
                <w:szCs w:val="21"/>
              </w:rPr>
              <w:t>考查</w:t>
            </w:r>
          </w:p>
        </w:tc>
        <w:tc>
          <w:tcPr>
            <w:tcW w:w="708" w:type="dxa"/>
          </w:tcPr>
          <w:p w14:paraId="0A646842">
            <w:pPr>
              <w:widowControl w:val="0"/>
              <w:jc w:val="center"/>
            </w:pPr>
            <w:r>
              <w:rPr>
                <w:rFonts w:hint="eastAsia" w:ascii="Times New Roman" w:hAnsi="Times New Roman"/>
                <w:bCs/>
                <w:sz w:val="21"/>
                <w:szCs w:val="21"/>
              </w:rPr>
              <w:t>2</w:t>
            </w:r>
          </w:p>
        </w:tc>
        <w:tc>
          <w:tcPr>
            <w:tcW w:w="653" w:type="dxa"/>
            <w:vAlign w:val="center"/>
          </w:tcPr>
          <w:p w14:paraId="7A9AA9F2">
            <w:pPr>
              <w:widowControl w:val="0"/>
              <w:snapToGrid w:val="0"/>
              <w:jc w:val="center"/>
              <w:rPr>
                <w:rFonts w:ascii="Times New Roman" w:hAnsi="Times New Roman"/>
                <w:bCs/>
                <w:sz w:val="21"/>
                <w:szCs w:val="21"/>
              </w:rPr>
            </w:pPr>
          </w:p>
        </w:tc>
        <w:tc>
          <w:tcPr>
            <w:tcW w:w="700" w:type="dxa"/>
          </w:tcPr>
          <w:p w14:paraId="22512DE8">
            <w:pPr>
              <w:widowControl w:val="0"/>
              <w:jc w:val="center"/>
            </w:pPr>
            <w:r>
              <w:rPr>
                <w:rFonts w:hint="eastAsia" w:ascii="Times New Roman" w:hAnsi="Times New Roman"/>
                <w:bCs/>
                <w:sz w:val="21"/>
                <w:szCs w:val="21"/>
              </w:rPr>
              <w:t>2</w:t>
            </w:r>
          </w:p>
        </w:tc>
      </w:tr>
      <w:tr w14:paraId="72581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15B01A42">
            <w:pPr>
              <w:widowControl/>
              <w:jc w:val="center"/>
              <w:rPr>
                <w:sz w:val="21"/>
                <w:szCs w:val="21"/>
              </w:rPr>
            </w:pPr>
            <w:r>
              <w:rPr>
                <w:color w:val="000000"/>
                <w:sz w:val="18"/>
                <w:szCs w:val="18"/>
              </w:rPr>
              <w:t>消费者权益保护法</w:t>
            </w:r>
          </w:p>
        </w:tc>
        <w:tc>
          <w:tcPr>
            <w:tcW w:w="1698" w:type="dxa"/>
          </w:tcPr>
          <w:p w14:paraId="2B6F7EDD">
            <w:pPr>
              <w:widowControl w:val="0"/>
              <w:jc w:val="center"/>
            </w:pPr>
            <w:r>
              <w:rPr>
                <w:rFonts w:hint="eastAsia" w:ascii="Times New Roman" w:hAnsi="Times New Roman"/>
                <w:bCs/>
                <w:sz w:val="21"/>
                <w:szCs w:val="21"/>
              </w:rPr>
              <w:t>讲课</w:t>
            </w:r>
          </w:p>
        </w:tc>
        <w:tc>
          <w:tcPr>
            <w:tcW w:w="1697" w:type="dxa"/>
          </w:tcPr>
          <w:p w14:paraId="25E0575A">
            <w:pPr>
              <w:widowControl w:val="0"/>
              <w:jc w:val="center"/>
            </w:pPr>
            <w:r>
              <w:rPr>
                <w:rFonts w:hint="eastAsia" w:ascii="Times New Roman" w:hAnsi="Times New Roman"/>
                <w:bCs/>
                <w:sz w:val="21"/>
                <w:szCs w:val="21"/>
              </w:rPr>
              <w:t>考查</w:t>
            </w:r>
          </w:p>
        </w:tc>
        <w:tc>
          <w:tcPr>
            <w:tcW w:w="708" w:type="dxa"/>
          </w:tcPr>
          <w:p w14:paraId="11E2BDF9">
            <w:pPr>
              <w:widowControl w:val="0"/>
              <w:jc w:val="center"/>
            </w:pPr>
            <w:r>
              <w:rPr>
                <w:rFonts w:hint="eastAsia" w:ascii="Times New Roman" w:hAnsi="Times New Roman"/>
                <w:bCs/>
                <w:sz w:val="21"/>
                <w:szCs w:val="21"/>
              </w:rPr>
              <w:t>2</w:t>
            </w:r>
          </w:p>
        </w:tc>
        <w:tc>
          <w:tcPr>
            <w:tcW w:w="653" w:type="dxa"/>
            <w:vAlign w:val="center"/>
          </w:tcPr>
          <w:p w14:paraId="26A51B76">
            <w:pPr>
              <w:widowControl w:val="0"/>
              <w:snapToGrid w:val="0"/>
              <w:jc w:val="center"/>
              <w:rPr>
                <w:rFonts w:ascii="Times New Roman" w:hAnsi="Times New Roman"/>
                <w:bCs/>
                <w:sz w:val="21"/>
                <w:szCs w:val="21"/>
              </w:rPr>
            </w:pPr>
          </w:p>
        </w:tc>
        <w:tc>
          <w:tcPr>
            <w:tcW w:w="700" w:type="dxa"/>
          </w:tcPr>
          <w:p w14:paraId="2DA9B70A">
            <w:pPr>
              <w:widowControl w:val="0"/>
              <w:jc w:val="center"/>
            </w:pPr>
            <w:r>
              <w:rPr>
                <w:rFonts w:hint="eastAsia" w:ascii="Times New Roman" w:hAnsi="Times New Roman"/>
                <w:bCs/>
                <w:sz w:val="21"/>
                <w:szCs w:val="21"/>
              </w:rPr>
              <w:t>2</w:t>
            </w:r>
          </w:p>
        </w:tc>
      </w:tr>
      <w:tr w14:paraId="63DD4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69B45D12">
            <w:pPr>
              <w:widowControl/>
              <w:jc w:val="center"/>
              <w:rPr>
                <w:rFonts w:eastAsia="黑体"/>
                <w:sz w:val="21"/>
                <w:szCs w:val="21"/>
              </w:rPr>
            </w:pPr>
            <w:r>
              <w:rPr>
                <w:color w:val="000000"/>
                <w:sz w:val="18"/>
                <w:szCs w:val="18"/>
              </w:rPr>
              <w:t>劳动</w:t>
            </w:r>
            <w:r>
              <w:rPr>
                <w:rFonts w:hint="eastAsia" w:eastAsiaTheme="minorEastAsia"/>
                <w:color w:val="000000"/>
                <w:sz w:val="18"/>
                <w:szCs w:val="18"/>
              </w:rPr>
              <w:t>和社会</w:t>
            </w:r>
            <w:r>
              <w:rPr>
                <w:rFonts w:eastAsiaTheme="minorEastAsia"/>
                <w:color w:val="000000"/>
                <w:sz w:val="18"/>
                <w:szCs w:val="18"/>
              </w:rPr>
              <w:t>保障</w:t>
            </w:r>
            <w:r>
              <w:rPr>
                <w:rFonts w:hint="eastAsia" w:eastAsiaTheme="minorEastAsia"/>
                <w:color w:val="000000"/>
                <w:sz w:val="18"/>
                <w:szCs w:val="18"/>
              </w:rPr>
              <w:t>法</w:t>
            </w:r>
          </w:p>
        </w:tc>
        <w:tc>
          <w:tcPr>
            <w:tcW w:w="1698" w:type="dxa"/>
          </w:tcPr>
          <w:p w14:paraId="75BA7DE3">
            <w:pPr>
              <w:widowControl w:val="0"/>
              <w:jc w:val="center"/>
            </w:pPr>
            <w:r>
              <w:rPr>
                <w:rFonts w:hint="eastAsia" w:ascii="Times New Roman" w:hAnsi="Times New Roman"/>
                <w:bCs/>
                <w:sz w:val="21"/>
                <w:szCs w:val="21"/>
              </w:rPr>
              <w:t>讲课</w:t>
            </w:r>
          </w:p>
        </w:tc>
        <w:tc>
          <w:tcPr>
            <w:tcW w:w="1697" w:type="dxa"/>
          </w:tcPr>
          <w:p w14:paraId="7EFE0AC2">
            <w:pPr>
              <w:widowControl w:val="0"/>
              <w:jc w:val="center"/>
            </w:pPr>
            <w:r>
              <w:rPr>
                <w:rFonts w:hint="eastAsia" w:ascii="Times New Roman" w:hAnsi="Times New Roman"/>
                <w:bCs/>
                <w:sz w:val="21"/>
                <w:szCs w:val="21"/>
              </w:rPr>
              <w:t>考查</w:t>
            </w:r>
          </w:p>
        </w:tc>
        <w:tc>
          <w:tcPr>
            <w:tcW w:w="708" w:type="dxa"/>
          </w:tcPr>
          <w:p w14:paraId="57DCCBED">
            <w:pPr>
              <w:widowControl w:val="0"/>
              <w:jc w:val="center"/>
            </w:pPr>
            <w:r>
              <w:rPr>
                <w:rFonts w:hint="eastAsia" w:ascii="Times New Roman" w:hAnsi="Times New Roman"/>
                <w:bCs/>
                <w:sz w:val="21"/>
                <w:szCs w:val="21"/>
              </w:rPr>
              <w:t>2</w:t>
            </w:r>
          </w:p>
        </w:tc>
        <w:tc>
          <w:tcPr>
            <w:tcW w:w="653" w:type="dxa"/>
            <w:vAlign w:val="center"/>
          </w:tcPr>
          <w:p w14:paraId="75FFA639">
            <w:pPr>
              <w:widowControl w:val="0"/>
              <w:snapToGrid w:val="0"/>
              <w:jc w:val="center"/>
              <w:rPr>
                <w:rFonts w:ascii="Times New Roman" w:hAnsi="Times New Roman"/>
                <w:bCs/>
                <w:sz w:val="21"/>
                <w:szCs w:val="21"/>
              </w:rPr>
            </w:pPr>
          </w:p>
        </w:tc>
        <w:tc>
          <w:tcPr>
            <w:tcW w:w="700" w:type="dxa"/>
          </w:tcPr>
          <w:p w14:paraId="17A72017">
            <w:pPr>
              <w:widowControl w:val="0"/>
              <w:jc w:val="center"/>
            </w:pPr>
            <w:r>
              <w:rPr>
                <w:rFonts w:hint="eastAsia" w:ascii="Times New Roman" w:hAnsi="Times New Roman"/>
                <w:bCs/>
                <w:sz w:val="21"/>
                <w:szCs w:val="21"/>
              </w:rPr>
              <w:t>2</w:t>
            </w:r>
          </w:p>
        </w:tc>
      </w:tr>
      <w:tr w14:paraId="4D743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11F6E7FB">
            <w:pPr>
              <w:widowControl/>
              <w:jc w:val="center"/>
              <w:rPr>
                <w:rFonts w:eastAsia="黑体"/>
                <w:sz w:val="21"/>
                <w:szCs w:val="21"/>
              </w:rPr>
            </w:pPr>
            <w:r>
              <w:rPr>
                <w:color w:val="000000"/>
                <w:sz w:val="18"/>
                <w:szCs w:val="18"/>
              </w:rPr>
              <w:t>刑法-总论</w:t>
            </w:r>
          </w:p>
        </w:tc>
        <w:tc>
          <w:tcPr>
            <w:tcW w:w="1698" w:type="dxa"/>
          </w:tcPr>
          <w:p w14:paraId="3DC940DF">
            <w:pPr>
              <w:widowControl w:val="0"/>
              <w:jc w:val="center"/>
            </w:pPr>
            <w:r>
              <w:rPr>
                <w:rFonts w:hint="eastAsia" w:ascii="Times New Roman" w:hAnsi="Times New Roman"/>
                <w:bCs/>
                <w:sz w:val="21"/>
                <w:szCs w:val="21"/>
              </w:rPr>
              <w:t>讲课</w:t>
            </w:r>
          </w:p>
        </w:tc>
        <w:tc>
          <w:tcPr>
            <w:tcW w:w="1697" w:type="dxa"/>
          </w:tcPr>
          <w:p w14:paraId="1267BA0C">
            <w:pPr>
              <w:widowControl w:val="0"/>
              <w:jc w:val="center"/>
            </w:pPr>
            <w:r>
              <w:rPr>
                <w:rFonts w:hint="eastAsia" w:ascii="Times New Roman" w:hAnsi="Times New Roman"/>
                <w:bCs/>
                <w:sz w:val="21"/>
                <w:szCs w:val="21"/>
              </w:rPr>
              <w:t>考查</w:t>
            </w:r>
          </w:p>
        </w:tc>
        <w:tc>
          <w:tcPr>
            <w:tcW w:w="708" w:type="dxa"/>
          </w:tcPr>
          <w:p w14:paraId="52864860">
            <w:pPr>
              <w:widowControl w:val="0"/>
              <w:jc w:val="center"/>
            </w:pPr>
            <w:r>
              <w:rPr>
                <w:rFonts w:hint="eastAsia" w:ascii="Times New Roman" w:hAnsi="Times New Roman"/>
                <w:bCs/>
                <w:sz w:val="21"/>
                <w:szCs w:val="21"/>
              </w:rPr>
              <w:t>2</w:t>
            </w:r>
          </w:p>
        </w:tc>
        <w:tc>
          <w:tcPr>
            <w:tcW w:w="653" w:type="dxa"/>
            <w:vAlign w:val="center"/>
          </w:tcPr>
          <w:p w14:paraId="3BD36D72">
            <w:pPr>
              <w:widowControl w:val="0"/>
              <w:snapToGrid w:val="0"/>
              <w:jc w:val="center"/>
              <w:rPr>
                <w:rFonts w:ascii="Times New Roman" w:hAnsi="Times New Roman"/>
                <w:bCs/>
                <w:sz w:val="21"/>
                <w:szCs w:val="21"/>
              </w:rPr>
            </w:pPr>
          </w:p>
        </w:tc>
        <w:tc>
          <w:tcPr>
            <w:tcW w:w="700" w:type="dxa"/>
          </w:tcPr>
          <w:p w14:paraId="266D8840">
            <w:pPr>
              <w:widowControl w:val="0"/>
              <w:jc w:val="center"/>
            </w:pPr>
            <w:r>
              <w:rPr>
                <w:rFonts w:hint="eastAsia" w:ascii="Times New Roman" w:hAnsi="Times New Roman"/>
                <w:bCs/>
                <w:sz w:val="21"/>
                <w:szCs w:val="21"/>
              </w:rPr>
              <w:t>2</w:t>
            </w:r>
          </w:p>
        </w:tc>
      </w:tr>
      <w:tr w14:paraId="7217B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4CA33626">
            <w:pPr>
              <w:widowControl w:val="0"/>
              <w:jc w:val="center"/>
              <w:rPr>
                <w:rFonts w:eastAsia="黑体"/>
                <w:sz w:val="21"/>
                <w:szCs w:val="21"/>
              </w:rPr>
            </w:pPr>
            <w:r>
              <w:rPr>
                <w:color w:val="000000"/>
                <w:sz w:val="18"/>
                <w:szCs w:val="18"/>
              </w:rPr>
              <w:t>刑法-</w:t>
            </w:r>
            <w:r>
              <w:rPr>
                <w:rFonts w:hint="eastAsia"/>
                <w:color w:val="000000"/>
                <w:sz w:val="18"/>
                <w:szCs w:val="18"/>
              </w:rPr>
              <w:t>总</w:t>
            </w:r>
            <w:r>
              <w:rPr>
                <w:color w:val="000000"/>
                <w:sz w:val="18"/>
                <w:szCs w:val="18"/>
              </w:rPr>
              <w:t>论</w:t>
            </w:r>
          </w:p>
        </w:tc>
        <w:tc>
          <w:tcPr>
            <w:tcW w:w="1698" w:type="dxa"/>
          </w:tcPr>
          <w:p w14:paraId="7B0D1BE8">
            <w:pPr>
              <w:widowControl w:val="0"/>
              <w:jc w:val="center"/>
            </w:pPr>
            <w:r>
              <w:rPr>
                <w:rFonts w:hint="eastAsia" w:ascii="Times New Roman" w:hAnsi="Times New Roman"/>
                <w:bCs/>
                <w:sz w:val="21"/>
                <w:szCs w:val="21"/>
              </w:rPr>
              <w:t>讲课</w:t>
            </w:r>
          </w:p>
        </w:tc>
        <w:tc>
          <w:tcPr>
            <w:tcW w:w="1697" w:type="dxa"/>
          </w:tcPr>
          <w:p w14:paraId="11360B5C">
            <w:pPr>
              <w:widowControl w:val="0"/>
              <w:jc w:val="center"/>
            </w:pPr>
            <w:r>
              <w:rPr>
                <w:rFonts w:hint="eastAsia" w:ascii="Times New Roman" w:hAnsi="Times New Roman"/>
                <w:bCs/>
                <w:sz w:val="21"/>
                <w:szCs w:val="21"/>
              </w:rPr>
              <w:t>考查</w:t>
            </w:r>
          </w:p>
        </w:tc>
        <w:tc>
          <w:tcPr>
            <w:tcW w:w="708" w:type="dxa"/>
          </w:tcPr>
          <w:p w14:paraId="7B64B769">
            <w:pPr>
              <w:widowControl w:val="0"/>
              <w:jc w:val="center"/>
            </w:pPr>
            <w:r>
              <w:rPr>
                <w:rFonts w:hint="eastAsia" w:ascii="Times New Roman" w:hAnsi="Times New Roman"/>
                <w:bCs/>
                <w:sz w:val="21"/>
                <w:szCs w:val="21"/>
              </w:rPr>
              <w:t>2</w:t>
            </w:r>
          </w:p>
        </w:tc>
        <w:tc>
          <w:tcPr>
            <w:tcW w:w="653" w:type="dxa"/>
            <w:vAlign w:val="center"/>
          </w:tcPr>
          <w:p w14:paraId="78E8DFCC">
            <w:pPr>
              <w:widowControl w:val="0"/>
              <w:snapToGrid w:val="0"/>
              <w:jc w:val="center"/>
              <w:rPr>
                <w:rFonts w:ascii="Times New Roman" w:hAnsi="Times New Roman"/>
                <w:bCs/>
                <w:sz w:val="21"/>
                <w:szCs w:val="21"/>
              </w:rPr>
            </w:pPr>
          </w:p>
        </w:tc>
        <w:tc>
          <w:tcPr>
            <w:tcW w:w="700" w:type="dxa"/>
          </w:tcPr>
          <w:p w14:paraId="7BCAAED3">
            <w:pPr>
              <w:widowControl w:val="0"/>
              <w:jc w:val="center"/>
            </w:pPr>
            <w:r>
              <w:rPr>
                <w:rFonts w:hint="eastAsia" w:ascii="Times New Roman" w:hAnsi="Times New Roman"/>
                <w:bCs/>
                <w:sz w:val="21"/>
                <w:szCs w:val="21"/>
              </w:rPr>
              <w:t>2</w:t>
            </w:r>
          </w:p>
        </w:tc>
      </w:tr>
      <w:tr w14:paraId="662C2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2087C7A1">
            <w:pPr>
              <w:widowControl/>
              <w:jc w:val="center"/>
              <w:rPr>
                <w:rFonts w:eastAsia="黑体"/>
                <w:sz w:val="21"/>
                <w:szCs w:val="21"/>
              </w:rPr>
            </w:pPr>
            <w:r>
              <w:rPr>
                <w:color w:val="000000"/>
                <w:sz w:val="18"/>
                <w:szCs w:val="18"/>
              </w:rPr>
              <w:t>刑法-分论</w:t>
            </w:r>
          </w:p>
        </w:tc>
        <w:tc>
          <w:tcPr>
            <w:tcW w:w="1698" w:type="dxa"/>
          </w:tcPr>
          <w:p w14:paraId="104A645A">
            <w:pPr>
              <w:widowControl w:val="0"/>
              <w:jc w:val="center"/>
            </w:pPr>
            <w:r>
              <w:rPr>
                <w:rFonts w:hint="eastAsia" w:ascii="Times New Roman" w:hAnsi="Times New Roman"/>
                <w:bCs/>
                <w:sz w:val="21"/>
                <w:szCs w:val="21"/>
              </w:rPr>
              <w:t>讲课</w:t>
            </w:r>
          </w:p>
        </w:tc>
        <w:tc>
          <w:tcPr>
            <w:tcW w:w="1697" w:type="dxa"/>
          </w:tcPr>
          <w:p w14:paraId="39B986CC">
            <w:pPr>
              <w:widowControl w:val="0"/>
              <w:jc w:val="center"/>
            </w:pPr>
            <w:r>
              <w:rPr>
                <w:rFonts w:hint="eastAsia" w:ascii="Times New Roman" w:hAnsi="Times New Roman"/>
                <w:bCs/>
                <w:sz w:val="21"/>
                <w:szCs w:val="21"/>
              </w:rPr>
              <w:t>考查</w:t>
            </w:r>
          </w:p>
        </w:tc>
        <w:tc>
          <w:tcPr>
            <w:tcW w:w="708" w:type="dxa"/>
          </w:tcPr>
          <w:p w14:paraId="1C3709C0">
            <w:pPr>
              <w:widowControl w:val="0"/>
              <w:jc w:val="center"/>
            </w:pPr>
            <w:r>
              <w:rPr>
                <w:rFonts w:hint="eastAsia" w:ascii="Times New Roman" w:hAnsi="Times New Roman"/>
                <w:bCs/>
                <w:sz w:val="21"/>
                <w:szCs w:val="21"/>
              </w:rPr>
              <w:t>2</w:t>
            </w:r>
          </w:p>
        </w:tc>
        <w:tc>
          <w:tcPr>
            <w:tcW w:w="653" w:type="dxa"/>
            <w:vAlign w:val="center"/>
          </w:tcPr>
          <w:p w14:paraId="0FFD55AA">
            <w:pPr>
              <w:widowControl w:val="0"/>
              <w:snapToGrid w:val="0"/>
              <w:jc w:val="center"/>
              <w:rPr>
                <w:rFonts w:ascii="Times New Roman" w:hAnsi="Times New Roman"/>
                <w:bCs/>
                <w:sz w:val="21"/>
                <w:szCs w:val="21"/>
              </w:rPr>
            </w:pPr>
          </w:p>
        </w:tc>
        <w:tc>
          <w:tcPr>
            <w:tcW w:w="700" w:type="dxa"/>
          </w:tcPr>
          <w:p w14:paraId="539A6FC5">
            <w:pPr>
              <w:widowControl w:val="0"/>
              <w:jc w:val="center"/>
            </w:pPr>
            <w:r>
              <w:rPr>
                <w:rFonts w:hint="eastAsia" w:ascii="Times New Roman" w:hAnsi="Times New Roman"/>
                <w:bCs/>
                <w:sz w:val="21"/>
                <w:szCs w:val="21"/>
              </w:rPr>
              <w:t>2</w:t>
            </w:r>
          </w:p>
        </w:tc>
      </w:tr>
      <w:tr w14:paraId="3EEEF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440C89EC">
            <w:pPr>
              <w:widowControl/>
              <w:jc w:val="center"/>
              <w:rPr>
                <w:rFonts w:eastAsia="黑体"/>
                <w:sz w:val="21"/>
                <w:szCs w:val="21"/>
              </w:rPr>
            </w:pPr>
            <w:r>
              <w:rPr>
                <w:color w:val="000000"/>
                <w:sz w:val="18"/>
                <w:szCs w:val="18"/>
              </w:rPr>
              <w:t>刑法-分论</w:t>
            </w:r>
          </w:p>
        </w:tc>
        <w:tc>
          <w:tcPr>
            <w:tcW w:w="1698" w:type="dxa"/>
          </w:tcPr>
          <w:p w14:paraId="15CF6787">
            <w:pPr>
              <w:widowControl w:val="0"/>
              <w:jc w:val="center"/>
            </w:pPr>
            <w:r>
              <w:rPr>
                <w:rFonts w:hint="eastAsia" w:ascii="Times New Roman" w:hAnsi="Times New Roman"/>
                <w:bCs/>
                <w:sz w:val="21"/>
                <w:szCs w:val="21"/>
              </w:rPr>
              <w:t>讲课</w:t>
            </w:r>
          </w:p>
        </w:tc>
        <w:tc>
          <w:tcPr>
            <w:tcW w:w="1697" w:type="dxa"/>
          </w:tcPr>
          <w:p w14:paraId="2FFCDB7C">
            <w:pPr>
              <w:widowControl w:val="0"/>
              <w:jc w:val="center"/>
            </w:pPr>
            <w:r>
              <w:rPr>
                <w:rFonts w:hint="eastAsia" w:ascii="Times New Roman" w:hAnsi="Times New Roman"/>
                <w:bCs/>
                <w:sz w:val="21"/>
                <w:szCs w:val="21"/>
              </w:rPr>
              <w:t>考查</w:t>
            </w:r>
          </w:p>
        </w:tc>
        <w:tc>
          <w:tcPr>
            <w:tcW w:w="708" w:type="dxa"/>
          </w:tcPr>
          <w:p w14:paraId="159415B3">
            <w:pPr>
              <w:widowControl w:val="0"/>
              <w:jc w:val="center"/>
            </w:pPr>
            <w:r>
              <w:rPr>
                <w:rFonts w:hint="eastAsia" w:ascii="Times New Roman" w:hAnsi="Times New Roman"/>
                <w:bCs/>
                <w:sz w:val="21"/>
                <w:szCs w:val="21"/>
              </w:rPr>
              <w:t>2</w:t>
            </w:r>
          </w:p>
        </w:tc>
        <w:tc>
          <w:tcPr>
            <w:tcW w:w="653" w:type="dxa"/>
            <w:vAlign w:val="center"/>
          </w:tcPr>
          <w:p w14:paraId="678F1B9C">
            <w:pPr>
              <w:widowControl w:val="0"/>
              <w:snapToGrid w:val="0"/>
              <w:jc w:val="center"/>
              <w:rPr>
                <w:rFonts w:ascii="Times New Roman" w:hAnsi="Times New Roman"/>
                <w:bCs/>
                <w:sz w:val="21"/>
                <w:szCs w:val="21"/>
              </w:rPr>
            </w:pPr>
          </w:p>
        </w:tc>
        <w:tc>
          <w:tcPr>
            <w:tcW w:w="700" w:type="dxa"/>
          </w:tcPr>
          <w:p w14:paraId="3168BC6A">
            <w:pPr>
              <w:widowControl w:val="0"/>
              <w:jc w:val="center"/>
            </w:pPr>
            <w:r>
              <w:rPr>
                <w:rFonts w:hint="eastAsia" w:ascii="Times New Roman" w:hAnsi="Times New Roman"/>
                <w:bCs/>
                <w:sz w:val="21"/>
                <w:szCs w:val="21"/>
              </w:rPr>
              <w:t>2</w:t>
            </w:r>
          </w:p>
        </w:tc>
      </w:tr>
      <w:tr w14:paraId="06841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61D001E1">
            <w:pPr>
              <w:widowControl/>
              <w:jc w:val="center"/>
              <w:rPr>
                <w:rFonts w:eastAsia="黑体"/>
                <w:sz w:val="21"/>
                <w:szCs w:val="21"/>
              </w:rPr>
            </w:pPr>
            <w:r>
              <w:rPr>
                <w:color w:val="000000"/>
                <w:sz w:val="18"/>
                <w:szCs w:val="18"/>
              </w:rPr>
              <w:t>诉讼法</w:t>
            </w:r>
          </w:p>
        </w:tc>
        <w:tc>
          <w:tcPr>
            <w:tcW w:w="1698" w:type="dxa"/>
          </w:tcPr>
          <w:p w14:paraId="465BE8DB">
            <w:pPr>
              <w:widowControl w:val="0"/>
              <w:jc w:val="center"/>
            </w:pPr>
            <w:r>
              <w:rPr>
                <w:rFonts w:hint="eastAsia"/>
                <w:color w:val="000000"/>
                <w:sz w:val="18"/>
                <w:szCs w:val="18"/>
              </w:rPr>
              <w:t>参观实践</w:t>
            </w:r>
          </w:p>
        </w:tc>
        <w:tc>
          <w:tcPr>
            <w:tcW w:w="1697" w:type="dxa"/>
          </w:tcPr>
          <w:p w14:paraId="6EC7FC0B">
            <w:pPr>
              <w:widowControl w:val="0"/>
              <w:jc w:val="center"/>
            </w:pPr>
            <w:r>
              <w:rPr>
                <w:rFonts w:hint="eastAsia" w:ascii="Times New Roman" w:hAnsi="Times New Roman"/>
                <w:bCs/>
                <w:sz w:val="21"/>
                <w:szCs w:val="21"/>
              </w:rPr>
              <w:t>考查</w:t>
            </w:r>
          </w:p>
        </w:tc>
        <w:tc>
          <w:tcPr>
            <w:tcW w:w="708" w:type="dxa"/>
          </w:tcPr>
          <w:p w14:paraId="76A82E60">
            <w:pPr>
              <w:widowControl w:val="0"/>
              <w:jc w:val="center"/>
            </w:pPr>
          </w:p>
        </w:tc>
        <w:tc>
          <w:tcPr>
            <w:tcW w:w="653" w:type="dxa"/>
            <w:vAlign w:val="center"/>
          </w:tcPr>
          <w:p w14:paraId="63869B0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Pr>
          <w:p w14:paraId="4CC0F495">
            <w:pPr>
              <w:widowControl w:val="0"/>
              <w:jc w:val="center"/>
            </w:pPr>
            <w:r>
              <w:rPr>
                <w:rFonts w:hint="eastAsia" w:ascii="Times New Roman" w:hAnsi="Times New Roman"/>
                <w:bCs/>
                <w:sz w:val="21"/>
                <w:szCs w:val="21"/>
              </w:rPr>
              <w:t>2</w:t>
            </w:r>
          </w:p>
        </w:tc>
      </w:tr>
      <w:tr w14:paraId="12C1A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674D2987">
            <w:pPr>
              <w:widowControl/>
              <w:jc w:val="center"/>
              <w:rPr>
                <w:rFonts w:hint="eastAsia" w:eastAsia="黑体"/>
                <w:sz w:val="21"/>
                <w:szCs w:val="21"/>
              </w:rPr>
            </w:pPr>
            <w:r>
              <w:rPr>
                <w:rFonts w:hint="eastAsia"/>
                <w:color w:val="000000"/>
                <w:sz w:val="18"/>
                <w:szCs w:val="18"/>
              </w:rPr>
              <w:t>综合</w:t>
            </w:r>
            <w:r>
              <w:rPr>
                <w:color w:val="000000"/>
                <w:sz w:val="18"/>
                <w:szCs w:val="18"/>
              </w:rPr>
              <w:t>测评</w:t>
            </w:r>
            <w:r>
              <w:rPr>
                <w:rFonts w:hint="eastAsia"/>
                <w:color w:val="000000"/>
                <w:sz w:val="18"/>
                <w:szCs w:val="18"/>
              </w:rPr>
              <w:t xml:space="preserve"> </w:t>
            </w:r>
          </w:p>
        </w:tc>
        <w:tc>
          <w:tcPr>
            <w:tcW w:w="1698" w:type="dxa"/>
          </w:tcPr>
          <w:p w14:paraId="0E4EC0C1">
            <w:pPr>
              <w:widowControl w:val="0"/>
              <w:jc w:val="center"/>
              <w:rPr>
                <w:rFonts w:hint="eastAsia"/>
              </w:rPr>
            </w:pPr>
            <w:r>
              <w:rPr>
                <w:rFonts w:hint="eastAsia"/>
              </w:rPr>
              <w:t>考核</w:t>
            </w:r>
          </w:p>
        </w:tc>
        <w:tc>
          <w:tcPr>
            <w:tcW w:w="1697" w:type="dxa"/>
            <w:vAlign w:val="center"/>
          </w:tcPr>
          <w:p w14:paraId="6E494091">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08" w:type="dxa"/>
            <w:vAlign w:val="center"/>
          </w:tcPr>
          <w:p w14:paraId="16AFD36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0C4532E4">
            <w:pPr>
              <w:widowControl w:val="0"/>
              <w:snapToGrid w:val="0"/>
              <w:jc w:val="center"/>
              <w:rPr>
                <w:rFonts w:ascii="Times New Roman" w:hAnsi="Times New Roman"/>
                <w:bCs/>
                <w:sz w:val="21"/>
                <w:szCs w:val="21"/>
              </w:rPr>
            </w:pPr>
          </w:p>
        </w:tc>
        <w:tc>
          <w:tcPr>
            <w:tcW w:w="700" w:type="dxa"/>
          </w:tcPr>
          <w:p w14:paraId="17986659">
            <w:pPr>
              <w:widowControl w:val="0"/>
              <w:jc w:val="center"/>
            </w:pPr>
            <w:r>
              <w:rPr>
                <w:rFonts w:hint="eastAsia" w:ascii="Times New Roman" w:hAnsi="Times New Roman"/>
                <w:bCs/>
                <w:sz w:val="21"/>
                <w:szCs w:val="21"/>
              </w:rPr>
              <w:t>2</w:t>
            </w:r>
          </w:p>
        </w:tc>
      </w:tr>
      <w:tr w14:paraId="57813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vAlign w:val="center"/>
          </w:tcPr>
          <w:p w14:paraId="1E1370C2">
            <w:pPr>
              <w:pStyle w:val="13"/>
              <w:widowControl w:val="0"/>
            </w:pPr>
            <w:r>
              <w:rPr>
                <w:rFonts w:ascii="宋体" w:hAnsi="宋体"/>
                <w:sz w:val="18"/>
                <w:szCs w:val="18"/>
              </w:rPr>
              <w:t>讲课</w:t>
            </w:r>
            <w:r>
              <w:rPr>
                <w:rFonts w:hint="eastAsia"/>
              </w:rPr>
              <w:t>合计</w:t>
            </w:r>
          </w:p>
        </w:tc>
        <w:tc>
          <w:tcPr>
            <w:tcW w:w="708" w:type="dxa"/>
            <w:vAlign w:val="center"/>
          </w:tcPr>
          <w:p w14:paraId="19B6D0C3">
            <w:pPr>
              <w:widowControl w:val="0"/>
              <w:snapToGrid w:val="0"/>
              <w:jc w:val="center"/>
              <w:rPr>
                <w:rFonts w:ascii="Times New Roman" w:hAnsi="Times New Roman"/>
                <w:bCs/>
                <w:sz w:val="21"/>
                <w:szCs w:val="21"/>
              </w:rPr>
            </w:pPr>
            <w:r>
              <w:rPr>
                <w:rFonts w:hint="eastAsia" w:ascii="Times New Roman" w:hAnsi="Times New Roman"/>
                <w:bCs/>
                <w:sz w:val="21"/>
                <w:szCs w:val="21"/>
              </w:rPr>
              <w:t>30</w:t>
            </w:r>
          </w:p>
        </w:tc>
        <w:tc>
          <w:tcPr>
            <w:tcW w:w="653" w:type="dxa"/>
            <w:vAlign w:val="center"/>
          </w:tcPr>
          <w:p w14:paraId="69FF7D7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vAlign w:val="center"/>
          </w:tcPr>
          <w:p w14:paraId="74C686B0">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91A3B36">
      <w:pPr>
        <w:widowControl w:val="0"/>
        <w:rPr>
          <w:color w:val="000000" w:themeColor="text1"/>
          <w:sz w:val="21"/>
          <w:szCs w:val="21"/>
          <w14:textFill>
            <w14:solidFill>
              <w14:schemeClr w14:val="tx1"/>
            </w14:solidFill>
          </w14:textFill>
        </w:rPr>
      </w:pPr>
      <w:bookmarkStart w:id="4" w:name="OLE_LINK2"/>
      <w:bookmarkStart w:id="5" w:name="OLE_LINK1"/>
    </w:p>
    <w:p w14:paraId="34A3B401">
      <w:pPr>
        <w:widowControl w:val="0"/>
        <w:rPr>
          <w:color w:val="000000" w:themeColor="text1"/>
          <w:sz w:val="21"/>
          <w:szCs w:val="21"/>
          <w14:textFill>
            <w14:solidFill>
              <w14:schemeClr w14:val="tx1"/>
            </w14:solidFill>
          </w14:textFill>
        </w:rPr>
      </w:pPr>
    </w:p>
    <w:bookmarkEnd w:id="4"/>
    <w:bookmarkEnd w:id="5"/>
    <w:p w14:paraId="5311CFFC">
      <w:pPr>
        <w:pStyle w:val="16"/>
        <w:spacing w:before="312" w:beforeLines="100" w:line="360" w:lineRule="auto"/>
        <w:rPr>
          <w:rFonts w:ascii="黑体" w:hAnsi="宋体"/>
        </w:rPr>
      </w:pPr>
      <w:bookmarkStart w:id="6" w:name="OLE_LINK4"/>
      <w:bookmarkStart w:id="7" w:name="OLE_LINK3"/>
      <w:r>
        <w:rPr>
          <w:rFonts w:hint="eastAsia" w:ascii="黑体" w:hAnsi="宋体"/>
        </w:rPr>
        <w:t>四、课程思政教学设计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B76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Pr>
          <w:p w14:paraId="1F65161A">
            <w:pPr>
              <w:widowControl/>
              <w:ind w:firstLine="420" w:firstLineChars="200"/>
              <w:jc w:val="left"/>
              <w:rPr>
                <w:bCs/>
              </w:rPr>
            </w:pPr>
            <w:r>
              <w:rPr>
                <w:rFonts w:hint="eastAsia" w:cs="仿宋_GB2312" w:asciiTheme="minorEastAsia" w:hAnsiTheme="minorEastAsia" w:eastAsiaTheme="minorEastAsia"/>
                <w:color w:val="000000"/>
                <w:sz w:val="21"/>
                <w:szCs w:val="20"/>
              </w:rPr>
              <w:t>根据</w:t>
            </w:r>
            <w:r>
              <w:rPr>
                <w:rFonts w:cs="仿宋_GB2312" w:asciiTheme="minorEastAsia" w:hAnsiTheme="minorEastAsia" w:eastAsiaTheme="minorEastAsia"/>
                <w:color w:val="000000"/>
                <w:sz w:val="21"/>
                <w:szCs w:val="20"/>
              </w:rPr>
              <w:t>学校</w:t>
            </w:r>
            <w:r>
              <w:rPr>
                <w:rFonts w:hint="eastAsia" w:cs="仿宋_GB2312" w:asciiTheme="minorEastAsia" w:hAnsiTheme="minorEastAsia" w:eastAsiaTheme="minorEastAsia"/>
                <w:color w:val="000000"/>
                <w:sz w:val="21"/>
                <w:szCs w:val="20"/>
              </w:rPr>
              <w:t>人才培养</w:t>
            </w:r>
            <w:r>
              <w:rPr>
                <w:rFonts w:cs="仿宋_GB2312" w:asciiTheme="minorEastAsia" w:hAnsiTheme="minorEastAsia" w:eastAsiaTheme="minorEastAsia"/>
                <w:color w:val="000000"/>
                <w:sz w:val="21"/>
                <w:szCs w:val="20"/>
              </w:rPr>
              <w:t>八大核心素养培养要求和思想政治教育目标，</w:t>
            </w:r>
            <w:r>
              <w:rPr>
                <w:rFonts w:hint="eastAsia" w:cs="仿宋_GB2312" w:asciiTheme="minorEastAsia" w:hAnsiTheme="minorEastAsia" w:eastAsiaTheme="minorEastAsia"/>
                <w:color w:val="000000"/>
                <w:sz w:val="21"/>
                <w:szCs w:val="20"/>
              </w:rPr>
              <w:t>法律案件聚焦课程是使学生通过</w:t>
            </w:r>
            <w:r>
              <w:rPr>
                <w:rFonts w:cs="仿宋_GB2312" w:asciiTheme="minorEastAsia" w:hAnsiTheme="minorEastAsia" w:eastAsiaTheme="minorEastAsia"/>
                <w:color w:val="000000"/>
                <w:sz w:val="21"/>
                <w:szCs w:val="20"/>
              </w:rPr>
              <w:t>学习</w:t>
            </w:r>
            <w:r>
              <w:rPr>
                <w:rFonts w:hint="eastAsia" w:cs="仿宋_GB2312" w:asciiTheme="minorEastAsia" w:hAnsiTheme="minorEastAsia" w:eastAsiaTheme="minorEastAsia"/>
                <w:color w:val="000000"/>
                <w:sz w:val="21"/>
                <w:szCs w:val="20"/>
              </w:rPr>
              <w:t>法律</w:t>
            </w:r>
            <w:r>
              <w:rPr>
                <w:rFonts w:cs="仿宋_GB2312" w:asciiTheme="minorEastAsia" w:hAnsiTheme="minorEastAsia" w:eastAsiaTheme="minorEastAsia"/>
                <w:color w:val="000000"/>
                <w:sz w:val="21"/>
                <w:szCs w:val="20"/>
              </w:rPr>
              <w:t>知识，</w:t>
            </w:r>
            <w:r>
              <w:rPr>
                <w:rFonts w:hint="eastAsia" w:cs="仿宋_GB2312" w:asciiTheme="minorEastAsia" w:hAnsiTheme="minorEastAsia" w:eastAsiaTheme="minorEastAsia"/>
                <w:color w:val="000000"/>
                <w:sz w:val="21"/>
                <w:szCs w:val="20"/>
              </w:rPr>
              <w:t>树立法治观念</w:t>
            </w:r>
            <w:r>
              <w:rPr>
                <w:rFonts w:cs="仿宋_GB2312" w:asciiTheme="minorEastAsia" w:hAnsiTheme="minorEastAsia" w:eastAsiaTheme="minorEastAsia"/>
                <w:color w:val="000000"/>
                <w:sz w:val="21"/>
                <w:szCs w:val="20"/>
              </w:rPr>
              <w:t>、</w:t>
            </w:r>
            <w:r>
              <w:rPr>
                <w:rFonts w:hint="eastAsia" w:cs="仿宋_GB2312" w:asciiTheme="minorEastAsia" w:hAnsiTheme="minorEastAsia" w:eastAsiaTheme="minorEastAsia"/>
                <w:color w:val="000000"/>
                <w:sz w:val="21"/>
                <w:szCs w:val="20"/>
              </w:rPr>
              <w:t>遵纪守法</w:t>
            </w:r>
            <w:r>
              <w:rPr>
                <w:rFonts w:cs="仿宋_GB2312" w:asciiTheme="minorEastAsia" w:hAnsiTheme="minorEastAsia" w:eastAsiaTheme="minorEastAsia"/>
                <w:color w:val="000000"/>
                <w:sz w:val="21"/>
                <w:szCs w:val="20"/>
              </w:rPr>
              <w:t>、</w:t>
            </w:r>
            <w:r>
              <w:rPr>
                <w:rFonts w:hint="eastAsia" w:cs="仿宋_GB2312" w:asciiTheme="minorEastAsia" w:hAnsiTheme="minorEastAsia" w:eastAsiaTheme="minorEastAsia"/>
                <w:color w:val="000000"/>
                <w:sz w:val="21"/>
                <w:szCs w:val="20"/>
              </w:rPr>
              <w:t>提升</w:t>
            </w:r>
            <w:r>
              <w:rPr>
                <w:rFonts w:cs="仿宋_GB2312" w:asciiTheme="minorEastAsia" w:hAnsiTheme="minorEastAsia" w:eastAsiaTheme="minorEastAsia"/>
                <w:color w:val="000000"/>
                <w:sz w:val="21"/>
                <w:szCs w:val="20"/>
              </w:rPr>
              <w:t>法律意识</w:t>
            </w:r>
            <w:r>
              <w:rPr>
                <w:rFonts w:hint="eastAsia" w:cs="仿宋_GB2312" w:asciiTheme="minorEastAsia" w:hAnsiTheme="minorEastAsia" w:eastAsiaTheme="minorEastAsia"/>
                <w:color w:val="000000"/>
                <w:sz w:val="21"/>
                <w:szCs w:val="20"/>
              </w:rPr>
              <w:t>、</w:t>
            </w:r>
            <w:r>
              <w:rPr>
                <w:rFonts w:cs="仿宋_GB2312" w:asciiTheme="minorEastAsia" w:hAnsiTheme="minorEastAsia" w:eastAsiaTheme="minorEastAsia"/>
                <w:color w:val="000000"/>
                <w:sz w:val="21"/>
                <w:szCs w:val="20"/>
              </w:rPr>
              <w:t>培养法律思维、</w:t>
            </w:r>
            <w:r>
              <w:rPr>
                <w:rFonts w:hint="eastAsia" w:cs="仿宋_GB2312" w:asciiTheme="minorEastAsia" w:hAnsiTheme="minorEastAsia" w:eastAsiaTheme="minorEastAsia"/>
                <w:color w:val="000000"/>
                <w:sz w:val="21"/>
                <w:szCs w:val="20"/>
              </w:rPr>
              <w:t>自觉</w:t>
            </w:r>
            <w:r>
              <w:rPr>
                <w:rFonts w:cs="仿宋_GB2312" w:asciiTheme="minorEastAsia" w:hAnsiTheme="minorEastAsia" w:eastAsiaTheme="minorEastAsia"/>
                <w:color w:val="000000"/>
                <w:sz w:val="21"/>
                <w:szCs w:val="20"/>
              </w:rPr>
              <w:t>遵守法规、校纪校规的</w:t>
            </w:r>
            <w:r>
              <w:rPr>
                <w:rFonts w:hint="eastAsia" w:cs="仿宋_GB2312" w:asciiTheme="minorEastAsia" w:hAnsiTheme="minorEastAsia" w:eastAsiaTheme="minorEastAsia"/>
                <w:color w:val="000000"/>
                <w:sz w:val="21"/>
                <w:szCs w:val="20"/>
              </w:rPr>
              <w:t>教育理念，注重爱国主义教育和传统文化教育，积极弘扬</w:t>
            </w:r>
            <w:r>
              <w:rPr>
                <w:rFonts w:cs="仿宋_GB2312" w:asciiTheme="minorEastAsia" w:hAnsiTheme="minorEastAsia" w:eastAsiaTheme="minorEastAsia"/>
                <w:color w:val="000000"/>
                <w:sz w:val="21"/>
                <w:szCs w:val="20"/>
              </w:rPr>
              <w:t>社会主义核心价值观、增强</w:t>
            </w:r>
            <w:r>
              <w:rPr>
                <w:rFonts w:hint="eastAsia" w:cs="仿宋_GB2312" w:asciiTheme="minorEastAsia" w:hAnsiTheme="minorEastAsia" w:eastAsiaTheme="minorEastAsia"/>
                <w:color w:val="000000"/>
                <w:sz w:val="21"/>
                <w:szCs w:val="20"/>
              </w:rPr>
              <w:t>强</w:t>
            </w:r>
            <w:r>
              <w:rPr>
                <w:rFonts w:cs="仿宋_GB2312" w:asciiTheme="minorEastAsia" w:hAnsiTheme="minorEastAsia" w:eastAsiaTheme="minorEastAsia"/>
                <w:color w:val="000000"/>
                <w:sz w:val="21"/>
                <w:szCs w:val="20"/>
              </w:rPr>
              <w:t>政治认同</w:t>
            </w:r>
            <w:r>
              <w:rPr>
                <w:rFonts w:hint="eastAsia" w:cs="仿宋_GB2312" w:asciiTheme="minorEastAsia" w:hAnsiTheme="minorEastAsia" w:eastAsiaTheme="minorEastAsia"/>
                <w:color w:val="000000"/>
                <w:sz w:val="21"/>
                <w:szCs w:val="20"/>
              </w:rPr>
              <w:t>，培养学生成为、奋斗有我的信念，激发学生的责任感。</w:t>
            </w:r>
            <w:r>
              <w:rPr>
                <w:rFonts w:cs="仿宋_GB2312" w:asciiTheme="minorEastAsia" w:hAnsiTheme="minorEastAsia" w:eastAsiaTheme="minorEastAsia"/>
                <w:color w:val="000000"/>
                <w:sz w:val="21"/>
                <w:szCs w:val="20"/>
              </w:rPr>
              <w:t>通过</w:t>
            </w:r>
            <w:r>
              <w:rPr>
                <w:rFonts w:hint="eastAsia" w:cs="仿宋_GB2312" w:asciiTheme="minorEastAsia" w:hAnsiTheme="minorEastAsia" w:eastAsiaTheme="minorEastAsia"/>
                <w:color w:val="000000"/>
                <w:sz w:val="21"/>
                <w:szCs w:val="20"/>
              </w:rPr>
              <w:t>法院</w:t>
            </w:r>
            <w:r>
              <w:rPr>
                <w:rFonts w:cs="仿宋_GB2312" w:asciiTheme="minorEastAsia" w:hAnsiTheme="minorEastAsia" w:eastAsiaTheme="minorEastAsia"/>
                <w:color w:val="000000"/>
                <w:sz w:val="21"/>
                <w:szCs w:val="20"/>
              </w:rPr>
              <w:t>旁听</w:t>
            </w:r>
            <w:r>
              <w:rPr>
                <w:rFonts w:hint="eastAsia" w:cs="仿宋_GB2312" w:asciiTheme="minorEastAsia" w:hAnsiTheme="minorEastAsia" w:eastAsiaTheme="minorEastAsia"/>
                <w:color w:val="000000"/>
                <w:sz w:val="21"/>
                <w:szCs w:val="20"/>
              </w:rPr>
              <w:t>、</w:t>
            </w:r>
            <w:r>
              <w:rPr>
                <w:rFonts w:cs="仿宋_GB2312" w:asciiTheme="minorEastAsia" w:hAnsiTheme="minorEastAsia" w:eastAsiaTheme="minorEastAsia"/>
                <w:color w:val="000000"/>
                <w:sz w:val="21"/>
                <w:szCs w:val="20"/>
              </w:rPr>
              <w:t>课堂</w:t>
            </w:r>
            <w:r>
              <w:rPr>
                <w:rFonts w:hint="eastAsia" w:cs="仿宋_GB2312" w:asciiTheme="minorEastAsia" w:hAnsiTheme="minorEastAsia" w:eastAsiaTheme="minorEastAsia"/>
                <w:color w:val="000000"/>
                <w:sz w:val="21"/>
                <w:szCs w:val="20"/>
              </w:rPr>
              <w:t>展示</w:t>
            </w:r>
            <w:r>
              <w:rPr>
                <w:rFonts w:cs="仿宋_GB2312" w:asciiTheme="minorEastAsia" w:hAnsiTheme="minorEastAsia" w:eastAsiaTheme="minorEastAsia"/>
                <w:color w:val="000000"/>
                <w:sz w:val="21"/>
                <w:szCs w:val="20"/>
              </w:rPr>
              <w:t>等实践</w:t>
            </w:r>
            <w:r>
              <w:rPr>
                <w:rFonts w:hint="eastAsia" w:cs="仿宋_GB2312" w:asciiTheme="minorEastAsia" w:hAnsiTheme="minorEastAsia" w:eastAsiaTheme="minorEastAsia"/>
                <w:color w:val="000000"/>
                <w:sz w:val="21"/>
                <w:szCs w:val="20"/>
              </w:rPr>
              <w:t>等</w:t>
            </w:r>
            <w:r>
              <w:rPr>
                <w:rFonts w:cs="仿宋_GB2312" w:asciiTheme="minorEastAsia" w:hAnsiTheme="minorEastAsia" w:eastAsiaTheme="minorEastAsia"/>
                <w:color w:val="000000"/>
                <w:sz w:val="21"/>
                <w:szCs w:val="20"/>
              </w:rPr>
              <w:t>教学</w:t>
            </w:r>
            <w:r>
              <w:rPr>
                <w:rFonts w:hint="eastAsia" w:cs="仿宋_GB2312" w:asciiTheme="minorEastAsia" w:hAnsiTheme="minorEastAsia" w:eastAsiaTheme="minorEastAsia"/>
                <w:color w:val="000000"/>
                <w:sz w:val="21"/>
                <w:szCs w:val="20"/>
              </w:rPr>
              <w:t>环节</w:t>
            </w:r>
            <w:r>
              <w:rPr>
                <w:rFonts w:cs="仿宋_GB2312" w:asciiTheme="minorEastAsia" w:hAnsiTheme="minorEastAsia" w:eastAsiaTheme="minorEastAsia"/>
                <w:color w:val="000000"/>
                <w:sz w:val="21"/>
                <w:szCs w:val="20"/>
              </w:rPr>
              <w:t>将</w:t>
            </w:r>
            <w:r>
              <w:rPr>
                <w:rFonts w:hint="eastAsia" w:cs="仿宋_GB2312" w:asciiTheme="minorEastAsia" w:hAnsiTheme="minorEastAsia" w:eastAsiaTheme="minorEastAsia"/>
                <w:color w:val="000000"/>
                <w:sz w:val="21"/>
                <w:szCs w:val="20"/>
              </w:rPr>
              <w:t>所学</w:t>
            </w:r>
            <w:r>
              <w:rPr>
                <w:rFonts w:cs="仿宋_GB2312" w:asciiTheme="minorEastAsia" w:hAnsiTheme="minorEastAsia" w:eastAsiaTheme="minorEastAsia"/>
                <w:color w:val="000000"/>
                <w:sz w:val="21"/>
                <w:szCs w:val="20"/>
              </w:rPr>
              <w:t>法律知识运用到学习生活</w:t>
            </w:r>
            <w:r>
              <w:rPr>
                <w:rFonts w:hint="eastAsia" w:cs="仿宋_GB2312" w:asciiTheme="minorEastAsia" w:hAnsiTheme="minorEastAsia" w:eastAsiaTheme="minorEastAsia"/>
                <w:color w:val="000000"/>
                <w:sz w:val="21"/>
                <w:szCs w:val="20"/>
              </w:rPr>
              <w:t>中</w:t>
            </w:r>
            <w:r>
              <w:rPr>
                <w:rFonts w:cs="仿宋_GB2312" w:asciiTheme="minorEastAsia" w:hAnsiTheme="minorEastAsia" w:eastAsiaTheme="minorEastAsia"/>
                <w:color w:val="000000"/>
                <w:sz w:val="21"/>
                <w:szCs w:val="20"/>
              </w:rPr>
              <w:t>，</w:t>
            </w:r>
            <w:r>
              <w:rPr>
                <w:rFonts w:hint="eastAsia" w:cs="仿宋_GB2312" w:asciiTheme="minorEastAsia" w:hAnsiTheme="minorEastAsia" w:eastAsiaTheme="minorEastAsia"/>
                <w:color w:val="000000"/>
                <w:sz w:val="21"/>
                <w:szCs w:val="20"/>
              </w:rPr>
              <w:t>提升</w:t>
            </w:r>
            <w:r>
              <w:rPr>
                <w:rFonts w:cs="仿宋_GB2312" w:asciiTheme="minorEastAsia" w:hAnsiTheme="minorEastAsia" w:eastAsiaTheme="minorEastAsia"/>
                <w:color w:val="000000"/>
                <w:sz w:val="21"/>
                <w:szCs w:val="20"/>
              </w:rPr>
              <w:t>处理</w:t>
            </w:r>
            <w:r>
              <w:rPr>
                <w:rFonts w:hint="eastAsia" w:cs="仿宋_GB2312" w:asciiTheme="minorEastAsia" w:hAnsiTheme="minorEastAsia" w:eastAsiaTheme="minorEastAsia"/>
                <w:color w:val="000000"/>
                <w:sz w:val="21"/>
                <w:szCs w:val="20"/>
              </w:rPr>
              <w:t>纠纷</w:t>
            </w:r>
            <w:r>
              <w:rPr>
                <w:rFonts w:cs="仿宋_GB2312" w:asciiTheme="minorEastAsia" w:hAnsiTheme="minorEastAsia" w:eastAsiaTheme="minorEastAsia"/>
                <w:color w:val="000000"/>
                <w:sz w:val="21"/>
                <w:szCs w:val="20"/>
              </w:rPr>
              <w:t>、解决矛盾的技能</w:t>
            </w:r>
            <w:r>
              <w:rPr>
                <w:rFonts w:hint="eastAsia" w:cs="仿宋_GB2312" w:asciiTheme="minorEastAsia" w:hAnsiTheme="minorEastAsia" w:eastAsiaTheme="minorEastAsia"/>
                <w:color w:val="000000"/>
                <w:sz w:val="21"/>
                <w:szCs w:val="20"/>
              </w:rPr>
              <w:t>，同时将</w:t>
            </w:r>
            <w:r>
              <w:rPr>
                <w:rFonts w:cs="仿宋_GB2312" w:asciiTheme="minorEastAsia" w:hAnsiTheme="minorEastAsia" w:eastAsiaTheme="minorEastAsia"/>
                <w:color w:val="000000"/>
                <w:sz w:val="21"/>
                <w:szCs w:val="20"/>
              </w:rPr>
              <w:t>思想政治教育潜移默化的</w:t>
            </w:r>
            <w:r>
              <w:rPr>
                <w:rFonts w:hint="eastAsia" w:cs="仿宋_GB2312" w:asciiTheme="minorEastAsia" w:hAnsiTheme="minorEastAsia" w:eastAsiaTheme="minorEastAsia"/>
                <w:color w:val="000000"/>
                <w:sz w:val="21"/>
                <w:szCs w:val="20"/>
              </w:rPr>
              <w:t>渗透</w:t>
            </w:r>
            <w:r>
              <w:rPr>
                <w:rFonts w:cs="仿宋_GB2312" w:asciiTheme="minorEastAsia" w:hAnsiTheme="minorEastAsia" w:eastAsiaTheme="minorEastAsia"/>
                <w:color w:val="000000"/>
                <w:sz w:val="21"/>
                <w:szCs w:val="20"/>
              </w:rPr>
              <w:t>其中，</w:t>
            </w:r>
            <w:r>
              <w:rPr>
                <w:rFonts w:cs="仿宋_GB2312" w:asciiTheme="minorEastAsia" w:hAnsiTheme="minorEastAsia" w:eastAsiaTheme="minorEastAsia"/>
                <w:szCs w:val="20"/>
              </w:rPr>
              <w:t>以价值塑造为宗旨，以国家情怀、文化传承、道德素质为核心；课程中选取现下较为</w:t>
            </w:r>
            <w:r>
              <w:rPr>
                <w:rFonts w:hint="eastAsia" w:cs="仿宋_GB2312" w:asciiTheme="minorEastAsia" w:hAnsiTheme="minorEastAsia" w:eastAsiaTheme="minorEastAsia"/>
                <w:szCs w:val="20"/>
              </w:rPr>
              <w:t>热点</w:t>
            </w:r>
            <w:r>
              <w:rPr>
                <w:rFonts w:cs="仿宋_GB2312" w:asciiTheme="minorEastAsia" w:hAnsiTheme="minorEastAsia" w:eastAsiaTheme="minorEastAsia"/>
                <w:szCs w:val="20"/>
              </w:rPr>
              <w:t>新闻和</w:t>
            </w:r>
            <w:r>
              <w:rPr>
                <w:rFonts w:hint="eastAsia" w:cs="仿宋_GB2312" w:asciiTheme="minorEastAsia" w:hAnsiTheme="minorEastAsia" w:eastAsiaTheme="minorEastAsia"/>
                <w:szCs w:val="20"/>
              </w:rPr>
              <w:t>典型</w:t>
            </w:r>
            <w:r>
              <w:rPr>
                <w:rFonts w:cs="仿宋_GB2312" w:asciiTheme="minorEastAsia" w:hAnsiTheme="minorEastAsia" w:eastAsiaTheme="minorEastAsia"/>
                <w:szCs w:val="20"/>
              </w:rPr>
              <w:t>案件等</w:t>
            </w:r>
            <w:r>
              <w:rPr>
                <w:rFonts w:cs="仿宋_GB2312" w:asciiTheme="minorEastAsia" w:hAnsiTheme="minorEastAsia" w:eastAsiaTheme="minorEastAsia"/>
                <w:color w:val="000000"/>
                <w:sz w:val="21"/>
                <w:szCs w:val="20"/>
              </w:rPr>
              <w:t>，通过</w:t>
            </w:r>
            <w:r>
              <w:rPr>
                <w:rFonts w:hint="eastAsia" w:cs="仿宋_GB2312" w:asciiTheme="minorEastAsia" w:hAnsiTheme="minorEastAsia" w:eastAsiaTheme="minorEastAsia"/>
                <w:szCs w:val="20"/>
              </w:rPr>
              <w:t>案件</w:t>
            </w:r>
            <w:r>
              <w:rPr>
                <w:rFonts w:cs="仿宋_GB2312" w:asciiTheme="minorEastAsia" w:hAnsiTheme="minorEastAsia" w:eastAsiaTheme="minorEastAsia"/>
                <w:szCs w:val="20"/>
              </w:rPr>
              <w:t>分析和解读，</w:t>
            </w:r>
            <w:r>
              <w:rPr>
                <w:rFonts w:hint="eastAsia" w:cs="仿宋_GB2312" w:asciiTheme="minorEastAsia" w:hAnsiTheme="minorEastAsia" w:eastAsiaTheme="minorEastAsia"/>
                <w:szCs w:val="20"/>
              </w:rPr>
              <w:t>提高</w:t>
            </w:r>
            <w:r>
              <w:rPr>
                <w:rFonts w:cs="仿宋_GB2312" w:asciiTheme="minorEastAsia" w:hAnsiTheme="minorEastAsia" w:eastAsiaTheme="minorEastAsia"/>
                <w:color w:val="000000"/>
                <w:sz w:val="21"/>
                <w:szCs w:val="20"/>
              </w:rPr>
              <w:t>学生的</w:t>
            </w:r>
            <w:r>
              <w:rPr>
                <w:rFonts w:hint="eastAsia" w:cs="仿宋_GB2312" w:asciiTheme="minorEastAsia" w:hAnsiTheme="minorEastAsia" w:eastAsiaTheme="minorEastAsia"/>
                <w:szCs w:val="20"/>
              </w:rPr>
              <w:t>分析</w:t>
            </w:r>
            <w:r>
              <w:rPr>
                <w:rFonts w:cs="仿宋_GB2312" w:asciiTheme="minorEastAsia" w:hAnsiTheme="minorEastAsia" w:eastAsiaTheme="minorEastAsia"/>
                <w:szCs w:val="20"/>
              </w:rPr>
              <w:t>解决能力，</w:t>
            </w:r>
            <w:r>
              <w:rPr>
                <w:rFonts w:cs="仿宋_GB2312" w:asciiTheme="minorEastAsia" w:hAnsiTheme="minorEastAsia" w:eastAsiaTheme="minorEastAsia"/>
                <w:color w:val="000000"/>
                <w:sz w:val="21"/>
                <w:szCs w:val="20"/>
              </w:rPr>
              <w:t>和社会责任感；课程中分</w:t>
            </w:r>
            <w:r>
              <w:rPr>
                <w:rFonts w:hint="eastAsia" w:cs="仿宋_GB2312" w:asciiTheme="minorEastAsia" w:hAnsiTheme="minorEastAsia" w:eastAsiaTheme="minorEastAsia"/>
                <w:szCs w:val="20"/>
              </w:rPr>
              <w:t>小</w:t>
            </w:r>
            <w:r>
              <w:rPr>
                <w:rFonts w:cs="仿宋_GB2312" w:asciiTheme="minorEastAsia" w:hAnsiTheme="minorEastAsia" w:eastAsiaTheme="minorEastAsia"/>
                <w:color w:val="000000"/>
                <w:sz w:val="21"/>
                <w:szCs w:val="20"/>
              </w:rPr>
              <w:t>组</w:t>
            </w:r>
            <w:r>
              <w:rPr>
                <w:rFonts w:hint="eastAsia" w:cs="仿宋_GB2312" w:asciiTheme="minorEastAsia" w:hAnsiTheme="minorEastAsia" w:eastAsiaTheme="minorEastAsia"/>
                <w:szCs w:val="20"/>
              </w:rPr>
              <w:t>进行</w:t>
            </w:r>
            <w:r>
              <w:rPr>
                <w:rFonts w:cs="仿宋_GB2312" w:asciiTheme="minorEastAsia" w:hAnsiTheme="minorEastAsia" w:eastAsiaTheme="minorEastAsia"/>
                <w:szCs w:val="20"/>
              </w:rPr>
              <w:t>案件分享与展示</w:t>
            </w:r>
            <w:r>
              <w:rPr>
                <w:rFonts w:cs="仿宋_GB2312" w:asciiTheme="minorEastAsia" w:hAnsiTheme="minorEastAsia" w:eastAsiaTheme="minorEastAsia"/>
                <w:color w:val="000000"/>
                <w:sz w:val="21"/>
                <w:szCs w:val="20"/>
              </w:rPr>
              <w:t>，</w:t>
            </w:r>
            <w:r>
              <w:rPr>
                <w:rFonts w:hint="eastAsia" w:cs="仿宋_GB2312" w:asciiTheme="minorEastAsia" w:hAnsiTheme="minorEastAsia" w:eastAsiaTheme="minorEastAsia"/>
                <w:szCs w:val="20"/>
              </w:rPr>
              <w:t>锻炼</w:t>
            </w:r>
            <w:r>
              <w:rPr>
                <w:rFonts w:cs="仿宋_GB2312" w:asciiTheme="minorEastAsia" w:hAnsiTheme="minorEastAsia" w:eastAsiaTheme="minorEastAsia"/>
                <w:szCs w:val="20"/>
              </w:rPr>
              <w:t>学生</w:t>
            </w:r>
            <w:r>
              <w:rPr>
                <w:rFonts w:hint="eastAsia" w:cs="仿宋_GB2312" w:asciiTheme="minorEastAsia" w:hAnsiTheme="minorEastAsia" w:eastAsiaTheme="minorEastAsia"/>
                <w:szCs w:val="20"/>
              </w:rPr>
              <w:t>语言</w:t>
            </w:r>
            <w:r>
              <w:rPr>
                <w:rFonts w:cs="仿宋_GB2312" w:asciiTheme="minorEastAsia" w:hAnsiTheme="minorEastAsia" w:eastAsiaTheme="minorEastAsia"/>
                <w:szCs w:val="20"/>
              </w:rPr>
              <w:t>表达能力、</w:t>
            </w:r>
            <w:r>
              <w:rPr>
                <w:rFonts w:hint="eastAsia" w:cs="仿宋_GB2312" w:asciiTheme="minorEastAsia" w:hAnsiTheme="minorEastAsia" w:eastAsiaTheme="minorEastAsia"/>
                <w:szCs w:val="20"/>
              </w:rPr>
              <w:t>培养</w:t>
            </w:r>
            <w:r>
              <w:rPr>
                <w:rFonts w:cs="仿宋_GB2312" w:asciiTheme="minorEastAsia" w:hAnsiTheme="minorEastAsia" w:eastAsiaTheme="minorEastAsia"/>
                <w:szCs w:val="20"/>
              </w:rPr>
              <w:t>学生交流交际能力、相互</w:t>
            </w:r>
            <w:r>
              <w:rPr>
                <w:rFonts w:hint="eastAsia" w:cs="仿宋_GB2312" w:asciiTheme="minorEastAsia" w:hAnsiTheme="minorEastAsia" w:eastAsiaTheme="minorEastAsia"/>
                <w:szCs w:val="20"/>
              </w:rPr>
              <w:t>帮助</w:t>
            </w:r>
            <w:r>
              <w:rPr>
                <w:rFonts w:cs="仿宋_GB2312" w:asciiTheme="minorEastAsia" w:hAnsiTheme="minorEastAsia" w:eastAsiaTheme="minorEastAsia"/>
                <w:szCs w:val="20"/>
              </w:rPr>
              <w:t>、</w:t>
            </w:r>
            <w:r>
              <w:rPr>
                <w:rFonts w:hint="eastAsia" w:cs="仿宋_GB2312" w:asciiTheme="minorEastAsia" w:hAnsiTheme="minorEastAsia" w:eastAsiaTheme="minorEastAsia"/>
                <w:szCs w:val="20"/>
              </w:rPr>
              <w:t>协作创新能力</w:t>
            </w:r>
            <w:r>
              <w:rPr>
                <w:rFonts w:cs="仿宋_GB2312" w:asciiTheme="minorEastAsia" w:hAnsiTheme="minorEastAsia" w:eastAsiaTheme="minorEastAsia"/>
                <w:color w:val="000000"/>
                <w:sz w:val="21"/>
                <w:szCs w:val="20"/>
              </w:rPr>
              <w:t>；</w:t>
            </w:r>
            <w:r>
              <w:rPr>
                <w:rFonts w:hint="eastAsia" w:cs="仿宋_GB2312" w:asciiTheme="minorEastAsia" w:hAnsiTheme="minorEastAsia" w:eastAsiaTheme="minorEastAsia"/>
                <w:szCs w:val="20"/>
              </w:rPr>
              <w:t>对</w:t>
            </w:r>
            <w:r>
              <w:rPr>
                <w:rFonts w:cs="仿宋_GB2312" w:asciiTheme="minorEastAsia" w:hAnsiTheme="minorEastAsia" w:eastAsiaTheme="minorEastAsia"/>
                <w:szCs w:val="20"/>
              </w:rPr>
              <w:t>课堂出勤</w:t>
            </w:r>
            <w:r>
              <w:rPr>
                <w:rFonts w:hint="eastAsia" w:cs="仿宋_GB2312" w:asciiTheme="minorEastAsia" w:hAnsiTheme="minorEastAsia" w:eastAsiaTheme="minorEastAsia"/>
                <w:szCs w:val="20"/>
              </w:rPr>
              <w:t>和</w:t>
            </w:r>
            <w:r>
              <w:rPr>
                <w:rFonts w:cs="仿宋_GB2312" w:asciiTheme="minorEastAsia" w:hAnsiTheme="minorEastAsia" w:eastAsiaTheme="minorEastAsia"/>
                <w:color w:val="000000"/>
                <w:sz w:val="21"/>
                <w:szCs w:val="20"/>
              </w:rPr>
              <w:t>课堂</w:t>
            </w:r>
            <w:r>
              <w:rPr>
                <w:rFonts w:hint="eastAsia" w:cs="仿宋_GB2312" w:asciiTheme="minorEastAsia" w:hAnsiTheme="minorEastAsia" w:eastAsiaTheme="minorEastAsia"/>
                <w:color w:val="000000"/>
                <w:sz w:val="21"/>
                <w:szCs w:val="20"/>
              </w:rPr>
              <w:t>纪律</w:t>
            </w:r>
            <w:r>
              <w:rPr>
                <w:rFonts w:hint="eastAsia" w:cs="仿宋_GB2312" w:asciiTheme="minorEastAsia" w:hAnsiTheme="minorEastAsia" w:eastAsiaTheme="minorEastAsia"/>
                <w:szCs w:val="20"/>
              </w:rPr>
              <w:t>的</w:t>
            </w:r>
            <w:r>
              <w:rPr>
                <w:rFonts w:cs="仿宋_GB2312" w:asciiTheme="minorEastAsia" w:hAnsiTheme="minorEastAsia" w:eastAsiaTheme="minorEastAsia"/>
                <w:color w:val="000000"/>
                <w:sz w:val="21"/>
                <w:szCs w:val="20"/>
              </w:rPr>
              <w:t>要求，提高了学生规则意识和社会道德修养；</w:t>
            </w:r>
            <w:r>
              <w:rPr>
                <w:rFonts w:hint="eastAsia" w:cs="仿宋_GB2312" w:asciiTheme="minorEastAsia" w:hAnsiTheme="minorEastAsia" w:eastAsiaTheme="minorEastAsia"/>
                <w:szCs w:val="20"/>
              </w:rPr>
              <w:t>课外</w:t>
            </w:r>
            <w:r>
              <w:rPr>
                <w:rFonts w:cs="仿宋_GB2312" w:asciiTheme="minorEastAsia" w:hAnsiTheme="minorEastAsia" w:eastAsiaTheme="minorEastAsia"/>
                <w:szCs w:val="20"/>
              </w:rPr>
              <w:t>大作业的部署，</w:t>
            </w:r>
            <w:r>
              <w:rPr>
                <w:rFonts w:cs="仿宋_GB2312" w:asciiTheme="minorEastAsia" w:hAnsiTheme="minorEastAsia" w:eastAsiaTheme="minorEastAsia"/>
                <w:color w:val="000000"/>
                <w:sz w:val="21"/>
                <w:szCs w:val="20"/>
              </w:rPr>
              <w:t>提高了学生自主</w:t>
            </w:r>
            <w:r>
              <w:rPr>
                <w:rFonts w:hint="eastAsia" w:cs="仿宋_GB2312" w:asciiTheme="minorEastAsia" w:hAnsiTheme="minorEastAsia" w:eastAsiaTheme="minorEastAsia"/>
                <w:szCs w:val="20"/>
              </w:rPr>
              <w:t>学习</w:t>
            </w:r>
            <w:r>
              <w:rPr>
                <w:rFonts w:cs="仿宋_GB2312" w:asciiTheme="minorEastAsia" w:hAnsiTheme="minorEastAsia" w:eastAsiaTheme="minorEastAsia"/>
                <w:color w:val="000000"/>
                <w:sz w:val="21"/>
                <w:szCs w:val="20"/>
              </w:rPr>
              <w:t>能力，帮助学生树立终身</w:t>
            </w:r>
            <w:r>
              <w:rPr>
                <w:rFonts w:hint="eastAsia" w:cs="仿宋_GB2312" w:asciiTheme="minorEastAsia" w:hAnsiTheme="minorEastAsia" w:eastAsiaTheme="minorEastAsia"/>
                <w:szCs w:val="20"/>
              </w:rPr>
              <w:t>学习</w:t>
            </w:r>
            <w:r>
              <w:rPr>
                <w:rFonts w:cs="仿宋_GB2312" w:asciiTheme="minorEastAsia" w:hAnsiTheme="minorEastAsia" w:eastAsiaTheme="minorEastAsia"/>
                <w:color w:val="000000"/>
                <w:sz w:val="21"/>
                <w:szCs w:val="20"/>
              </w:rPr>
              <w:t>意识。</w:t>
            </w:r>
          </w:p>
          <w:p w14:paraId="7EF9C9F3">
            <w:pPr>
              <w:pStyle w:val="14"/>
              <w:widowControl w:val="0"/>
              <w:jc w:val="left"/>
              <w:rPr>
                <w:color w:val="000000" w:themeColor="text1"/>
                <w14:textFill>
                  <w14:solidFill>
                    <w14:schemeClr w14:val="tx1"/>
                  </w14:solidFill>
                </w14:textFill>
              </w:rPr>
            </w:pPr>
          </w:p>
        </w:tc>
      </w:tr>
    </w:tbl>
    <w:p w14:paraId="1402233F">
      <w:pPr>
        <w:widowControl w:val="0"/>
        <w:rPr>
          <w:color w:val="000000" w:themeColor="text1"/>
          <w:sz w:val="21"/>
          <w:szCs w:val="21"/>
          <w14:textFill>
            <w14:solidFill>
              <w14:schemeClr w14:val="tx1"/>
            </w14:solidFill>
          </w14:textFill>
        </w:rPr>
      </w:pPr>
    </w:p>
    <w:p w14:paraId="2CAE953B">
      <w:pPr>
        <w:widowControl w:val="0"/>
        <w:rPr>
          <w:color w:val="000000" w:themeColor="text1"/>
          <w:sz w:val="21"/>
          <w:szCs w:val="21"/>
          <w14:textFill>
            <w14:solidFill>
              <w14:schemeClr w14:val="tx1"/>
            </w14:solidFill>
          </w14:textFill>
        </w:rPr>
      </w:pPr>
    </w:p>
    <w:p w14:paraId="32F2AF30">
      <w:pPr>
        <w:pStyle w:val="16"/>
        <w:spacing w:before="312" w:beforeLines="100" w:line="360" w:lineRule="auto"/>
        <w:rPr>
          <w:rFonts w:ascii="黑体" w:hAnsi="宋体"/>
        </w:rPr>
      </w:pPr>
      <w:r>
        <w:rPr>
          <w:rFonts w:hint="eastAsia" w:ascii="黑体" w:hAnsi="宋体"/>
        </w:rPr>
        <w:t>五、评价方式</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43"/>
        <w:gridCol w:w="2350"/>
        <w:gridCol w:w="735"/>
        <w:gridCol w:w="735"/>
        <w:gridCol w:w="735"/>
        <w:gridCol w:w="735"/>
        <w:gridCol w:w="735"/>
        <w:gridCol w:w="706"/>
      </w:tblGrid>
      <w:tr w14:paraId="56086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restart"/>
            <w:tcBorders>
              <w:top w:val="single" w:color="auto" w:sz="12" w:space="0"/>
              <w:bottom w:val="single" w:color="auto" w:sz="4" w:space="0"/>
            </w:tcBorders>
            <w:vAlign w:val="center"/>
          </w:tcPr>
          <w:p w14:paraId="5C443EA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43" w:type="dxa"/>
            <w:vMerge w:val="restart"/>
            <w:tcBorders>
              <w:top w:val="single" w:color="auto" w:sz="12" w:space="0"/>
              <w:bottom w:val="single" w:color="auto" w:sz="4" w:space="0"/>
            </w:tcBorders>
            <w:vAlign w:val="center"/>
          </w:tcPr>
          <w:p w14:paraId="41D90E2D">
            <w:pPr>
              <w:pStyle w:val="16"/>
              <w:widowControl w:val="0"/>
              <w:jc w:val="center"/>
              <w:rPr>
                <w:rFonts w:ascii="黑体" w:hAnsi="宋体"/>
              </w:rPr>
            </w:pPr>
            <w:r>
              <w:rPr>
                <w:rFonts w:hint="eastAsia" w:ascii="黑体" w:hAnsi="黑体"/>
                <w:bCs/>
                <w:sz w:val="21"/>
                <w:szCs w:val="21"/>
              </w:rPr>
              <w:t>占比</w:t>
            </w:r>
          </w:p>
        </w:tc>
        <w:tc>
          <w:tcPr>
            <w:tcW w:w="2350" w:type="dxa"/>
            <w:vMerge w:val="restart"/>
            <w:tcBorders>
              <w:top w:val="single" w:color="auto" w:sz="12" w:space="0"/>
              <w:bottom w:val="single" w:color="auto" w:sz="4" w:space="0"/>
              <w:right w:val="double" w:color="auto" w:sz="4" w:space="0"/>
            </w:tcBorders>
            <w:vAlign w:val="center"/>
          </w:tcPr>
          <w:p w14:paraId="414FF8CD">
            <w:pPr>
              <w:pStyle w:val="16"/>
              <w:widowControl w:val="0"/>
              <w:jc w:val="center"/>
              <w:rPr>
                <w:rFonts w:ascii="黑体" w:hAnsi="黑体"/>
                <w:bCs/>
                <w:sz w:val="21"/>
                <w:szCs w:val="21"/>
              </w:rPr>
            </w:pPr>
            <w:r>
              <w:rPr>
                <w:rFonts w:hint="eastAsia" w:ascii="黑体" w:hAnsi="黑体"/>
                <w:bCs/>
                <w:sz w:val="21"/>
                <w:szCs w:val="21"/>
              </w:rPr>
              <w:t>考核方式</w:t>
            </w:r>
          </w:p>
        </w:tc>
        <w:tc>
          <w:tcPr>
            <w:tcW w:w="3675" w:type="dxa"/>
            <w:gridSpan w:val="5"/>
            <w:tcBorders>
              <w:top w:val="single" w:color="auto" w:sz="12" w:space="0"/>
              <w:left w:val="double" w:color="auto" w:sz="4" w:space="0"/>
              <w:bottom w:val="single" w:color="auto" w:sz="4" w:space="0"/>
            </w:tcBorders>
            <w:vAlign w:val="center"/>
          </w:tcPr>
          <w:p w14:paraId="221A1C5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bottom w:val="single" w:color="auto" w:sz="4" w:space="0"/>
            </w:tcBorders>
            <w:vAlign w:val="center"/>
          </w:tcPr>
          <w:p w14:paraId="7992323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5D4F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continue"/>
            <w:tcBorders>
              <w:top w:val="single" w:color="auto" w:sz="4" w:space="0"/>
              <w:bottom w:val="single" w:color="auto" w:sz="4" w:space="0"/>
            </w:tcBorders>
          </w:tcPr>
          <w:p w14:paraId="26BB1A5A">
            <w:pPr>
              <w:widowControl w:val="0"/>
              <w:snapToGrid w:val="0"/>
              <w:jc w:val="center"/>
              <w:rPr>
                <w:rFonts w:ascii="黑体" w:hAnsi="黑体" w:eastAsia="黑体"/>
                <w:bCs/>
                <w:sz w:val="21"/>
                <w:szCs w:val="21"/>
              </w:rPr>
            </w:pPr>
          </w:p>
        </w:tc>
        <w:tc>
          <w:tcPr>
            <w:tcW w:w="843" w:type="dxa"/>
            <w:vMerge w:val="continue"/>
            <w:tcBorders>
              <w:top w:val="single" w:color="auto" w:sz="4" w:space="0"/>
              <w:bottom w:val="single" w:color="auto" w:sz="4" w:space="0"/>
            </w:tcBorders>
          </w:tcPr>
          <w:p w14:paraId="1E7AC2D9">
            <w:pPr>
              <w:pStyle w:val="16"/>
              <w:widowControl w:val="0"/>
              <w:jc w:val="both"/>
              <w:rPr>
                <w:rFonts w:ascii="黑体" w:hAnsi="黑体"/>
                <w:bCs/>
                <w:sz w:val="21"/>
                <w:szCs w:val="21"/>
              </w:rPr>
            </w:pPr>
          </w:p>
        </w:tc>
        <w:tc>
          <w:tcPr>
            <w:tcW w:w="2350" w:type="dxa"/>
            <w:vMerge w:val="continue"/>
            <w:tcBorders>
              <w:top w:val="single" w:color="auto" w:sz="4" w:space="0"/>
              <w:bottom w:val="single" w:color="auto" w:sz="4" w:space="0"/>
              <w:right w:val="double" w:color="auto" w:sz="4" w:space="0"/>
            </w:tcBorders>
          </w:tcPr>
          <w:p w14:paraId="5FA5574A">
            <w:pPr>
              <w:pStyle w:val="16"/>
              <w:widowControl w:val="0"/>
              <w:jc w:val="both"/>
              <w:rPr>
                <w:rFonts w:ascii="黑体" w:hAnsi="黑体"/>
                <w:bCs/>
                <w:sz w:val="21"/>
                <w:szCs w:val="21"/>
              </w:rPr>
            </w:pPr>
          </w:p>
        </w:tc>
        <w:tc>
          <w:tcPr>
            <w:tcW w:w="735" w:type="dxa"/>
            <w:tcBorders>
              <w:top w:val="single" w:color="auto" w:sz="4" w:space="0"/>
              <w:left w:val="double" w:color="auto" w:sz="4" w:space="0"/>
              <w:bottom w:val="single" w:color="auto" w:sz="4" w:space="0"/>
            </w:tcBorders>
            <w:vAlign w:val="center"/>
          </w:tcPr>
          <w:p w14:paraId="0DA8B5D0">
            <w:pPr>
              <w:pStyle w:val="16"/>
              <w:widowControl w:val="0"/>
              <w:spacing w:line="240" w:lineRule="auto"/>
              <w:jc w:val="center"/>
              <w:rPr>
                <w:rFonts w:ascii="黑体" w:hAnsi="黑体"/>
                <w:bCs/>
                <w:sz w:val="21"/>
                <w:szCs w:val="21"/>
              </w:rPr>
            </w:pPr>
            <w:r>
              <w:rPr>
                <w:rFonts w:ascii="黑体" w:hAnsi="黑体"/>
                <w:bCs/>
                <w:sz w:val="21"/>
                <w:szCs w:val="21"/>
              </w:rPr>
              <w:t>1</w:t>
            </w:r>
          </w:p>
        </w:tc>
        <w:tc>
          <w:tcPr>
            <w:tcW w:w="735" w:type="dxa"/>
            <w:tcBorders>
              <w:top w:val="single" w:color="auto" w:sz="4" w:space="0"/>
              <w:bottom w:val="single" w:color="auto" w:sz="4" w:space="0"/>
            </w:tcBorders>
            <w:vAlign w:val="center"/>
          </w:tcPr>
          <w:p w14:paraId="4567FD49">
            <w:pPr>
              <w:pStyle w:val="16"/>
              <w:widowControl w:val="0"/>
              <w:spacing w:line="240" w:lineRule="auto"/>
              <w:jc w:val="center"/>
              <w:rPr>
                <w:rFonts w:ascii="黑体" w:hAnsi="黑体"/>
                <w:bCs/>
                <w:sz w:val="21"/>
                <w:szCs w:val="21"/>
              </w:rPr>
            </w:pPr>
            <w:r>
              <w:rPr>
                <w:rFonts w:ascii="黑体" w:hAnsi="黑体"/>
                <w:bCs/>
                <w:sz w:val="21"/>
                <w:szCs w:val="21"/>
              </w:rPr>
              <w:t>2</w:t>
            </w:r>
          </w:p>
        </w:tc>
        <w:tc>
          <w:tcPr>
            <w:tcW w:w="735" w:type="dxa"/>
            <w:tcBorders>
              <w:top w:val="single" w:color="auto" w:sz="4" w:space="0"/>
              <w:bottom w:val="single" w:color="auto" w:sz="4" w:space="0"/>
            </w:tcBorders>
            <w:vAlign w:val="center"/>
          </w:tcPr>
          <w:p w14:paraId="52862C61">
            <w:pPr>
              <w:pStyle w:val="16"/>
              <w:widowControl w:val="0"/>
              <w:spacing w:line="240" w:lineRule="auto"/>
              <w:jc w:val="center"/>
              <w:rPr>
                <w:rFonts w:ascii="黑体" w:hAnsi="黑体"/>
                <w:bCs/>
                <w:sz w:val="21"/>
                <w:szCs w:val="21"/>
              </w:rPr>
            </w:pPr>
            <w:r>
              <w:rPr>
                <w:rFonts w:ascii="黑体" w:hAnsi="黑体"/>
                <w:bCs/>
                <w:sz w:val="21"/>
                <w:szCs w:val="21"/>
              </w:rPr>
              <w:t>3</w:t>
            </w:r>
          </w:p>
        </w:tc>
        <w:tc>
          <w:tcPr>
            <w:tcW w:w="735" w:type="dxa"/>
            <w:tcBorders>
              <w:top w:val="single" w:color="auto" w:sz="4" w:space="0"/>
              <w:bottom w:val="single" w:color="auto" w:sz="4" w:space="0"/>
            </w:tcBorders>
            <w:vAlign w:val="center"/>
          </w:tcPr>
          <w:p w14:paraId="3DFAD3DC">
            <w:pPr>
              <w:pStyle w:val="16"/>
              <w:widowControl w:val="0"/>
              <w:spacing w:line="240" w:lineRule="auto"/>
              <w:jc w:val="center"/>
              <w:rPr>
                <w:rFonts w:ascii="黑体" w:hAnsi="黑体"/>
                <w:bCs/>
                <w:sz w:val="21"/>
                <w:szCs w:val="21"/>
              </w:rPr>
            </w:pPr>
            <w:r>
              <w:rPr>
                <w:rFonts w:ascii="黑体" w:hAnsi="黑体"/>
                <w:bCs/>
                <w:sz w:val="21"/>
                <w:szCs w:val="21"/>
              </w:rPr>
              <w:t>4</w:t>
            </w:r>
          </w:p>
        </w:tc>
        <w:tc>
          <w:tcPr>
            <w:tcW w:w="735" w:type="dxa"/>
            <w:tcBorders>
              <w:top w:val="single" w:color="auto" w:sz="4" w:space="0"/>
              <w:bottom w:val="single" w:color="auto" w:sz="4" w:space="0"/>
            </w:tcBorders>
            <w:vAlign w:val="center"/>
          </w:tcPr>
          <w:p w14:paraId="02A7188A">
            <w:pPr>
              <w:pStyle w:val="16"/>
              <w:widowControl w:val="0"/>
              <w:spacing w:line="240" w:lineRule="auto"/>
              <w:jc w:val="center"/>
              <w:rPr>
                <w:rFonts w:ascii="黑体" w:hAnsi="黑体"/>
                <w:bCs/>
                <w:sz w:val="21"/>
                <w:szCs w:val="21"/>
              </w:rPr>
            </w:pPr>
            <w:r>
              <w:rPr>
                <w:rFonts w:ascii="黑体" w:hAnsi="黑体"/>
                <w:bCs/>
                <w:sz w:val="21"/>
                <w:szCs w:val="21"/>
              </w:rPr>
              <w:t>5</w:t>
            </w:r>
          </w:p>
        </w:tc>
        <w:tc>
          <w:tcPr>
            <w:tcW w:w="706" w:type="dxa"/>
            <w:vMerge w:val="continue"/>
            <w:tcBorders>
              <w:top w:val="single" w:color="auto" w:sz="4" w:space="0"/>
              <w:bottom w:val="single" w:color="auto" w:sz="4" w:space="0"/>
            </w:tcBorders>
          </w:tcPr>
          <w:p w14:paraId="3FD7D136">
            <w:pPr>
              <w:pStyle w:val="16"/>
              <w:widowControl w:val="0"/>
              <w:spacing w:line="240" w:lineRule="auto"/>
              <w:jc w:val="center"/>
              <w:rPr>
                <w:rFonts w:ascii="黑体" w:hAnsi="黑体"/>
                <w:bCs/>
                <w:sz w:val="21"/>
                <w:szCs w:val="21"/>
              </w:rPr>
            </w:pPr>
          </w:p>
        </w:tc>
      </w:tr>
      <w:tr w14:paraId="205C8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2090EF6F">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843" w:type="dxa"/>
            <w:tcBorders>
              <w:top w:val="single" w:color="auto" w:sz="4" w:space="0"/>
              <w:bottom w:val="single" w:color="auto" w:sz="4" w:space="0"/>
            </w:tcBorders>
            <w:vAlign w:val="center"/>
          </w:tcPr>
          <w:p w14:paraId="774FBF45">
            <w:pPr>
              <w:pStyle w:val="14"/>
              <w:widowControl w:val="0"/>
            </w:pPr>
            <w:r>
              <w:rPr>
                <w:rFonts w:hint="eastAsia"/>
                <w:lang w:val="en-US" w:eastAsia="zh-CN"/>
              </w:rPr>
              <w:t>3</w:t>
            </w:r>
            <w:r>
              <w:t>0%</w:t>
            </w:r>
          </w:p>
        </w:tc>
        <w:tc>
          <w:tcPr>
            <w:tcW w:w="2350" w:type="dxa"/>
            <w:tcBorders>
              <w:top w:val="single" w:color="auto" w:sz="4" w:space="0"/>
              <w:bottom w:val="single" w:color="auto" w:sz="4" w:space="0"/>
              <w:right w:val="double" w:color="auto" w:sz="4" w:space="0"/>
            </w:tcBorders>
            <w:vAlign w:val="center"/>
          </w:tcPr>
          <w:p w14:paraId="4BFC65D6">
            <w:pPr>
              <w:pStyle w:val="14"/>
              <w:widowControl w:val="0"/>
              <w:rPr>
                <w:rFonts w:hint="eastAsia" w:ascii="宋体" w:hAnsi="宋体"/>
                <w:sz w:val="18"/>
                <w:szCs w:val="18"/>
              </w:rPr>
            </w:pPr>
            <w:r>
              <w:rPr>
                <w:rFonts w:hint="eastAsia" w:ascii="宋体" w:hAnsi="宋体"/>
                <w:sz w:val="18"/>
                <w:szCs w:val="18"/>
              </w:rPr>
              <w:t>课堂</w:t>
            </w:r>
            <w:r>
              <w:rPr>
                <w:rFonts w:hint="eastAsia" w:ascii="宋体" w:hAnsi="宋体"/>
                <w:sz w:val="18"/>
                <w:szCs w:val="18"/>
                <w:lang w:val="en-US" w:eastAsia="zh-CN"/>
              </w:rPr>
              <w:t>表现\</w:t>
            </w:r>
            <w:r>
              <w:rPr>
                <w:rFonts w:hint="eastAsia" w:ascii="宋体" w:hAnsi="宋体"/>
                <w:sz w:val="18"/>
                <w:szCs w:val="18"/>
              </w:rPr>
              <w:t>大作业</w:t>
            </w:r>
          </w:p>
          <w:p w14:paraId="65D6D9F1">
            <w:pPr>
              <w:pStyle w:val="14"/>
              <w:widowControl w:val="0"/>
            </w:pPr>
            <w:r>
              <w:rPr>
                <w:rFonts w:hint="eastAsia" w:ascii="宋体" w:hAnsi="宋体"/>
                <w:sz w:val="18"/>
                <w:szCs w:val="18"/>
              </w:rPr>
              <w:t>案例分析与展示</w:t>
            </w:r>
          </w:p>
        </w:tc>
        <w:tc>
          <w:tcPr>
            <w:tcW w:w="735" w:type="dxa"/>
            <w:tcBorders>
              <w:top w:val="single" w:color="auto" w:sz="4" w:space="0"/>
              <w:left w:val="double" w:color="auto" w:sz="4" w:space="0"/>
              <w:bottom w:val="single" w:color="auto" w:sz="4" w:space="0"/>
            </w:tcBorders>
            <w:vAlign w:val="center"/>
          </w:tcPr>
          <w:p w14:paraId="77B2FC16">
            <w:pPr>
              <w:pStyle w:val="14"/>
              <w:widowControl w:val="0"/>
            </w:pPr>
            <w:r>
              <w:t>20</w:t>
            </w:r>
          </w:p>
        </w:tc>
        <w:tc>
          <w:tcPr>
            <w:tcW w:w="735" w:type="dxa"/>
            <w:tcBorders>
              <w:top w:val="single" w:color="auto" w:sz="4" w:space="0"/>
              <w:bottom w:val="single" w:color="auto" w:sz="4" w:space="0"/>
            </w:tcBorders>
            <w:vAlign w:val="center"/>
          </w:tcPr>
          <w:p w14:paraId="697D855B">
            <w:pPr>
              <w:pStyle w:val="14"/>
              <w:widowControl w:val="0"/>
            </w:pPr>
            <w:r>
              <w:t>20</w:t>
            </w:r>
          </w:p>
        </w:tc>
        <w:tc>
          <w:tcPr>
            <w:tcW w:w="735" w:type="dxa"/>
            <w:tcBorders>
              <w:top w:val="single" w:color="auto" w:sz="4" w:space="0"/>
              <w:bottom w:val="single" w:color="auto" w:sz="4" w:space="0"/>
            </w:tcBorders>
            <w:vAlign w:val="center"/>
          </w:tcPr>
          <w:p w14:paraId="599D7271">
            <w:pPr>
              <w:pStyle w:val="14"/>
              <w:widowControl w:val="0"/>
            </w:pPr>
            <w:r>
              <w:rPr>
                <w:rFonts w:hint="eastAsia"/>
              </w:rPr>
              <w:t>2</w:t>
            </w:r>
            <w:r>
              <w:t>0</w:t>
            </w:r>
          </w:p>
        </w:tc>
        <w:tc>
          <w:tcPr>
            <w:tcW w:w="735" w:type="dxa"/>
            <w:tcBorders>
              <w:top w:val="single" w:color="auto" w:sz="4" w:space="0"/>
              <w:bottom w:val="single" w:color="auto" w:sz="4" w:space="0"/>
            </w:tcBorders>
            <w:vAlign w:val="center"/>
          </w:tcPr>
          <w:p w14:paraId="61851B34">
            <w:pPr>
              <w:pStyle w:val="14"/>
              <w:widowControl w:val="0"/>
            </w:pPr>
            <w:r>
              <w:t>20</w:t>
            </w:r>
          </w:p>
        </w:tc>
        <w:tc>
          <w:tcPr>
            <w:tcW w:w="735" w:type="dxa"/>
            <w:tcBorders>
              <w:top w:val="single" w:color="auto" w:sz="4" w:space="0"/>
              <w:bottom w:val="single" w:color="auto" w:sz="4" w:space="0"/>
            </w:tcBorders>
            <w:vAlign w:val="center"/>
          </w:tcPr>
          <w:p w14:paraId="16C0FB92">
            <w:pPr>
              <w:pStyle w:val="14"/>
              <w:widowControl w:val="0"/>
            </w:pPr>
            <w:r>
              <w:t>20</w:t>
            </w:r>
          </w:p>
        </w:tc>
        <w:tc>
          <w:tcPr>
            <w:tcW w:w="706" w:type="dxa"/>
            <w:tcBorders>
              <w:top w:val="single" w:color="auto" w:sz="4" w:space="0"/>
              <w:bottom w:val="single" w:color="auto" w:sz="4" w:space="0"/>
            </w:tcBorders>
            <w:vAlign w:val="center"/>
          </w:tcPr>
          <w:p w14:paraId="13DA6783">
            <w:pPr>
              <w:pStyle w:val="14"/>
              <w:widowControl w:val="0"/>
            </w:pPr>
            <w:r>
              <w:rPr>
                <w:rFonts w:hint="eastAsia"/>
              </w:rPr>
              <w:t>1</w:t>
            </w:r>
            <w:r>
              <w:t>00</w:t>
            </w:r>
          </w:p>
        </w:tc>
      </w:tr>
      <w:tr w14:paraId="14CE0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157AEFA4">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843" w:type="dxa"/>
            <w:tcBorders>
              <w:top w:val="single" w:color="auto" w:sz="4" w:space="0"/>
              <w:bottom w:val="single" w:color="auto" w:sz="4" w:space="0"/>
            </w:tcBorders>
            <w:vAlign w:val="center"/>
          </w:tcPr>
          <w:p w14:paraId="17101246">
            <w:pPr>
              <w:pStyle w:val="14"/>
              <w:widowControl w:val="0"/>
            </w:pPr>
            <w:r>
              <w:rPr>
                <w:rFonts w:hint="eastAsia"/>
              </w:rPr>
              <w:t>3</w:t>
            </w:r>
            <w:r>
              <w:t>0%</w:t>
            </w:r>
          </w:p>
        </w:tc>
        <w:tc>
          <w:tcPr>
            <w:tcW w:w="2350" w:type="dxa"/>
            <w:tcBorders>
              <w:top w:val="single" w:color="auto" w:sz="4" w:space="0"/>
              <w:bottom w:val="single" w:color="auto" w:sz="4" w:space="0"/>
              <w:right w:val="double" w:color="auto" w:sz="4" w:space="0"/>
            </w:tcBorders>
            <w:vAlign w:val="center"/>
          </w:tcPr>
          <w:p w14:paraId="7571CCE1">
            <w:pPr>
              <w:pStyle w:val="14"/>
              <w:widowControl w:val="0"/>
            </w:pPr>
            <w:r>
              <w:rPr>
                <w:rFonts w:hint="eastAsia" w:ascii="宋体" w:hAnsi="宋体"/>
                <w:sz w:val="18"/>
                <w:szCs w:val="18"/>
              </w:rPr>
              <w:t>法院旁听实践环节</w:t>
            </w:r>
          </w:p>
        </w:tc>
        <w:tc>
          <w:tcPr>
            <w:tcW w:w="735" w:type="dxa"/>
            <w:tcBorders>
              <w:top w:val="single" w:color="auto" w:sz="4" w:space="0"/>
              <w:left w:val="double" w:color="auto" w:sz="4" w:space="0"/>
              <w:bottom w:val="single" w:color="auto" w:sz="4" w:space="0"/>
            </w:tcBorders>
            <w:vAlign w:val="center"/>
          </w:tcPr>
          <w:p w14:paraId="1D378F5A">
            <w:pPr>
              <w:pStyle w:val="14"/>
              <w:widowControl w:val="0"/>
            </w:pPr>
            <w:r>
              <w:rPr>
                <w:rFonts w:hint="eastAsia"/>
              </w:rPr>
              <w:t>3</w:t>
            </w:r>
            <w:r>
              <w:t>0</w:t>
            </w:r>
          </w:p>
        </w:tc>
        <w:tc>
          <w:tcPr>
            <w:tcW w:w="735" w:type="dxa"/>
            <w:tcBorders>
              <w:top w:val="single" w:color="auto" w:sz="4" w:space="0"/>
              <w:bottom w:val="single" w:color="auto" w:sz="4" w:space="0"/>
            </w:tcBorders>
            <w:vAlign w:val="center"/>
          </w:tcPr>
          <w:p w14:paraId="00E47DF4">
            <w:pPr>
              <w:pStyle w:val="14"/>
              <w:widowControl w:val="0"/>
            </w:pPr>
          </w:p>
        </w:tc>
        <w:tc>
          <w:tcPr>
            <w:tcW w:w="735" w:type="dxa"/>
            <w:tcBorders>
              <w:top w:val="single" w:color="auto" w:sz="4" w:space="0"/>
              <w:bottom w:val="single" w:color="auto" w:sz="4" w:space="0"/>
            </w:tcBorders>
            <w:vAlign w:val="center"/>
          </w:tcPr>
          <w:p w14:paraId="5D5A2551">
            <w:pPr>
              <w:pStyle w:val="14"/>
              <w:widowControl w:val="0"/>
            </w:pPr>
            <w:r>
              <w:rPr>
                <w:rFonts w:hint="eastAsia"/>
              </w:rPr>
              <w:t>5</w:t>
            </w:r>
            <w:r>
              <w:t>0</w:t>
            </w:r>
          </w:p>
        </w:tc>
        <w:tc>
          <w:tcPr>
            <w:tcW w:w="735" w:type="dxa"/>
            <w:tcBorders>
              <w:top w:val="single" w:color="auto" w:sz="4" w:space="0"/>
              <w:bottom w:val="single" w:color="auto" w:sz="4" w:space="0"/>
            </w:tcBorders>
            <w:vAlign w:val="center"/>
          </w:tcPr>
          <w:p w14:paraId="7EFE3A85">
            <w:pPr>
              <w:pStyle w:val="14"/>
              <w:widowControl w:val="0"/>
            </w:pPr>
          </w:p>
        </w:tc>
        <w:tc>
          <w:tcPr>
            <w:tcW w:w="735" w:type="dxa"/>
            <w:tcBorders>
              <w:top w:val="single" w:color="auto" w:sz="4" w:space="0"/>
              <w:bottom w:val="single" w:color="auto" w:sz="4" w:space="0"/>
            </w:tcBorders>
            <w:vAlign w:val="center"/>
          </w:tcPr>
          <w:p w14:paraId="435BBCBB">
            <w:pPr>
              <w:pStyle w:val="14"/>
              <w:widowControl w:val="0"/>
            </w:pPr>
            <w:r>
              <w:rPr>
                <w:rFonts w:hint="eastAsia"/>
              </w:rPr>
              <w:t>2</w:t>
            </w:r>
            <w:r>
              <w:t>0</w:t>
            </w:r>
          </w:p>
        </w:tc>
        <w:tc>
          <w:tcPr>
            <w:tcW w:w="706" w:type="dxa"/>
            <w:tcBorders>
              <w:top w:val="single" w:color="auto" w:sz="4" w:space="0"/>
              <w:bottom w:val="single" w:color="auto" w:sz="4" w:space="0"/>
            </w:tcBorders>
            <w:vAlign w:val="center"/>
          </w:tcPr>
          <w:p w14:paraId="4AE0DF79">
            <w:pPr>
              <w:pStyle w:val="14"/>
              <w:widowControl w:val="0"/>
            </w:pPr>
            <w:r>
              <w:rPr>
                <w:rFonts w:hint="eastAsia"/>
              </w:rPr>
              <w:t>1</w:t>
            </w:r>
            <w:r>
              <w:t>00</w:t>
            </w:r>
          </w:p>
        </w:tc>
      </w:tr>
      <w:tr w14:paraId="253D5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left w:val="single" w:color="auto" w:sz="12" w:space="0"/>
              <w:bottom w:val="single" w:color="auto" w:sz="12" w:space="0"/>
            </w:tcBorders>
            <w:shd w:val="clear" w:color="auto" w:fill="auto"/>
            <w:vAlign w:val="center"/>
          </w:tcPr>
          <w:p w14:paraId="65ACDF7A">
            <w:pPr>
              <w:widowControl w:val="0"/>
              <w:snapToGrid w:val="0"/>
              <w:jc w:val="center"/>
              <w:rPr>
                <w:rFonts w:ascii="黑体" w:hAnsi="黑体" w:eastAsia="黑体" w:cs="宋体"/>
                <w:bCs/>
                <w:sz w:val="21"/>
                <w:szCs w:val="21"/>
                <w:lang w:val="en-US" w:eastAsia="zh-CN" w:bidi="ar-SA"/>
              </w:rPr>
            </w:pPr>
            <w:r>
              <w:rPr>
                <w:rFonts w:hint="eastAsia" w:ascii="黑体" w:hAnsi="黑体" w:eastAsia="黑体"/>
                <w:bCs/>
                <w:sz w:val="21"/>
                <w:szCs w:val="21"/>
              </w:rPr>
              <w:t>X</w:t>
            </w:r>
            <w:r>
              <w:rPr>
                <w:rFonts w:ascii="黑体" w:hAnsi="黑体" w:eastAsia="黑体"/>
                <w:bCs/>
                <w:sz w:val="21"/>
                <w:szCs w:val="21"/>
              </w:rPr>
              <w:t>3</w:t>
            </w:r>
          </w:p>
        </w:tc>
        <w:tc>
          <w:tcPr>
            <w:tcW w:w="843" w:type="dxa"/>
            <w:tcBorders>
              <w:top w:val="single" w:color="auto" w:sz="4" w:space="0"/>
              <w:bottom w:val="single" w:color="auto" w:sz="12" w:space="0"/>
            </w:tcBorders>
            <w:shd w:val="clear" w:color="auto" w:fill="auto"/>
            <w:vAlign w:val="center"/>
          </w:tcPr>
          <w:p w14:paraId="1EF06835">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4</w:t>
            </w:r>
            <w:r>
              <w:t>0%</w:t>
            </w:r>
          </w:p>
        </w:tc>
        <w:tc>
          <w:tcPr>
            <w:tcW w:w="2350" w:type="dxa"/>
            <w:tcBorders>
              <w:top w:val="single" w:color="auto" w:sz="4" w:space="0"/>
              <w:bottom w:val="single" w:color="auto" w:sz="12" w:space="0"/>
              <w:right w:val="double" w:color="auto" w:sz="4" w:space="0"/>
            </w:tcBorders>
            <w:shd w:val="clear" w:color="auto" w:fill="auto"/>
            <w:vAlign w:val="center"/>
          </w:tcPr>
          <w:p w14:paraId="237B4DDF">
            <w:pPr>
              <w:pStyle w:val="14"/>
              <w:widowControl w:val="0"/>
              <w:rPr>
                <w:rFonts w:hint="eastAsia" w:ascii="Times New Roman" w:hAnsi="Times New Roman" w:eastAsia="宋体" w:cs="宋体"/>
                <w:color w:val="000000"/>
                <w:sz w:val="21"/>
                <w:szCs w:val="21"/>
                <w:lang w:val="en-US" w:eastAsia="zh-CN" w:bidi="ar-SA"/>
              </w:rPr>
            </w:pPr>
            <w:r>
              <w:rPr>
                <w:rFonts w:hint="eastAsia"/>
              </w:rPr>
              <w:t>综合</w:t>
            </w:r>
            <w:r>
              <w:rPr>
                <w:rFonts w:hint="eastAsia"/>
                <w:lang w:val="en-US" w:eastAsia="zh-CN"/>
              </w:rPr>
              <w:t>测评</w:t>
            </w:r>
          </w:p>
        </w:tc>
        <w:tc>
          <w:tcPr>
            <w:tcW w:w="735" w:type="dxa"/>
            <w:tcBorders>
              <w:top w:val="single" w:color="auto" w:sz="4" w:space="0"/>
              <w:left w:val="double" w:color="auto" w:sz="4" w:space="0"/>
              <w:bottom w:val="single" w:color="auto" w:sz="12" w:space="0"/>
            </w:tcBorders>
            <w:shd w:val="clear" w:color="auto" w:fill="auto"/>
            <w:vAlign w:val="center"/>
          </w:tcPr>
          <w:p w14:paraId="66FB6D61">
            <w:pPr>
              <w:pStyle w:val="14"/>
              <w:widowControl w:val="0"/>
              <w:rPr>
                <w:rFonts w:ascii="Times New Roman" w:hAnsi="Times New Roman" w:eastAsia="宋体" w:cs="宋体"/>
                <w:color w:val="000000"/>
                <w:sz w:val="21"/>
                <w:szCs w:val="21"/>
                <w:lang w:val="en-US" w:eastAsia="zh-CN" w:bidi="ar-SA"/>
              </w:rPr>
            </w:pPr>
          </w:p>
        </w:tc>
        <w:tc>
          <w:tcPr>
            <w:tcW w:w="735" w:type="dxa"/>
            <w:tcBorders>
              <w:top w:val="single" w:color="auto" w:sz="4" w:space="0"/>
              <w:bottom w:val="single" w:color="auto" w:sz="12" w:space="0"/>
            </w:tcBorders>
            <w:shd w:val="clear" w:color="auto" w:fill="auto"/>
            <w:vAlign w:val="center"/>
          </w:tcPr>
          <w:p w14:paraId="7DC8DC09">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735" w:type="dxa"/>
            <w:tcBorders>
              <w:top w:val="single" w:color="auto" w:sz="4" w:space="0"/>
              <w:bottom w:val="single" w:color="auto" w:sz="12" w:space="0"/>
            </w:tcBorders>
            <w:shd w:val="clear" w:color="auto" w:fill="auto"/>
            <w:vAlign w:val="center"/>
          </w:tcPr>
          <w:p w14:paraId="057775B7">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735" w:type="dxa"/>
            <w:tcBorders>
              <w:top w:val="single" w:color="auto" w:sz="4" w:space="0"/>
              <w:bottom w:val="single" w:color="auto" w:sz="12" w:space="0"/>
            </w:tcBorders>
            <w:shd w:val="clear" w:color="auto" w:fill="auto"/>
            <w:vAlign w:val="center"/>
          </w:tcPr>
          <w:p w14:paraId="5969E506">
            <w:pPr>
              <w:pStyle w:val="14"/>
              <w:widowControl w:val="0"/>
              <w:rPr>
                <w:rFonts w:ascii="Times New Roman" w:hAnsi="Times New Roman" w:eastAsia="宋体" w:cs="宋体"/>
                <w:color w:val="000000"/>
                <w:sz w:val="21"/>
                <w:szCs w:val="21"/>
                <w:lang w:val="en-US" w:eastAsia="zh-CN" w:bidi="ar-SA"/>
              </w:rPr>
            </w:pPr>
            <w:r>
              <w:rPr>
                <w:rFonts w:hint="eastAsia"/>
              </w:rPr>
              <w:t>4</w:t>
            </w:r>
            <w:r>
              <w:t>0</w:t>
            </w:r>
          </w:p>
        </w:tc>
        <w:tc>
          <w:tcPr>
            <w:tcW w:w="735" w:type="dxa"/>
            <w:tcBorders>
              <w:top w:val="single" w:color="auto" w:sz="4" w:space="0"/>
              <w:bottom w:val="single" w:color="auto" w:sz="12" w:space="0"/>
            </w:tcBorders>
            <w:shd w:val="clear" w:color="auto" w:fill="auto"/>
            <w:vAlign w:val="center"/>
          </w:tcPr>
          <w:p w14:paraId="7A704616">
            <w:pPr>
              <w:pStyle w:val="14"/>
              <w:widowControl w:val="0"/>
              <w:rPr>
                <w:rFonts w:ascii="Times New Roman" w:hAnsi="Times New Roman" w:eastAsia="宋体" w:cs="宋体"/>
                <w:color w:val="000000"/>
                <w:sz w:val="21"/>
                <w:szCs w:val="21"/>
                <w:lang w:val="en-US" w:eastAsia="zh-CN" w:bidi="ar-SA"/>
              </w:rPr>
            </w:pPr>
          </w:p>
        </w:tc>
        <w:tc>
          <w:tcPr>
            <w:tcW w:w="706" w:type="dxa"/>
            <w:tcBorders>
              <w:top w:val="single" w:color="auto" w:sz="4" w:space="0"/>
              <w:bottom w:val="single" w:color="auto" w:sz="12" w:space="0"/>
            </w:tcBorders>
            <w:shd w:val="clear" w:color="auto" w:fill="auto"/>
            <w:vAlign w:val="center"/>
          </w:tcPr>
          <w:p w14:paraId="12BB9C8D">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6"/>
      <w:bookmarkEnd w:id="7"/>
    </w:tbl>
    <w:p w14:paraId="477982B0">
      <w:pPr>
        <w:rPr>
          <w:color w:val="000000" w:themeColor="text1"/>
          <w:sz w:val="21"/>
          <w:szCs w:val="21"/>
          <w:highlight w:val="cyan"/>
          <w14:textFill>
            <w14:solidFill>
              <w14:schemeClr w14:val="tx1"/>
            </w14:solidFill>
          </w14:textFill>
        </w:rPr>
      </w:pPr>
    </w:p>
    <w:p w14:paraId="05530833">
      <w:pPr>
        <w:rPr>
          <w:color w:val="000000" w:themeColor="text1"/>
          <w:sz w:val="21"/>
          <w:szCs w:val="21"/>
          <w:highlight w:val="cyan"/>
          <w14:textFill>
            <w14:solidFill>
              <w14:schemeClr w14:val="tx1"/>
            </w14:solidFill>
          </w14:textFill>
        </w:rPr>
      </w:pPr>
    </w:p>
    <w:p w14:paraId="6EBD38EA">
      <w:pPr>
        <w:rPr>
          <w:color w:val="000000" w:themeColor="text1"/>
          <w:sz w:val="21"/>
          <w:szCs w:val="21"/>
          <w:highlight w:val="cyan"/>
          <w14:textFill>
            <w14:solidFill>
              <w14:schemeClr w14:val="tx1"/>
            </w14:solidFill>
          </w14:textFill>
        </w:rPr>
      </w:pPr>
    </w:p>
    <w:p w14:paraId="76BC164E">
      <w:pPr>
        <w:rPr>
          <w:rFonts w:hint="eastAsia"/>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D7A5">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4B734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54B734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47DC2"/>
    <w:multiLevelType w:val="multilevel"/>
    <w:tmpl w:val="6BC47DC2"/>
    <w:lvl w:ilvl="0" w:tentative="0">
      <w:start w:val="1"/>
      <w:numFmt w:val="decimalEnclosedCircle"/>
      <w:lvlText w:val="%1"/>
      <w:lvlJc w:val="left"/>
      <w:pPr>
        <w:ind w:left="360" w:hanging="360"/>
      </w:pPr>
      <w:rPr>
        <w:rFonts w:hint="default"/>
        <w:b/>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56C"/>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01A3"/>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0CDD"/>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04BB"/>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CD913D2"/>
    <w:rsid w:val="10BD2C22"/>
    <w:rsid w:val="22987C80"/>
    <w:rsid w:val="24192CCC"/>
    <w:rsid w:val="26F4679D"/>
    <w:rsid w:val="39A66CD4"/>
    <w:rsid w:val="3CD52CE1"/>
    <w:rsid w:val="410F2E6A"/>
    <w:rsid w:val="4430136C"/>
    <w:rsid w:val="4AB0382B"/>
    <w:rsid w:val="569868B5"/>
    <w:rsid w:val="5A9858C1"/>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Pages>
  <Words>1096</Words>
  <Characters>1135</Characters>
  <Lines>6</Lines>
  <Paragraphs>1</Paragraphs>
  <TotalTime>14</TotalTime>
  <ScaleCrop>false</ScaleCrop>
  <LinksUpToDate>false</LinksUpToDate>
  <CharactersWithSpaces>1156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2025-04-30T04:59:00Z</dcterms:created>
  <dc:creator>juvg</dc:creator>
  <cp:lastModifiedBy>笑语嫣然</cp:lastModifiedBy>
  <cp:lastPrinted>2023-11-21T00:52:00Z</cp:lastPrinted>
  <dcterms:modified xsi:type="dcterms:W3CDTF">2025-12-05T13:45:19Z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C76EAA115576443B91DDE09E64574F07_13</vt:lpwstr>
  </property>
  <property fmtid="{D5CDD505-2E9C-101B-9397-08002B2CF9AE}" pid="4" name="KSOTemplateDocerSaveRecord">
    <vt:lpwstr>eyJoZGlkIjoiYTkzM2U5MTc2MTk2NmM3NTI0ODQ1NmVjY2Q3OGQ0MjIiLCJ1c2VySWQiOiI5Njk5NzY0OTYifQ==</vt:lpwstr>
  </property>
</Properties>
</file>