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5EEDC">
      <w:pPr>
        <w:jc w:val="center"/>
        <w:rPr>
          <w:rFonts w:ascii="黑体" w:hAnsi="黑体" w:eastAsia="黑体"/>
          <w:bCs/>
          <w:sz w:val="32"/>
          <w:szCs w:val="32"/>
        </w:rPr>
      </w:pPr>
      <w:r>
        <w:rPr>
          <w:rFonts w:hint="eastAsia" w:ascii="黑体" w:hAnsi="黑体" w:eastAsia="黑体"/>
          <w:bCs/>
          <w:sz w:val="32"/>
          <w:szCs w:val="32"/>
        </w:rPr>
        <w:t>《  大学物理</w:t>
      </w:r>
      <w:r>
        <w:rPr>
          <w:rFonts w:hint="eastAsia" w:ascii="黑体" w:hAnsi="黑体" w:eastAsia="黑体"/>
          <w:bCs/>
          <w:sz w:val="32"/>
          <w:szCs w:val="32"/>
          <w:lang w:eastAsia="zh-CN"/>
        </w:rPr>
        <w:t>（</w:t>
      </w:r>
      <w:r>
        <w:rPr>
          <w:rFonts w:hint="eastAsia" w:ascii="黑体" w:hAnsi="黑体" w:eastAsia="黑体"/>
          <w:bCs/>
          <w:sz w:val="32"/>
          <w:szCs w:val="32"/>
          <w:lang w:val="en-US" w:eastAsia="zh-CN"/>
        </w:rPr>
        <w:t>2</w:t>
      </w:r>
      <w:r>
        <w:rPr>
          <w:rFonts w:hint="eastAsia" w:ascii="黑体" w:hAnsi="黑体" w:eastAsia="黑体"/>
          <w:bCs/>
          <w:sz w:val="32"/>
          <w:szCs w:val="32"/>
          <w:lang w:eastAsia="zh-CN"/>
        </w:rPr>
        <w:t>）</w:t>
      </w:r>
      <w:r>
        <w:rPr>
          <w:rFonts w:hint="eastAsia" w:ascii="黑体" w:hAnsi="黑体" w:eastAsia="黑体"/>
          <w:bCs/>
          <w:sz w:val="32"/>
          <w:szCs w:val="32"/>
        </w:rPr>
        <w:t xml:space="preserve">  》本科课程教学大纲</w:t>
      </w:r>
    </w:p>
    <w:p w14:paraId="776FD7BF">
      <w:pPr>
        <w:pStyle w:val="16"/>
        <w:spacing w:before="326" w:beforeLines="100" w:line="360" w:lineRule="auto"/>
        <w:rPr>
          <w:rFonts w:ascii="黑体" w:hAnsi="宋体"/>
        </w:rPr>
      </w:pPr>
      <w:r>
        <w:rPr>
          <w:rFonts w:ascii="黑体" w:hAnsi="宋体"/>
        </w:rPr>
        <w:t>一</w:t>
      </w:r>
      <w:r>
        <w:rPr>
          <w:rFonts w:hint="eastAsia" w:ascii="黑体" w:hAnsi="宋体"/>
        </w:rPr>
        <w:t>、课程</w:t>
      </w:r>
      <w:r>
        <w:rPr>
          <w:rFonts w:ascii="黑体" w:hAnsi="宋体"/>
        </w:rPr>
        <w:t>基本信息</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85" w:type="dxa"/>
          <w:bottom w:w="57" w:type="dxa"/>
          <w:right w:w="85" w:type="dxa"/>
        </w:tblCellMar>
      </w:tblPr>
      <w:tblGrid>
        <w:gridCol w:w="1691"/>
        <w:gridCol w:w="2097"/>
        <w:gridCol w:w="1155"/>
        <w:gridCol w:w="1134"/>
        <w:gridCol w:w="336"/>
        <w:gridCol w:w="1077"/>
        <w:gridCol w:w="786"/>
      </w:tblGrid>
      <w:tr w14:paraId="743D2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vMerge w:val="restart"/>
            <w:tcBorders>
              <w:top w:val="single" w:color="auto" w:sz="12" w:space="0"/>
              <w:left w:val="single" w:color="auto" w:sz="12" w:space="0"/>
            </w:tcBorders>
            <w:shd w:val="clear" w:color="auto" w:fill="auto"/>
            <w:vAlign w:val="center"/>
          </w:tcPr>
          <w:p w14:paraId="45E93D19">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课程名称</w:t>
            </w:r>
          </w:p>
        </w:tc>
        <w:tc>
          <w:tcPr>
            <w:tcW w:w="6585" w:type="dxa"/>
            <w:gridSpan w:val="6"/>
            <w:tcBorders>
              <w:top w:val="single" w:color="auto" w:sz="12" w:space="0"/>
              <w:right w:val="single" w:color="auto" w:sz="12" w:space="0"/>
            </w:tcBorders>
            <w:vAlign w:val="center"/>
          </w:tcPr>
          <w:p w14:paraId="17252044">
            <w:pPr>
              <w:widowControl w:val="0"/>
              <w:jc w:val="left"/>
              <w:rPr>
                <w:rFonts w:hint="default" w:ascii="Times New Roman" w:hAnsi="Times New Roman" w:eastAsia="宋体" w:cs="Times New Roman"/>
                <w:color w:val="000000" w:themeColor="text1"/>
                <w:sz w:val="21"/>
                <w:szCs w:val="18"/>
                <w:lang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（中文）大学物理</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5A313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vMerge w:val="continue"/>
            <w:tcBorders>
              <w:left w:val="single" w:color="auto" w:sz="12" w:space="0"/>
            </w:tcBorders>
            <w:shd w:val="clear" w:color="auto" w:fill="auto"/>
            <w:vAlign w:val="center"/>
          </w:tcPr>
          <w:p w14:paraId="47A9ADD0">
            <w:pPr>
              <w:widowControl w:val="0"/>
              <w:jc w:val="center"/>
              <w:rPr>
                <w:rFonts w:ascii="黑体" w:hAnsi="黑体" w:eastAsia="黑体"/>
                <w:color w:val="000000" w:themeColor="text1"/>
                <w:sz w:val="21"/>
                <w:szCs w:val="18"/>
                <w14:textFill>
                  <w14:solidFill>
                    <w14:schemeClr w14:val="tx1"/>
                  </w14:solidFill>
                </w14:textFill>
              </w:rPr>
            </w:pPr>
          </w:p>
        </w:tc>
        <w:tc>
          <w:tcPr>
            <w:tcW w:w="6585" w:type="dxa"/>
            <w:gridSpan w:val="6"/>
            <w:tcBorders>
              <w:right w:val="single" w:color="auto" w:sz="12" w:space="0"/>
            </w:tcBorders>
            <w:vAlign w:val="center"/>
          </w:tcPr>
          <w:p w14:paraId="00CD3112">
            <w:pPr>
              <w:widowControl w:val="0"/>
              <w:jc w:val="left"/>
              <w:rPr>
                <w:rFonts w:hint="default" w:ascii="Times New Roman" w:hAnsi="Times New Roman" w:eastAsia="宋体" w:cs="Times New Roman"/>
                <w:color w:val="000000" w:themeColor="text1"/>
                <w:sz w:val="21"/>
                <w:szCs w:val="18"/>
                <w:lang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（英文）University Physics</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4B145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57C3F02">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课程代码</w:t>
            </w:r>
          </w:p>
        </w:tc>
        <w:tc>
          <w:tcPr>
            <w:tcW w:w="2097" w:type="dxa"/>
            <w:vAlign w:val="center"/>
          </w:tcPr>
          <w:p w14:paraId="4224290F">
            <w:pPr>
              <w:widowControl w:val="0"/>
              <w:jc w:val="left"/>
              <w:rPr>
                <w:rFonts w:hint="default" w:ascii="Times New Roman" w:hAnsi="Times New Roman" w:eastAsia="黑体" w:cs="Times New Roman"/>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2100002</w:t>
            </w:r>
          </w:p>
        </w:tc>
        <w:tc>
          <w:tcPr>
            <w:tcW w:w="2289" w:type="dxa"/>
            <w:gridSpan w:val="2"/>
            <w:vAlign w:val="center"/>
          </w:tcPr>
          <w:p w14:paraId="7D663635">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课程学分</w:t>
            </w:r>
          </w:p>
        </w:tc>
        <w:tc>
          <w:tcPr>
            <w:tcW w:w="2199" w:type="dxa"/>
            <w:gridSpan w:val="3"/>
            <w:tcBorders>
              <w:right w:val="single" w:color="auto" w:sz="12" w:space="0"/>
            </w:tcBorders>
            <w:vAlign w:val="center"/>
          </w:tcPr>
          <w:p w14:paraId="1562F24D">
            <w:pPr>
              <w:widowControl w:val="0"/>
              <w:jc w:val="left"/>
              <w:rPr>
                <w:rFonts w:hint="default" w:ascii="黑体" w:hAnsi="黑体" w:eastAsia="黑体"/>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2</w:t>
            </w:r>
          </w:p>
        </w:tc>
      </w:tr>
      <w:tr w14:paraId="491D0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83C0263">
            <w:pPr>
              <w:widowControl w:val="0"/>
              <w:jc w:val="center"/>
              <w:rPr>
                <w:sz w:val="21"/>
                <w:szCs w:val="18"/>
              </w:rPr>
            </w:pPr>
            <w:r>
              <w:rPr>
                <w:rFonts w:hint="eastAsia" w:ascii="黑体" w:hAnsi="黑体" w:eastAsia="黑体"/>
                <w:color w:val="000000" w:themeColor="text1"/>
                <w:sz w:val="21"/>
                <w:szCs w:val="18"/>
                <w14:textFill>
                  <w14:solidFill>
                    <w14:schemeClr w14:val="tx1"/>
                  </w14:solidFill>
                </w14:textFill>
              </w:rPr>
              <w:t>课程学时</w:t>
            </w:r>
            <w:r>
              <w:rPr>
                <w:rFonts w:hint="eastAsia"/>
                <w:sz w:val="21"/>
                <w:szCs w:val="18"/>
              </w:rPr>
              <w:t xml:space="preserve"> </w:t>
            </w:r>
          </w:p>
        </w:tc>
        <w:tc>
          <w:tcPr>
            <w:tcW w:w="2097" w:type="dxa"/>
            <w:vAlign w:val="center"/>
          </w:tcPr>
          <w:p w14:paraId="5E559CDF">
            <w:pPr>
              <w:widowControl w:val="0"/>
              <w:jc w:val="left"/>
              <w:rPr>
                <w:rFonts w:hint="default" w:ascii="Times New Roman" w:hAnsi="Times New Roman" w:eastAsia="黑体" w:cs="Times New Roman"/>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32</w:t>
            </w:r>
          </w:p>
        </w:tc>
        <w:tc>
          <w:tcPr>
            <w:tcW w:w="1155" w:type="dxa"/>
            <w:vAlign w:val="center"/>
          </w:tcPr>
          <w:p w14:paraId="084ADF06">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理论学时</w:t>
            </w:r>
          </w:p>
        </w:tc>
        <w:tc>
          <w:tcPr>
            <w:tcW w:w="1134" w:type="dxa"/>
            <w:vAlign w:val="center"/>
          </w:tcPr>
          <w:p w14:paraId="771014BE">
            <w:pPr>
              <w:widowControl w:val="0"/>
              <w:jc w:val="left"/>
              <w:rPr>
                <w:rFonts w:hint="default" w:ascii="黑体" w:hAnsi="黑体" w:eastAsia="黑体"/>
                <w:color w:val="000000" w:themeColor="text1"/>
                <w:sz w:val="21"/>
                <w:szCs w:val="18"/>
                <w:lang w:val="en-US" w:eastAsia="zh-CN"/>
                <w14:textFill>
                  <w14:solidFill>
                    <w14:schemeClr w14:val="tx1"/>
                  </w14:solidFill>
                </w14:textFill>
              </w:rPr>
            </w:pPr>
            <w:r>
              <w:rPr>
                <w:rFonts w:hint="eastAsia" w:ascii="Times New Roman" w:hAnsi="Times New Roman" w:eastAsia="黑体" w:cs="Times New Roman"/>
                <w:color w:val="000000" w:themeColor="text1"/>
                <w:sz w:val="21"/>
                <w:szCs w:val="18"/>
                <w:lang w:val="en-US" w:eastAsia="zh-CN"/>
                <w14:textFill>
                  <w14:solidFill>
                    <w14:schemeClr w14:val="tx1"/>
                  </w14:solidFill>
                </w14:textFill>
              </w:rPr>
              <w:t>32</w:t>
            </w:r>
          </w:p>
        </w:tc>
        <w:tc>
          <w:tcPr>
            <w:tcW w:w="1413" w:type="dxa"/>
            <w:gridSpan w:val="2"/>
            <w:vAlign w:val="center"/>
          </w:tcPr>
          <w:p w14:paraId="206B92DF">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实践学时</w:t>
            </w:r>
          </w:p>
        </w:tc>
        <w:tc>
          <w:tcPr>
            <w:tcW w:w="786" w:type="dxa"/>
            <w:tcBorders>
              <w:right w:val="single" w:color="auto" w:sz="12" w:space="0"/>
            </w:tcBorders>
            <w:vAlign w:val="center"/>
          </w:tcPr>
          <w:p w14:paraId="32A6F2BD">
            <w:pPr>
              <w:widowControl w:val="0"/>
              <w:jc w:val="left"/>
              <w:rPr>
                <w:rFonts w:hint="eastAsia" w:ascii="黑体" w:hAnsi="黑体" w:eastAsia="黑体"/>
                <w:color w:val="000000" w:themeColor="text1"/>
                <w:sz w:val="21"/>
                <w:szCs w:val="18"/>
                <w:lang w:val="en-US" w:eastAsia="zh-CN"/>
                <w14:textFill>
                  <w14:solidFill>
                    <w14:schemeClr w14:val="tx1"/>
                  </w14:solidFill>
                </w14:textFill>
              </w:rPr>
            </w:pPr>
            <w:r>
              <w:rPr>
                <w:rFonts w:hint="eastAsia" w:ascii="黑体" w:hAnsi="黑体" w:eastAsia="黑体"/>
                <w:color w:val="000000" w:themeColor="text1"/>
                <w:sz w:val="21"/>
                <w:szCs w:val="18"/>
                <w:lang w:val="en-US" w:eastAsia="zh-CN"/>
                <w14:textFill>
                  <w14:solidFill>
                    <w14:schemeClr w14:val="tx1"/>
                  </w14:solidFill>
                </w14:textFill>
              </w:rPr>
              <w:t>0</w:t>
            </w:r>
          </w:p>
        </w:tc>
      </w:tr>
      <w:tr w14:paraId="150AE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2C3C2772">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开课</w:t>
            </w:r>
            <w:r>
              <w:rPr>
                <w:rFonts w:hint="eastAsia" w:ascii="黑体" w:hAnsi="黑体" w:eastAsia="黑体"/>
                <w:color w:val="000000" w:themeColor="text1"/>
                <w:sz w:val="21"/>
                <w:szCs w:val="18"/>
                <w14:textFill>
                  <w14:solidFill>
                    <w14:schemeClr w14:val="tx1"/>
                  </w14:solidFill>
                </w14:textFill>
              </w:rPr>
              <w:t>学院</w:t>
            </w:r>
          </w:p>
        </w:tc>
        <w:tc>
          <w:tcPr>
            <w:tcW w:w="2097" w:type="dxa"/>
            <w:vAlign w:val="center"/>
          </w:tcPr>
          <w:p w14:paraId="7DD1B25D">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教育</w:t>
            </w:r>
            <w:r>
              <w:rPr>
                <w:rFonts w:hint="eastAsia" w:ascii="宋体" w:hAnsi="宋体" w:eastAsia="宋体" w:cs="宋体"/>
                <w:color w:val="000000" w:themeColor="text1"/>
                <w:sz w:val="21"/>
                <w:szCs w:val="18"/>
                <w14:textFill>
                  <w14:solidFill>
                    <w14:schemeClr w14:val="tx1"/>
                  </w14:solidFill>
                </w14:textFill>
              </w:rPr>
              <w:t>学院</w:t>
            </w:r>
            <w:r>
              <w:rPr>
                <w:rFonts w:hint="eastAsia" w:ascii="宋体" w:hAnsi="宋体" w:eastAsia="宋体" w:cs="宋体"/>
                <w:color w:val="000000" w:themeColor="text1"/>
                <w:sz w:val="21"/>
                <w:szCs w:val="18"/>
                <w:lang w:eastAsia="zh-CN"/>
                <w14:textFill>
                  <w14:solidFill>
                    <w14:schemeClr w14:val="tx1"/>
                  </w14:solidFill>
                </w14:textFill>
              </w:rPr>
              <w:t>（通识教育学院）</w:t>
            </w:r>
          </w:p>
        </w:tc>
        <w:tc>
          <w:tcPr>
            <w:tcW w:w="2289" w:type="dxa"/>
            <w:gridSpan w:val="2"/>
            <w:vAlign w:val="center"/>
          </w:tcPr>
          <w:p w14:paraId="6E60B79D">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适用专业与年级</w:t>
            </w:r>
          </w:p>
        </w:tc>
        <w:tc>
          <w:tcPr>
            <w:tcW w:w="2199" w:type="dxa"/>
            <w:gridSpan w:val="3"/>
            <w:tcBorders>
              <w:right w:val="single" w:color="auto" w:sz="12" w:space="0"/>
            </w:tcBorders>
            <w:vAlign w:val="center"/>
          </w:tcPr>
          <w:p w14:paraId="3C66543C">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14:textFill>
                  <w14:solidFill>
                    <w14:schemeClr w14:val="tx1"/>
                  </w14:solidFill>
                </w14:textFill>
              </w:rPr>
              <w:t>理工类本科专业，</w:t>
            </w:r>
            <w:r>
              <w:rPr>
                <w:rFonts w:hint="eastAsia" w:cs="宋体"/>
                <w:color w:val="000000" w:themeColor="text1"/>
                <w:sz w:val="21"/>
                <w:szCs w:val="18"/>
                <w:lang w:eastAsia="zh-CN"/>
                <w14:textFill>
                  <w14:solidFill>
                    <w14:schemeClr w14:val="tx1"/>
                  </w14:solidFill>
                </w14:textFill>
              </w:rPr>
              <w:t>二年级</w:t>
            </w:r>
          </w:p>
        </w:tc>
      </w:tr>
      <w:tr w14:paraId="709B6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87793AF">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课程类别与性质</w:t>
            </w:r>
          </w:p>
        </w:tc>
        <w:tc>
          <w:tcPr>
            <w:tcW w:w="2097" w:type="dxa"/>
            <w:vAlign w:val="center"/>
          </w:tcPr>
          <w:p w14:paraId="4075204C">
            <w:pPr>
              <w:widowControl w:val="0"/>
              <w:jc w:val="left"/>
              <w:rPr>
                <w:rFonts w:hint="eastAsia" w:ascii="宋体" w:hAnsi="宋体" w:eastAsia="宋体" w:cs="宋体"/>
                <w:color w:val="000000" w:themeColor="text1"/>
                <w:sz w:val="21"/>
                <w:szCs w:val="18"/>
                <w14:textFill>
                  <w14:solidFill>
                    <w14:schemeClr w14:val="tx1"/>
                  </w14:solidFill>
                </w14:textFill>
              </w:rPr>
            </w:pPr>
            <w:r>
              <w:rPr>
                <w:rFonts w:hint="eastAsia" w:ascii="宋体" w:hAnsi="宋体" w:eastAsia="宋体" w:cs="宋体"/>
                <w:color w:val="000000" w:themeColor="text1"/>
                <w:sz w:val="21"/>
                <w:szCs w:val="18"/>
                <w:lang w:val="en-US" w:eastAsia="zh-CN"/>
                <w14:textFill>
                  <w14:solidFill>
                    <w14:schemeClr w14:val="tx1"/>
                  </w14:solidFill>
                </w14:textFill>
              </w:rPr>
              <w:t>公共基础课</w:t>
            </w:r>
          </w:p>
        </w:tc>
        <w:tc>
          <w:tcPr>
            <w:tcW w:w="2289" w:type="dxa"/>
            <w:gridSpan w:val="2"/>
            <w:vAlign w:val="center"/>
          </w:tcPr>
          <w:p w14:paraId="1A3C5C30">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考核方式</w:t>
            </w:r>
          </w:p>
        </w:tc>
        <w:tc>
          <w:tcPr>
            <w:tcW w:w="2199" w:type="dxa"/>
            <w:gridSpan w:val="3"/>
            <w:tcBorders>
              <w:right w:val="single" w:color="auto" w:sz="12" w:space="0"/>
            </w:tcBorders>
            <w:vAlign w:val="center"/>
          </w:tcPr>
          <w:p w14:paraId="4BE4958E">
            <w:pPr>
              <w:widowControl w:val="0"/>
              <w:jc w:val="left"/>
              <w:rPr>
                <w:rFonts w:hint="eastAsia" w:ascii="宋体" w:hAnsi="宋体" w:eastAsia="宋体" w:cs="宋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考试</w:t>
            </w:r>
          </w:p>
        </w:tc>
      </w:tr>
      <w:tr w14:paraId="707F9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trPr>
        <w:tc>
          <w:tcPr>
            <w:tcW w:w="1691" w:type="dxa"/>
            <w:tcBorders>
              <w:left w:val="single" w:color="auto" w:sz="12" w:space="0"/>
            </w:tcBorders>
            <w:shd w:val="clear" w:color="auto" w:fill="auto"/>
            <w:vAlign w:val="center"/>
          </w:tcPr>
          <w:p w14:paraId="0A0594EF">
            <w:pPr>
              <w:widowControl w:val="0"/>
              <w:jc w:val="center"/>
              <w:rPr>
                <w:rFonts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选</w:t>
            </w:r>
            <w:r>
              <w:rPr>
                <w:rFonts w:ascii="黑体" w:hAnsi="黑体" w:eastAsia="黑体"/>
                <w:color w:val="000000" w:themeColor="text1"/>
                <w:sz w:val="21"/>
                <w:szCs w:val="18"/>
                <w14:textFill>
                  <w14:solidFill>
                    <w14:schemeClr w14:val="tx1"/>
                  </w14:solidFill>
                </w14:textFill>
              </w:rPr>
              <w:t>用教材</w:t>
            </w:r>
          </w:p>
        </w:tc>
        <w:tc>
          <w:tcPr>
            <w:tcW w:w="4386" w:type="dxa"/>
            <w:gridSpan w:val="3"/>
            <w:vAlign w:val="center"/>
          </w:tcPr>
          <w:p w14:paraId="5098FC0B">
            <w:pPr>
              <w:widowControl w:val="0"/>
              <w:jc w:val="left"/>
              <w:rPr>
                <w:rFonts w:hint="eastAsia" w:ascii="黑体" w:hAnsi="黑体" w:eastAsia="宋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w:t>
            </w:r>
            <w:r>
              <w:rPr>
                <w:rFonts w:hint="eastAsia" w:ascii="宋体" w:hAnsi="宋体" w:eastAsia="宋体" w:cs="宋体"/>
                <w:color w:val="000000" w:themeColor="text1"/>
                <w:sz w:val="21"/>
                <w:szCs w:val="18"/>
                <w14:textFill>
                  <w14:solidFill>
                    <w14:schemeClr w14:val="tx1"/>
                  </w14:solidFill>
                </w14:textFill>
              </w:rPr>
              <w:t>大学物理学</w:t>
            </w:r>
            <w:r>
              <w:rPr>
                <w:rFonts w:hint="eastAsia" w:ascii="宋体" w:hAnsi="宋体" w:eastAsia="宋体" w:cs="宋体"/>
                <w:color w:val="000000" w:themeColor="text1"/>
                <w:sz w:val="21"/>
                <w:szCs w:val="18"/>
                <w:lang w:eastAsia="zh-CN"/>
                <w14:textFill>
                  <w14:solidFill>
                    <w14:schemeClr w14:val="tx1"/>
                  </w14:solidFill>
                </w14:textFill>
              </w:rPr>
              <w:t>》王少杰等</w:t>
            </w:r>
            <w:r>
              <w:rPr>
                <w:rFonts w:hint="default" w:ascii="Times New Roman" w:hAnsi="Times New Roman" w:eastAsia="宋体" w:cs="Times New Roman"/>
                <w:color w:val="000000" w:themeColor="text1"/>
                <w:sz w:val="21"/>
                <w:szCs w:val="18"/>
                <w:lang w:val="en-US" w:eastAsia="zh-CN"/>
                <w14:textFill>
                  <w14:solidFill>
                    <w14:schemeClr w14:val="tx1"/>
                  </w14:solidFill>
                </w14:textFill>
              </w:rPr>
              <w:t>ISBN</w:t>
            </w:r>
            <w:r>
              <w:rPr>
                <w:rFonts w:hint="default" w:ascii="Times New Roman" w:hAnsi="Times New Roman" w:eastAsia="宋体" w:cs="Times New Roman"/>
                <w:color w:val="000000" w:themeColor="text1"/>
                <w:sz w:val="21"/>
                <w:szCs w:val="18"/>
                <w14:textFill>
                  <w14:solidFill>
                    <w14:schemeClr w14:val="tx1"/>
                  </w14:solidFill>
                </w14:textFill>
              </w:rPr>
              <w:t>9787040606300</w:t>
            </w:r>
            <w:r>
              <w:rPr>
                <w:rFonts w:hint="eastAsia" w:ascii="Times New Roman" w:hAnsi="Times New Roman" w:cs="Times New Roman"/>
                <w:color w:val="000000" w:themeColor="text1"/>
                <w:sz w:val="21"/>
                <w:szCs w:val="18"/>
                <w:lang w:eastAsia="zh-CN"/>
                <w14:textFill>
                  <w14:solidFill>
                    <w14:schemeClr w14:val="tx1"/>
                  </w14:solidFill>
                </w14:textFill>
              </w:rPr>
              <w:t>，高等教育出版社，第五版</w:t>
            </w:r>
          </w:p>
        </w:tc>
        <w:tc>
          <w:tcPr>
            <w:tcW w:w="1413" w:type="dxa"/>
            <w:gridSpan w:val="2"/>
            <w:vAlign w:val="center"/>
          </w:tcPr>
          <w:p w14:paraId="2317C288">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是否为</w:t>
            </w:r>
          </w:p>
          <w:p w14:paraId="677109F2">
            <w:pPr>
              <w:widowControl w:val="0"/>
              <w:jc w:val="center"/>
              <w:rPr>
                <w:rFonts w:hint="eastAsia" w:ascii="黑体" w:hAnsi="黑体" w:eastAsia="黑体"/>
                <w:color w:val="000000" w:themeColor="text1"/>
                <w:sz w:val="21"/>
                <w:szCs w:val="18"/>
                <w14:textFill>
                  <w14:solidFill>
                    <w14:schemeClr w14:val="tx1"/>
                  </w14:solidFill>
                </w14:textFill>
              </w:rPr>
            </w:pPr>
            <w:r>
              <w:rPr>
                <w:rFonts w:hint="eastAsia" w:ascii="黑体" w:hAnsi="黑体" w:eastAsia="黑体"/>
                <w:color w:val="000000" w:themeColor="text1"/>
                <w:sz w:val="21"/>
                <w:szCs w:val="18"/>
                <w14:textFill>
                  <w14:solidFill>
                    <w14:schemeClr w14:val="tx1"/>
                  </w14:solidFill>
                </w14:textFill>
              </w:rPr>
              <w:t>马工程教材</w:t>
            </w:r>
          </w:p>
        </w:tc>
        <w:tc>
          <w:tcPr>
            <w:tcW w:w="786" w:type="dxa"/>
            <w:tcBorders>
              <w:right w:val="single" w:color="auto" w:sz="12" w:space="0"/>
            </w:tcBorders>
            <w:vAlign w:val="center"/>
          </w:tcPr>
          <w:p w14:paraId="09C18D76">
            <w:pPr>
              <w:widowControl w:val="0"/>
              <w:jc w:val="center"/>
              <w:rPr>
                <w:rFonts w:hint="eastAsia" w:ascii="黑体" w:hAnsi="黑体" w:eastAsia="黑体"/>
                <w:color w:val="000000" w:themeColor="text1"/>
                <w:sz w:val="21"/>
                <w:szCs w:val="18"/>
                <w:lang w:eastAsia="zh-CN"/>
                <w14:textFill>
                  <w14:solidFill>
                    <w14:schemeClr w14:val="tx1"/>
                  </w14:solidFill>
                </w14:textFill>
              </w:rPr>
            </w:pPr>
            <w:r>
              <w:rPr>
                <w:rFonts w:hint="eastAsia" w:ascii="宋体" w:hAnsi="宋体" w:eastAsia="宋体" w:cs="宋体"/>
                <w:color w:val="000000" w:themeColor="text1"/>
                <w:sz w:val="21"/>
                <w:szCs w:val="18"/>
                <w:lang w:eastAsia="zh-CN"/>
                <w14:textFill>
                  <w14:solidFill>
                    <w14:schemeClr w14:val="tx1"/>
                  </w14:solidFill>
                </w14:textFill>
              </w:rPr>
              <w:t>否</w:t>
            </w:r>
          </w:p>
        </w:tc>
      </w:tr>
      <w:tr w14:paraId="5C9A1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680" w:hRule="atLeast"/>
        </w:trPr>
        <w:tc>
          <w:tcPr>
            <w:tcW w:w="1691" w:type="dxa"/>
            <w:tcBorders>
              <w:left w:val="single" w:color="auto" w:sz="12" w:space="0"/>
            </w:tcBorders>
            <w:shd w:val="clear" w:color="auto" w:fill="auto"/>
            <w:vAlign w:val="center"/>
          </w:tcPr>
          <w:p w14:paraId="0805D167">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先修课程</w:t>
            </w:r>
          </w:p>
        </w:tc>
        <w:tc>
          <w:tcPr>
            <w:tcW w:w="6585" w:type="dxa"/>
            <w:gridSpan w:val="6"/>
            <w:tcBorders>
              <w:right w:val="single" w:color="auto" w:sz="12" w:space="0"/>
            </w:tcBorders>
            <w:vAlign w:val="center"/>
          </w:tcPr>
          <w:p w14:paraId="65A35588">
            <w:pPr>
              <w:widowControl w:val="0"/>
              <w:jc w:val="left"/>
              <w:rPr>
                <w:rFonts w:hint="default" w:ascii="Times New Roman" w:hAnsi="Times New Roman" w:eastAsia="宋体" w:cs="Times New Roman"/>
                <w:color w:val="000000" w:themeColor="text1"/>
                <w:sz w:val="21"/>
                <w:szCs w:val="18"/>
                <w:lang w:val="en-US" w:eastAsia="zh-CN"/>
                <w14:textFill>
                  <w14:solidFill>
                    <w14:schemeClr w14:val="tx1"/>
                  </w14:solidFill>
                </w14:textFill>
              </w:rPr>
            </w:pPr>
            <w:r>
              <w:rPr>
                <w:rFonts w:hint="default" w:ascii="Times New Roman" w:hAnsi="Times New Roman" w:eastAsia="宋体" w:cs="Times New Roman"/>
                <w:color w:val="000000" w:themeColor="text1"/>
                <w:sz w:val="21"/>
                <w:szCs w:val="18"/>
                <w14:textFill>
                  <w14:solidFill>
                    <w14:schemeClr w14:val="tx1"/>
                  </w14:solidFill>
                </w14:textFill>
              </w:rPr>
              <w:t>高等数学（</w:t>
            </w:r>
            <w:r>
              <w:rPr>
                <w:rFonts w:hint="default" w:ascii="Times New Roman" w:hAnsi="Times New Roman" w:cs="Times New Roman"/>
                <w:color w:val="000000" w:themeColor="text1"/>
                <w:sz w:val="21"/>
                <w:szCs w:val="18"/>
                <w:lang w:val="en-US" w:eastAsia="zh-CN"/>
                <w14:textFill>
                  <w14:solidFill>
                    <w14:schemeClr w14:val="tx1"/>
                  </w14:solidFill>
                </w14:textFill>
              </w:rPr>
              <w:t>1</w:t>
            </w:r>
            <w:r>
              <w:rPr>
                <w:rFonts w:hint="default" w:ascii="Times New Roman" w:hAnsi="Times New Roman" w:eastAsia="宋体" w:cs="Times New Roman"/>
                <w:color w:val="000000" w:themeColor="text1"/>
                <w:sz w:val="21"/>
                <w:szCs w:val="18"/>
                <w14:textFill>
                  <w14:solidFill>
                    <w14:schemeClr w14:val="tx1"/>
                  </w14:solidFill>
                </w14:textFill>
              </w:rPr>
              <w:t>）</w:t>
            </w:r>
            <w:r>
              <w:rPr>
                <w:rFonts w:hint="default" w:ascii="Times New Roman" w:hAnsi="Times New Roman" w:cs="Times New Roman"/>
                <w:color w:val="000000" w:themeColor="text1"/>
                <w:sz w:val="21"/>
                <w:szCs w:val="18"/>
                <w:lang w:eastAsia="zh-CN"/>
                <w14:textFill>
                  <w14:solidFill>
                    <w14:schemeClr w14:val="tx1"/>
                  </w14:solidFill>
                </w14:textFill>
              </w:rPr>
              <w:t>理工类</w:t>
            </w:r>
            <w:r>
              <w:rPr>
                <w:rFonts w:hint="default" w:ascii="Times New Roman" w:hAnsi="Times New Roman" w:cs="Times New Roman"/>
                <w:color w:val="000000" w:themeColor="text1"/>
                <w:sz w:val="21"/>
                <w:szCs w:val="18"/>
                <w:lang w:val="en-US" w:eastAsia="zh-CN"/>
                <w14:textFill>
                  <w14:solidFill>
                    <w14:schemeClr w14:val="tx1"/>
                  </w14:solidFill>
                </w14:textFill>
              </w:rPr>
              <w:t>2100013（6）</w:t>
            </w:r>
            <w:r>
              <w:rPr>
                <w:rFonts w:hint="eastAsia" w:ascii="Times New Roman" w:hAnsi="Times New Roman" w:cs="Times New Roman"/>
                <w:color w:val="000000" w:themeColor="text1"/>
                <w:sz w:val="21"/>
                <w:szCs w:val="18"/>
                <w:lang w:val="en-US" w:eastAsia="zh-CN"/>
                <w14:textFill>
                  <w14:solidFill>
                    <w14:schemeClr w14:val="tx1"/>
                  </w14:solidFill>
                </w14:textFill>
              </w:rPr>
              <w:t>、大学物理（1）2100077（3）</w:t>
            </w:r>
          </w:p>
        </w:tc>
      </w:tr>
      <w:tr w14:paraId="30683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0" w:hRule="atLeast"/>
        </w:trPr>
        <w:tc>
          <w:tcPr>
            <w:tcW w:w="1691" w:type="dxa"/>
            <w:tcBorders>
              <w:left w:val="single" w:color="auto" w:sz="12" w:space="0"/>
            </w:tcBorders>
            <w:shd w:val="clear" w:color="auto" w:fill="auto"/>
            <w:vAlign w:val="center"/>
          </w:tcPr>
          <w:p w14:paraId="762A1DD9">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课程简介</w:t>
            </w:r>
          </w:p>
        </w:tc>
        <w:tc>
          <w:tcPr>
            <w:tcW w:w="6585" w:type="dxa"/>
            <w:gridSpan w:val="6"/>
            <w:tcBorders>
              <w:right w:val="single" w:color="auto" w:sz="12" w:space="0"/>
            </w:tcBorders>
            <w:vAlign w:val="top"/>
          </w:tcPr>
          <w:p w14:paraId="2E85B4C2">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物理学是研究物质基本结构、基本运动形式、相互作用及其转化规律的自然科学。它的基本理论渗透在自然学科的各个领域，应用于生产技术的各个方面，是其他自然科学和工程技术的基础。</w:t>
            </w:r>
          </w:p>
          <w:p w14:paraId="79152745">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《大学物理（</w:t>
            </w:r>
            <w:r>
              <w:rPr>
                <w:rFonts w:hint="default" w:ascii="Times New Roman" w:hAnsi="Times New Roman" w:cs="Times New Roman"/>
                <w:color w:val="000000" w:themeColor="text1"/>
                <w:sz w:val="21"/>
                <w:szCs w:val="18"/>
                <w:lang w:val="en-US" w:eastAsia="zh-CN"/>
                <w14:textFill>
                  <w14:solidFill>
                    <w14:schemeClr w14:val="tx1"/>
                  </w14:solidFill>
                </w14:textFill>
              </w:rPr>
              <w:t>2</w:t>
            </w:r>
            <w:r>
              <w:rPr>
                <w:rFonts w:hint="default" w:ascii="Times New Roman" w:hAnsi="Times New Roman" w:cs="Times New Roman"/>
                <w:color w:val="000000" w:themeColor="text1"/>
                <w:sz w:val="21"/>
                <w:szCs w:val="18"/>
                <w:lang w:eastAsia="zh-CN"/>
                <w14:textFill>
                  <w14:solidFill>
                    <w14:schemeClr w14:val="tx1"/>
                  </w14:solidFill>
                </w14:textFill>
              </w:rPr>
              <w:t>）》</w:t>
            </w:r>
            <w:r>
              <w:rPr>
                <w:rFonts w:hint="default" w:ascii="Times New Roman" w:hAnsi="Times New Roman" w:cs="Times New Roman"/>
                <w:color w:val="000000" w:themeColor="text1"/>
                <w:sz w:val="21"/>
                <w:szCs w:val="18"/>
                <w:lang w:val="en-US" w:eastAsia="zh-CN"/>
                <w14:textFill>
                  <w14:solidFill>
                    <w14:schemeClr w14:val="tx1"/>
                  </w14:solidFill>
                </w14:textFill>
              </w:rPr>
              <w:t>课程系统地阐述了物理学中热学、振动波动学和</w:t>
            </w:r>
            <w:r>
              <w:rPr>
                <w:rFonts w:hint="default" w:ascii="Times New Roman" w:hAnsi="Times New Roman" w:cs="Times New Roman"/>
                <w:color w:val="000000" w:themeColor="text1"/>
                <w:sz w:val="21"/>
                <w:szCs w:val="18"/>
                <w:lang w:eastAsia="zh-CN"/>
                <w14:textFill>
                  <w14:solidFill>
                    <w14:schemeClr w14:val="tx1"/>
                  </w14:solidFill>
                </w14:textFill>
              </w:rPr>
              <w:t>光学</w:t>
            </w:r>
            <w:r>
              <w:rPr>
                <w:rFonts w:hint="default" w:ascii="Times New Roman" w:hAnsi="Times New Roman" w:cs="Times New Roman"/>
                <w:color w:val="000000" w:themeColor="text1"/>
                <w:sz w:val="21"/>
                <w:szCs w:val="18"/>
                <w:lang w:val="en-US" w:eastAsia="zh-CN"/>
                <w14:textFill>
                  <w14:solidFill>
                    <w14:schemeClr w14:val="tx1"/>
                  </w14:solidFill>
                </w14:textFill>
              </w:rPr>
              <w:t>的基本概念、基本理论和基本方法。振动波动学包括机械振动、机械波；</w:t>
            </w:r>
            <w:r>
              <w:rPr>
                <w:rFonts w:hint="default" w:ascii="Times New Roman" w:hAnsi="Times New Roman" w:cs="Times New Roman"/>
                <w:color w:val="000000" w:themeColor="text1"/>
                <w:sz w:val="21"/>
                <w:szCs w:val="18"/>
                <w:lang w:eastAsia="zh-CN"/>
                <w14:textFill>
                  <w14:solidFill>
                    <w14:schemeClr w14:val="tx1"/>
                  </w14:solidFill>
                </w14:textFill>
              </w:rPr>
              <w:t>热学包括气体动理论、热力学；光学包括光的干涉、光的衍射。</w:t>
            </w:r>
          </w:p>
          <w:p w14:paraId="73C64037">
            <w:pPr>
              <w:widowControl w:val="0"/>
              <w:ind w:firstLine="420" w:firstLineChars="200"/>
              <w:jc w:val="left"/>
              <w:rPr>
                <w:rFonts w:hint="default" w:ascii="Times New Roman" w:hAnsi="Times New Roman" w:cs="Times New Roman"/>
                <w:color w:val="000000" w:themeColor="text1"/>
                <w:sz w:val="21"/>
                <w:szCs w:val="18"/>
                <w:lang w:eastAsia="zh-CN"/>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通过本课程的学习，使学生掌握物理学的基本概念、基本理论和基本规律，能运用物理学知识解释自然科学问题，通过进一步深入学习能够分析和解决专业工程中的遇到的物理问题。</w:t>
            </w:r>
          </w:p>
          <w:p w14:paraId="4B9770A6">
            <w:pPr>
              <w:widowControl w:val="0"/>
              <w:ind w:firstLine="420" w:firstLineChars="200"/>
              <w:jc w:val="left"/>
              <w:rPr>
                <w:rFonts w:hint="default" w:ascii="Times New Roman" w:hAnsi="Times New Roman" w:eastAsia="黑体" w:cs="Times New Roman"/>
                <w:color w:val="000000" w:themeColor="text1"/>
                <w:sz w:val="21"/>
                <w:szCs w:val="18"/>
                <w14:textFill>
                  <w14:solidFill>
                    <w14:schemeClr w14:val="tx1"/>
                  </w14:solidFill>
                </w14:textFill>
              </w:rPr>
            </w:pPr>
            <w:r>
              <w:rPr>
                <w:rFonts w:hint="default" w:ascii="Times New Roman" w:hAnsi="Times New Roman" w:cs="Times New Roman"/>
                <w:color w:val="000000" w:themeColor="text1"/>
                <w:sz w:val="21"/>
                <w:szCs w:val="18"/>
                <w:lang w:eastAsia="zh-CN"/>
                <w14:textFill>
                  <w14:solidFill>
                    <w14:schemeClr w14:val="tx1"/>
                  </w14:solidFill>
                </w14:textFill>
              </w:rPr>
              <w:t>教学中同时把课程思政有效地融入其中，培养学生建立辨证唯物主义世界观，</w:t>
            </w:r>
            <w:r>
              <w:rPr>
                <w:rFonts w:hint="default" w:ascii="Times New Roman" w:hAnsi="Times New Roman" w:cs="Times New Roman" w:eastAsiaTheme="majorEastAsia"/>
                <w:bCs/>
                <w:kern w:val="0"/>
                <w:sz w:val="21"/>
                <w:szCs w:val="21"/>
                <w:lang w:val="en-US" w:eastAsia="zh-CN"/>
              </w:rPr>
              <w:t>使学生在学习物理学知识的同时,逐步建立正确的思想方法和研究方法；培养学生 探索未知、追求真理、勇攀科学高峰的责任感和使命感</w:t>
            </w:r>
            <w:r>
              <w:rPr>
                <w:rFonts w:hint="default" w:ascii="Times New Roman" w:hAnsi="Times New Roman" w:cs="Times New Roman"/>
                <w:color w:val="000000" w:themeColor="text1"/>
                <w:sz w:val="21"/>
                <w:szCs w:val="18"/>
                <w:lang w:eastAsia="zh-CN"/>
                <w14:textFill>
                  <w14:solidFill>
                    <w14:schemeClr w14:val="tx1"/>
                  </w14:solidFill>
                </w14:textFill>
              </w:rPr>
              <w:t>。</w:t>
            </w:r>
          </w:p>
        </w:tc>
      </w:tr>
      <w:tr w14:paraId="0BAED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829" w:hRule="atLeast"/>
        </w:trPr>
        <w:tc>
          <w:tcPr>
            <w:tcW w:w="1691" w:type="dxa"/>
            <w:tcBorders>
              <w:left w:val="single" w:color="auto" w:sz="12" w:space="0"/>
              <w:bottom w:val="double" w:color="auto" w:sz="4" w:space="0"/>
            </w:tcBorders>
            <w:shd w:val="clear" w:color="auto" w:fill="auto"/>
            <w:vAlign w:val="center"/>
          </w:tcPr>
          <w:p w14:paraId="72240EF8">
            <w:pPr>
              <w:widowControl w:val="0"/>
              <w:jc w:val="center"/>
              <w:rPr>
                <w:rFonts w:ascii="黑体" w:hAnsi="黑体" w:eastAsia="黑体"/>
                <w:color w:val="000000" w:themeColor="text1"/>
                <w:sz w:val="21"/>
                <w:szCs w:val="18"/>
                <w14:textFill>
                  <w14:solidFill>
                    <w14:schemeClr w14:val="tx1"/>
                  </w14:solidFill>
                </w14:textFill>
              </w:rPr>
            </w:pPr>
            <w:r>
              <w:rPr>
                <w:rFonts w:ascii="黑体" w:hAnsi="黑体" w:eastAsia="黑体"/>
                <w:color w:val="000000" w:themeColor="text1"/>
                <w:sz w:val="21"/>
                <w:szCs w:val="18"/>
                <w14:textFill>
                  <w14:solidFill>
                    <w14:schemeClr w14:val="tx1"/>
                  </w14:solidFill>
                </w14:textFill>
              </w:rPr>
              <w:t>选课建议</w:t>
            </w:r>
            <w:r>
              <w:rPr>
                <w:rFonts w:hint="eastAsia" w:ascii="黑体" w:hAnsi="黑体" w:eastAsia="黑体"/>
                <w:color w:val="000000" w:themeColor="text1"/>
                <w:sz w:val="21"/>
                <w:szCs w:val="18"/>
                <w14:textFill>
                  <w14:solidFill>
                    <w14:schemeClr w14:val="tx1"/>
                  </w14:solidFill>
                </w14:textFill>
              </w:rPr>
              <w:t>与学习要求</w:t>
            </w:r>
          </w:p>
        </w:tc>
        <w:tc>
          <w:tcPr>
            <w:tcW w:w="6585" w:type="dxa"/>
            <w:gridSpan w:val="6"/>
            <w:tcBorders>
              <w:bottom w:val="double" w:color="auto" w:sz="4" w:space="0"/>
              <w:right w:val="single" w:color="auto" w:sz="12" w:space="0"/>
            </w:tcBorders>
            <w:vAlign w:val="top"/>
          </w:tcPr>
          <w:p w14:paraId="4D3DD92F">
            <w:pPr>
              <w:widowControl w:val="0"/>
              <w:jc w:val="left"/>
              <w:rPr>
                <w:rFonts w:hint="default" w:ascii="Times New Roman" w:hAnsi="Times New Roman" w:eastAsia="黑体" w:cs="Times New Roman"/>
                <w:color w:val="000000" w:themeColor="text1"/>
                <w:sz w:val="21"/>
                <w:szCs w:val="18"/>
                <w14:textFill>
                  <w14:solidFill>
                    <w14:schemeClr w14:val="tx1"/>
                  </w14:solidFill>
                </w14:textFill>
              </w:rPr>
            </w:pPr>
            <w:r>
              <w:rPr>
                <w:rFonts w:hint="default" w:ascii="Times New Roman" w:hAnsi="Times New Roman" w:cs="Times New Roman" w:eastAsiaTheme="minorEastAsia"/>
                <w:color w:val="000000" w:themeColor="text1"/>
                <w:sz w:val="21"/>
                <w:szCs w:val="18"/>
                <w:lang w:val="en-US" w:eastAsia="zh-CN"/>
                <w14:textFill>
                  <w14:solidFill>
                    <w14:schemeClr w14:val="tx1"/>
                  </w14:solidFill>
                </w14:textFill>
              </w:rPr>
              <w:t xml:space="preserve">    </w:t>
            </w:r>
            <w:r>
              <w:rPr>
                <w:rFonts w:hint="default" w:ascii="Times New Roman" w:hAnsi="Times New Roman" w:cs="Times New Roman" w:eastAsiaTheme="minorEastAsia"/>
                <w:color w:val="000000" w:themeColor="text1"/>
                <w:sz w:val="21"/>
                <w:szCs w:val="18"/>
                <w14:textFill>
                  <w14:solidFill>
                    <w14:schemeClr w14:val="tx1"/>
                  </w14:solidFill>
                </w14:textFill>
              </w:rPr>
              <w:t>适合理工类本科</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并且培养计划中大学物理上两个学期的专业，建议</w:t>
            </w:r>
            <w:r>
              <w:rPr>
                <w:rFonts w:hint="default" w:ascii="Times New Roman" w:hAnsi="Times New Roman" w:cs="Times New Roman" w:eastAsiaTheme="minorEastAsia"/>
                <w:color w:val="000000" w:themeColor="text1"/>
                <w:sz w:val="21"/>
                <w:szCs w:val="18"/>
                <w14:textFill>
                  <w14:solidFill>
                    <w14:schemeClr w14:val="tx1"/>
                  </w14:solidFill>
                </w14:textFill>
              </w:rPr>
              <w:t>在</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二年级</w:t>
            </w:r>
            <w:r>
              <w:rPr>
                <w:rFonts w:hint="default" w:ascii="Times New Roman" w:hAnsi="Times New Roman" w:cs="Times New Roman" w:eastAsiaTheme="minorEastAsia"/>
                <w:color w:val="000000" w:themeColor="text1"/>
                <w:sz w:val="21"/>
                <w:szCs w:val="18"/>
                <w14:textFill>
                  <w14:solidFill>
                    <w14:schemeClr w14:val="tx1"/>
                  </w14:solidFill>
                </w14:textFill>
              </w:rPr>
              <w:t>学习，要求</w:t>
            </w:r>
            <w:r>
              <w:rPr>
                <w:rFonts w:hint="default" w:ascii="Times New Roman" w:hAnsi="Times New Roman" w:cs="Times New Roman" w:eastAsiaTheme="minorEastAsia"/>
                <w:color w:val="000000" w:themeColor="text1"/>
                <w:sz w:val="21"/>
                <w:szCs w:val="18"/>
                <w:lang w:eastAsia="zh-CN"/>
                <w14:textFill>
                  <w14:solidFill>
                    <w14:schemeClr w14:val="tx1"/>
                  </w14:solidFill>
                </w14:textFill>
              </w:rPr>
              <w:t>有</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大学</w:t>
            </w:r>
            <w:r>
              <w:rPr>
                <w:rFonts w:hint="default" w:ascii="Times New Roman" w:hAnsi="Times New Roman" w:cs="Times New Roman" w:eastAsiaTheme="minorEastAsia"/>
                <w:color w:val="000000" w:themeColor="text1"/>
                <w:sz w:val="21"/>
                <w:szCs w:val="18"/>
                <w14:textFill>
                  <w14:solidFill>
                    <w14:schemeClr w14:val="tx1"/>
                  </w14:solidFill>
                </w14:textFill>
              </w:rPr>
              <w:t>物理</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w:t>
            </w:r>
            <w:r>
              <w:rPr>
                <w:rFonts w:hint="eastAsia" w:ascii="Times New Roman" w:hAnsi="Times New Roman" w:cs="Times New Roman" w:eastAsiaTheme="minorEastAsia"/>
                <w:color w:val="000000" w:themeColor="text1"/>
                <w:sz w:val="21"/>
                <w:szCs w:val="18"/>
                <w:lang w:val="en-US" w:eastAsia="zh-CN"/>
                <w14:textFill>
                  <w14:solidFill>
                    <w14:schemeClr w14:val="tx1"/>
                  </w14:solidFill>
                </w14:textFill>
              </w:rPr>
              <w:t>1</w:t>
            </w:r>
            <w:r>
              <w:rPr>
                <w:rFonts w:hint="eastAsia" w:ascii="Times New Roman" w:hAnsi="Times New Roman" w:cs="Times New Roman" w:eastAsiaTheme="minorEastAsia"/>
                <w:color w:val="000000" w:themeColor="text1"/>
                <w:sz w:val="21"/>
                <w:szCs w:val="18"/>
                <w:lang w:eastAsia="zh-CN"/>
                <w14:textFill>
                  <w14:solidFill>
                    <w14:schemeClr w14:val="tx1"/>
                  </w14:solidFill>
                </w14:textFill>
              </w:rPr>
              <w:t>）</w:t>
            </w:r>
            <w:r>
              <w:rPr>
                <w:rFonts w:hint="default" w:ascii="Times New Roman" w:hAnsi="Times New Roman" w:cs="Times New Roman" w:eastAsiaTheme="minorEastAsia"/>
                <w:color w:val="000000" w:themeColor="text1"/>
                <w:sz w:val="21"/>
                <w:szCs w:val="18"/>
                <w14:textFill>
                  <w14:solidFill>
                    <w14:schemeClr w14:val="tx1"/>
                  </w14:solidFill>
                </w14:textFill>
              </w:rPr>
              <w:t>和高等数学的基础。</w:t>
            </w:r>
          </w:p>
        </w:tc>
      </w:tr>
      <w:tr w14:paraId="2571A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top w:val="double" w:color="auto" w:sz="4" w:space="0"/>
              <w:left w:val="single" w:color="auto" w:sz="12" w:space="0"/>
            </w:tcBorders>
            <w:shd w:val="clear" w:color="auto" w:fill="auto"/>
            <w:vAlign w:val="center"/>
          </w:tcPr>
          <w:p w14:paraId="581C3C4E">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大纲编写人</w:t>
            </w:r>
          </w:p>
        </w:tc>
        <w:tc>
          <w:tcPr>
            <w:tcW w:w="3252" w:type="dxa"/>
            <w:gridSpan w:val="2"/>
            <w:tcBorders>
              <w:top w:val="double" w:color="auto" w:sz="4" w:space="0"/>
            </w:tcBorders>
            <w:vAlign w:val="center"/>
          </w:tcPr>
          <w:p w14:paraId="1DFD0AB6">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drawing>
                <wp:anchor distT="0" distB="0" distL="114300" distR="114300" simplePos="0" relativeHeight="251660288" behindDoc="0" locked="0" layoutInCell="1" allowOverlap="1">
                  <wp:simplePos x="0" y="0"/>
                  <wp:positionH relativeFrom="column">
                    <wp:posOffset>471170</wp:posOffset>
                  </wp:positionH>
                  <wp:positionV relativeFrom="paragraph">
                    <wp:posOffset>-74295</wp:posOffset>
                  </wp:positionV>
                  <wp:extent cx="698500" cy="354330"/>
                  <wp:effectExtent l="0" t="0" r="6350" b="7620"/>
                  <wp:wrapNone/>
                  <wp:docPr id="2" name="图片 2" descr="3004da98d5f78f00443c9ab3344b8c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3004da98d5f78f00443c9ab3344b8c3"/>
                          <pic:cNvPicPr>
                            <a:picLocks noChangeAspect="1"/>
                          </pic:cNvPicPr>
                        </pic:nvPicPr>
                        <pic:blipFill>
                          <a:blip r:embed="rId5"/>
                          <a:stretch>
                            <a:fillRect/>
                          </a:stretch>
                        </pic:blipFill>
                        <pic:spPr>
                          <a:xfrm>
                            <a:off x="0" y="0"/>
                            <a:ext cx="698500" cy="354330"/>
                          </a:xfrm>
                          <a:prstGeom prst="rect">
                            <a:avLst/>
                          </a:prstGeom>
                        </pic:spPr>
                      </pic:pic>
                    </a:graphicData>
                  </a:graphic>
                </wp:anchor>
              </w:drawing>
            </w:r>
            <w:r>
              <w:drawing>
                <wp:anchor distT="0" distB="0" distL="114300" distR="114300" simplePos="0" relativeHeight="251661312" behindDoc="0" locked="0" layoutInCell="1" allowOverlap="1">
                  <wp:simplePos x="0" y="0"/>
                  <wp:positionH relativeFrom="column">
                    <wp:posOffset>382270</wp:posOffset>
                  </wp:positionH>
                  <wp:positionV relativeFrom="paragraph">
                    <wp:posOffset>328295</wp:posOffset>
                  </wp:positionV>
                  <wp:extent cx="809625" cy="400050"/>
                  <wp:effectExtent l="0" t="0" r="9525" b="0"/>
                  <wp:wrapNone/>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6"/>
                          <a:stretch>
                            <a:fillRect/>
                          </a:stretch>
                        </pic:blipFill>
                        <pic:spPr>
                          <a:xfrm>
                            <a:off x="0" y="0"/>
                            <a:ext cx="809625" cy="400050"/>
                          </a:xfrm>
                          <a:prstGeom prst="rect">
                            <a:avLst/>
                          </a:prstGeom>
                          <a:noFill/>
                          <a:ln>
                            <a:noFill/>
                          </a:ln>
                        </pic:spPr>
                      </pic:pic>
                    </a:graphicData>
                  </a:graphic>
                </wp:anchor>
              </w:drawing>
            </w:r>
            <w:r>
              <w:rPr>
                <w:rFonts w:hint="eastAsia"/>
                <w:sz w:val="21"/>
                <w:szCs w:val="21"/>
              </w:rPr>
              <w:t>（签名）</w:t>
            </w:r>
          </w:p>
        </w:tc>
        <w:tc>
          <w:tcPr>
            <w:tcW w:w="1470" w:type="dxa"/>
            <w:gridSpan w:val="2"/>
            <w:tcBorders>
              <w:top w:val="double" w:color="auto" w:sz="4" w:space="0"/>
            </w:tcBorders>
            <w:vAlign w:val="center"/>
          </w:tcPr>
          <w:p w14:paraId="416C6EA9">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制/修订时间</w:t>
            </w:r>
          </w:p>
        </w:tc>
        <w:tc>
          <w:tcPr>
            <w:tcW w:w="1863" w:type="dxa"/>
            <w:gridSpan w:val="2"/>
            <w:tcBorders>
              <w:top w:val="double" w:color="auto" w:sz="4" w:space="0"/>
              <w:right w:val="single" w:color="auto" w:sz="12" w:space="0"/>
            </w:tcBorders>
            <w:vAlign w:val="center"/>
          </w:tcPr>
          <w:p w14:paraId="2744C7AB">
            <w:pPr>
              <w:widowControl w:val="0"/>
              <w:jc w:val="center"/>
              <w:rPr>
                <w:rFonts w:ascii="Times New Roman" w:hAnsi="Times New Roman"/>
                <w:color w:val="000000"/>
                <w:sz w:val="21"/>
                <w:szCs w:val="21"/>
              </w:rPr>
            </w:pPr>
            <w:r>
              <w:rPr>
                <w:rFonts w:hint="eastAsia" w:ascii="Times New Roman" w:hAnsi="Times New Roman"/>
                <w:color w:val="000000"/>
                <w:sz w:val="21"/>
                <w:szCs w:val="21"/>
                <w:lang w:val="en-US" w:eastAsia="zh-CN"/>
              </w:rPr>
              <w:t>2024年8月16日</w:t>
            </w:r>
          </w:p>
        </w:tc>
      </w:tr>
      <w:tr w14:paraId="59078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tcBorders>
            <w:shd w:val="clear" w:color="auto" w:fill="auto"/>
            <w:vAlign w:val="center"/>
          </w:tcPr>
          <w:p w14:paraId="663EE920">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专业负责人</w:t>
            </w:r>
          </w:p>
        </w:tc>
        <w:tc>
          <w:tcPr>
            <w:tcW w:w="3252" w:type="dxa"/>
            <w:gridSpan w:val="2"/>
            <w:vAlign w:val="center"/>
          </w:tcPr>
          <w:p w14:paraId="41B5A215">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t>（签名）</w:t>
            </w:r>
          </w:p>
        </w:tc>
        <w:tc>
          <w:tcPr>
            <w:tcW w:w="1470" w:type="dxa"/>
            <w:gridSpan w:val="2"/>
            <w:vAlign w:val="center"/>
          </w:tcPr>
          <w:p w14:paraId="7D642F2B">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审定时间</w:t>
            </w:r>
          </w:p>
        </w:tc>
        <w:tc>
          <w:tcPr>
            <w:tcW w:w="1863" w:type="dxa"/>
            <w:gridSpan w:val="2"/>
            <w:tcBorders>
              <w:right w:val="single" w:color="auto" w:sz="12" w:space="0"/>
            </w:tcBorders>
            <w:vAlign w:val="center"/>
          </w:tcPr>
          <w:p w14:paraId="29F6E247">
            <w:pPr>
              <w:widowControl w:val="0"/>
              <w:jc w:val="center"/>
              <w:rPr>
                <w:rFonts w:ascii="Times New Roman" w:hAnsi="Times New Roman"/>
                <w:color w:val="000000"/>
                <w:sz w:val="21"/>
                <w:szCs w:val="21"/>
              </w:rPr>
            </w:pPr>
            <w:r>
              <w:rPr>
                <w:rFonts w:hint="eastAsia" w:ascii="Times New Roman" w:hAnsi="Times New Roman"/>
                <w:color w:val="000000"/>
                <w:sz w:val="21"/>
                <w:szCs w:val="21"/>
                <w:lang w:val="en-US" w:eastAsia="zh-CN"/>
              </w:rPr>
              <w:t>2024年8</w:t>
            </w:r>
            <w:bookmarkStart w:id="6" w:name="_GoBack"/>
            <w:bookmarkEnd w:id="6"/>
            <w:r>
              <w:rPr>
                <w:rFonts w:hint="eastAsia" w:ascii="Times New Roman" w:hAnsi="Times New Roman"/>
                <w:color w:val="000000"/>
                <w:sz w:val="21"/>
                <w:szCs w:val="21"/>
                <w:lang w:val="en-US" w:eastAsia="zh-CN"/>
              </w:rPr>
              <w:t>月18日</w:t>
            </w:r>
          </w:p>
        </w:tc>
      </w:tr>
      <w:tr w14:paraId="3FB68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510" w:hRule="atLeast"/>
        </w:trPr>
        <w:tc>
          <w:tcPr>
            <w:tcW w:w="1691" w:type="dxa"/>
            <w:tcBorders>
              <w:left w:val="single" w:color="auto" w:sz="12" w:space="0"/>
              <w:bottom w:val="single" w:color="auto" w:sz="12" w:space="0"/>
            </w:tcBorders>
            <w:shd w:val="clear" w:color="auto" w:fill="auto"/>
            <w:vAlign w:val="center"/>
          </w:tcPr>
          <w:p w14:paraId="48A578E2">
            <w:pPr>
              <w:widowControl w:val="0"/>
              <w:jc w:val="center"/>
              <w:rPr>
                <w:rFonts w:ascii="黑体" w:hAnsi="黑体" w:eastAsia="黑体"/>
                <w:color w:val="000000" w:themeColor="text1"/>
                <w:sz w:val="21"/>
                <w:szCs w:val="21"/>
                <w14:textFill>
                  <w14:solidFill>
                    <w14:schemeClr w14:val="tx1"/>
                  </w14:solidFill>
                </w14:textFill>
              </w:rPr>
            </w:pPr>
            <w:r>
              <w:rPr>
                <w:rFonts w:hint="eastAsia" w:ascii="黑体" w:hAnsi="黑体" w:eastAsia="黑体"/>
                <w:color w:val="000000" w:themeColor="text1"/>
                <w:sz w:val="21"/>
                <w:szCs w:val="21"/>
                <w14:textFill>
                  <w14:solidFill>
                    <w14:schemeClr w14:val="tx1"/>
                  </w14:solidFill>
                </w14:textFill>
              </w:rPr>
              <w:t>学院负责人</w:t>
            </w:r>
          </w:p>
        </w:tc>
        <w:tc>
          <w:tcPr>
            <w:tcW w:w="3252" w:type="dxa"/>
            <w:gridSpan w:val="2"/>
            <w:tcBorders>
              <w:bottom w:val="single" w:color="auto" w:sz="12" w:space="0"/>
            </w:tcBorders>
            <w:vAlign w:val="center"/>
          </w:tcPr>
          <w:p w14:paraId="170DE194">
            <w:pPr>
              <w:widowControl w:val="0"/>
              <w:jc w:val="right"/>
              <w:rPr>
                <w:rFonts w:ascii="黑体" w:hAnsi="黑体" w:eastAsia="黑体"/>
                <w:color w:val="000000" w:themeColor="text1"/>
                <w:sz w:val="21"/>
                <w:szCs w:val="21"/>
                <w14:textFill>
                  <w14:solidFill>
                    <w14:schemeClr w14:val="tx1"/>
                  </w14:solidFill>
                </w14:textFill>
              </w:rPr>
            </w:pPr>
            <w:r>
              <w:rPr>
                <w:rFonts w:hint="eastAsia"/>
                <w:sz w:val="21"/>
                <w:szCs w:val="21"/>
              </w:rPr>
              <w:t>（签名）</w:t>
            </w:r>
          </w:p>
        </w:tc>
        <w:tc>
          <w:tcPr>
            <w:tcW w:w="1470" w:type="dxa"/>
            <w:gridSpan w:val="2"/>
            <w:tcBorders>
              <w:bottom w:val="single" w:color="auto" w:sz="12" w:space="0"/>
            </w:tcBorders>
            <w:vAlign w:val="center"/>
          </w:tcPr>
          <w:p w14:paraId="5261F205">
            <w:pPr>
              <w:widowControl w:val="0"/>
              <w:jc w:val="center"/>
              <w:rPr>
                <w:sz w:val="21"/>
                <w:szCs w:val="21"/>
              </w:rPr>
            </w:pPr>
            <w:r>
              <w:rPr>
                <w:rFonts w:hint="eastAsia" w:ascii="黑体" w:hAnsi="黑体" w:eastAsia="黑体"/>
                <w:color w:val="000000" w:themeColor="text1"/>
                <w:sz w:val="21"/>
                <w:szCs w:val="21"/>
                <w14:textFill>
                  <w14:solidFill>
                    <w14:schemeClr w14:val="tx1"/>
                  </w14:solidFill>
                </w14:textFill>
              </w:rPr>
              <w:t>批准时间</w:t>
            </w:r>
          </w:p>
        </w:tc>
        <w:tc>
          <w:tcPr>
            <w:tcW w:w="1863" w:type="dxa"/>
            <w:gridSpan w:val="2"/>
            <w:tcBorders>
              <w:bottom w:val="single" w:color="auto" w:sz="12" w:space="0"/>
              <w:right w:val="single" w:color="auto" w:sz="12" w:space="0"/>
            </w:tcBorders>
            <w:vAlign w:val="center"/>
          </w:tcPr>
          <w:p w14:paraId="6C07DB50">
            <w:pPr>
              <w:widowControl w:val="0"/>
              <w:jc w:val="center"/>
              <w:rPr>
                <w:rFonts w:ascii="Times New Roman" w:hAnsi="Times New Roman"/>
                <w:color w:val="000000"/>
                <w:sz w:val="21"/>
                <w:szCs w:val="21"/>
              </w:rPr>
            </w:pPr>
          </w:p>
        </w:tc>
      </w:tr>
    </w:tbl>
    <w:p w14:paraId="11E3CD0B">
      <w:pPr>
        <w:spacing w:line="100" w:lineRule="exact"/>
        <w:rPr>
          <w:rFonts w:ascii="Arial" w:hAnsi="Arial" w:eastAsia="黑体"/>
        </w:rPr>
      </w:pPr>
      <w:r>
        <w:br w:type="page"/>
      </w:r>
    </w:p>
    <w:p w14:paraId="3332CA32">
      <w:pPr>
        <w:pStyle w:val="16"/>
        <w:spacing w:before="326" w:beforeLines="100" w:line="360" w:lineRule="auto"/>
        <w:rPr>
          <w:rFonts w:ascii="黑体" w:hAnsi="宋体"/>
        </w:rPr>
      </w:pPr>
      <w:r>
        <w:rPr>
          <w:rFonts w:hint="eastAsia" w:ascii="黑体" w:hAnsi="宋体"/>
        </w:rPr>
        <w:t>二、课程目标与毕业要求</w:t>
      </w:r>
    </w:p>
    <w:p w14:paraId="22CF2F2F">
      <w:pPr>
        <w:pStyle w:val="17"/>
        <w:spacing w:before="81" w:after="163"/>
      </w:pPr>
      <w:r>
        <w:rPr>
          <w:rFonts w:hint="eastAsia"/>
        </w:rPr>
        <w:t xml:space="preserve">（一）课程目标 </w:t>
      </w:r>
    </w:p>
    <w:tbl>
      <w:tblPr>
        <w:tblStyle w:val="7"/>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85" w:type="dxa"/>
          <w:bottom w:w="57" w:type="dxa"/>
          <w:right w:w="85" w:type="dxa"/>
        </w:tblCellMar>
      </w:tblPr>
      <w:tblGrid>
        <w:gridCol w:w="1235"/>
        <w:gridCol w:w="782"/>
        <w:gridCol w:w="6459"/>
      </w:tblGrid>
      <w:tr w14:paraId="539779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454" w:hRule="atLeast"/>
          <w:jc w:val="center"/>
        </w:trPr>
        <w:tc>
          <w:tcPr>
            <w:tcW w:w="1235" w:type="dxa"/>
            <w:vAlign w:val="center"/>
          </w:tcPr>
          <w:p w14:paraId="000138EE">
            <w:pPr>
              <w:snapToGrid w:val="0"/>
              <w:jc w:val="center"/>
              <w:rPr>
                <w:rFonts w:ascii="黑体" w:hAnsi="黑体" w:eastAsia="黑体"/>
                <w:bCs/>
                <w:color w:val="000000"/>
                <w:sz w:val="21"/>
                <w:szCs w:val="18"/>
              </w:rPr>
            </w:pPr>
            <w:r>
              <w:rPr>
                <w:rFonts w:hint="eastAsia" w:ascii="黑体" w:hAnsi="黑体" w:eastAsia="黑体"/>
                <w:bCs/>
                <w:color w:val="000000"/>
                <w:sz w:val="21"/>
                <w:szCs w:val="18"/>
              </w:rPr>
              <w:t>类型</w:t>
            </w:r>
          </w:p>
        </w:tc>
        <w:tc>
          <w:tcPr>
            <w:tcW w:w="782" w:type="dxa"/>
            <w:shd w:val="clear" w:color="auto" w:fill="auto"/>
            <w:vAlign w:val="center"/>
          </w:tcPr>
          <w:p w14:paraId="74DA5F8F">
            <w:pPr>
              <w:snapToGrid w:val="0"/>
              <w:jc w:val="center"/>
              <w:rPr>
                <w:rFonts w:ascii="黑体" w:hAnsi="黑体" w:eastAsia="黑体"/>
                <w:bCs/>
                <w:color w:val="000000"/>
                <w:sz w:val="21"/>
                <w:szCs w:val="18"/>
              </w:rPr>
            </w:pPr>
            <w:r>
              <w:rPr>
                <w:rFonts w:hint="eastAsia" w:ascii="黑体" w:hAnsi="黑体" w:eastAsia="黑体"/>
                <w:bCs/>
                <w:color w:val="000000"/>
                <w:sz w:val="21"/>
                <w:szCs w:val="18"/>
              </w:rPr>
              <w:t>序号</w:t>
            </w:r>
          </w:p>
        </w:tc>
        <w:tc>
          <w:tcPr>
            <w:tcW w:w="6459" w:type="dxa"/>
            <w:vAlign w:val="center"/>
          </w:tcPr>
          <w:p w14:paraId="12297C72">
            <w:pPr>
              <w:snapToGrid w:val="0"/>
              <w:jc w:val="center"/>
              <w:rPr>
                <w:rFonts w:ascii="黑体" w:hAnsi="黑体" w:eastAsia="黑体"/>
                <w:bCs/>
                <w:color w:val="000000"/>
                <w:sz w:val="21"/>
                <w:szCs w:val="18"/>
              </w:rPr>
            </w:pPr>
            <w:r>
              <w:rPr>
                <w:rFonts w:hint="eastAsia" w:ascii="黑体" w:hAnsi="黑体" w:eastAsia="黑体"/>
                <w:bCs/>
                <w:color w:val="000000"/>
                <w:sz w:val="21"/>
                <w:szCs w:val="18"/>
              </w:rPr>
              <w:t>内容</w:t>
            </w:r>
          </w:p>
        </w:tc>
      </w:tr>
      <w:tr w14:paraId="4DBC37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562" w:hRule="atLeast"/>
          <w:jc w:val="center"/>
        </w:trPr>
        <w:tc>
          <w:tcPr>
            <w:tcW w:w="1235" w:type="dxa"/>
            <w:vMerge w:val="restart"/>
            <w:vAlign w:val="center"/>
          </w:tcPr>
          <w:p w14:paraId="7CBCD0A1">
            <w:pPr>
              <w:snapToGrid w:val="0"/>
              <w:jc w:val="center"/>
            </w:pPr>
            <w:r>
              <w:rPr>
                <w:rFonts w:hint="eastAsia" w:ascii="黑体" w:hAnsi="黑体" w:eastAsia="黑体"/>
                <w:bCs/>
                <w:color w:val="000000"/>
                <w:sz w:val="21"/>
                <w:szCs w:val="18"/>
              </w:rPr>
              <w:t>知识目标</w:t>
            </w:r>
          </w:p>
        </w:tc>
        <w:tc>
          <w:tcPr>
            <w:tcW w:w="782" w:type="dxa"/>
            <w:shd w:val="clear" w:color="auto" w:fill="auto"/>
            <w:vAlign w:val="center"/>
          </w:tcPr>
          <w:p w14:paraId="4EFE9960">
            <w:pPr>
              <w:snapToGrid w:val="0"/>
              <w:jc w:val="center"/>
              <w:rPr>
                <w:rFonts w:hint="default" w:ascii="Times New Roman" w:hAnsi="Times New Roman" w:eastAsia="宋体" w:cs="Times New Roman"/>
                <w:bCs/>
                <w:color w:val="000000"/>
                <w:sz w:val="21"/>
                <w:szCs w:val="18"/>
              </w:rPr>
            </w:pPr>
            <w:r>
              <w:rPr>
                <w:rFonts w:hint="default" w:ascii="Times New Roman" w:hAnsi="Times New Roman" w:eastAsia="宋体" w:cs="Times New Roman"/>
                <w:bCs/>
                <w:color w:val="000000"/>
                <w:sz w:val="21"/>
                <w:szCs w:val="18"/>
              </w:rPr>
              <w:t>1</w:t>
            </w:r>
          </w:p>
        </w:tc>
        <w:tc>
          <w:tcPr>
            <w:tcW w:w="6459" w:type="dxa"/>
            <w:vAlign w:val="center"/>
          </w:tcPr>
          <w:p w14:paraId="1734E4BC">
            <w:pPr>
              <w:keepNext w:val="0"/>
              <w:keepLines w:val="0"/>
              <w:widowControl/>
              <w:suppressLineNumbers w:val="0"/>
              <w:jc w:val="left"/>
              <w:rPr>
                <w:rFonts w:hint="default" w:ascii="Times New Roman" w:hAnsi="Times New Roman" w:cs="Times New Roman"/>
                <w:b/>
                <w:bCs w:val="0"/>
                <w:color w:val="000000"/>
                <w:sz w:val="21"/>
                <w:szCs w:val="18"/>
                <w:lang w:val="en-US" w:eastAsia="zh-CN"/>
              </w:rPr>
            </w:pPr>
            <w:r>
              <w:rPr>
                <w:rFonts w:hint="default" w:ascii="Times New Roman" w:hAnsi="Times New Roman" w:cs="Times New Roman"/>
                <w:b/>
                <w:bCs w:val="0"/>
                <w:color w:val="000000"/>
                <w:sz w:val="21"/>
                <w:szCs w:val="18"/>
                <w:lang w:val="en-US" w:eastAsia="zh-CN"/>
              </w:rPr>
              <w:t>掌握振动波动、光学和热学的基本概念、基本理论和基本方法。</w:t>
            </w:r>
          </w:p>
          <w:p w14:paraId="48F02DCF">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使学生对</w:t>
            </w:r>
            <w:r>
              <w:rPr>
                <w:rFonts w:hint="eastAsia" w:ascii="Times New Roman" w:hAnsi="Times New Roman" w:cs="Times New Roman"/>
                <w:bCs/>
                <w:color w:val="000000"/>
                <w:sz w:val="21"/>
                <w:szCs w:val="18"/>
                <w:lang w:val="en-US" w:eastAsia="zh-CN"/>
              </w:rPr>
              <w:t>振动</w:t>
            </w:r>
            <w:r>
              <w:rPr>
                <w:rFonts w:hint="default" w:ascii="Times New Roman" w:hAnsi="Times New Roman" w:cs="Times New Roman"/>
                <w:b w:val="0"/>
                <w:bCs/>
                <w:color w:val="000000"/>
                <w:sz w:val="21"/>
                <w:szCs w:val="18"/>
                <w:lang w:val="en-US" w:eastAsia="zh-CN"/>
              </w:rPr>
              <w:t>波动、光学和热学</w:t>
            </w:r>
            <w:r>
              <w:rPr>
                <w:rFonts w:hint="default" w:ascii="Times New Roman" w:hAnsi="Times New Roman" w:cs="Times New Roman"/>
                <w:bCs/>
                <w:color w:val="000000"/>
                <w:sz w:val="21"/>
                <w:szCs w:val="18"/>
                <w:lang w:val="en-US" w:eastAsia="zh-CN"/>
              </w:rPr>
              <w:t>的基本概念、基本原理和基本规律有较全面系统地认识，了解各种运动形式之间的联系以及物理学的近现代发展和成就。</w:t>
            </w:r>
          </w:p>
        </w:tc>
      </w:tr>
      <w:tr w14:paraId="2D45C0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436" w:hRule="atLeast"/>
          <w:jc w:val="center"/>
        </w:trPr>
        <w:tc>
          <w:tcPr>
            <w:tcW w:w="1235" w:type="dxa"/>
            <w:vMerge w:val="restart"/>
            <w:vAlign w:val="center"/>
          </w:tcPr>
          <w:p w14:paraId="3CE577D9">
            <w:pPr>
              <w:snapToGrid w:val="0"/>
              <w:jc w:val="center"/>
            </w:pPr>
            <w:r>
              <w:rPr>
                <w:rFonts w:hint="eastAsia" w:ascii="黑体" w:hAnsi="黑体" w:eastAsia="黑体"/>
                <w:bCs/>
                <w:color w:val="000000"/>
                <w:sz w:val="21"/>
                <w:szCs w:val="18"/>
              </w:rPr>
              <w:t>技能目标</w:t>
            </w:r>
          </w:p>
        </w:tc>
        <w:tc>
          <w:tcPr>
            <w:tcW w:w="782" w:type="dxa"/>
            <w:shd w:val="clear" w:color="auto" w:fill="auto"/>
            <w:vAlign w:val="center"/>
          </w:tcPr>
          <w:p w14:paraId="2A62ECD6">
            <w:pPr>
              <w:snapToGrid w:val="0"/>
              <w:jc w:val="center"/>
              <w:rPr>
                <w:rFonts w:hint="default" w:ascii="Times New Roman" w:hAnsi="Times New Roman" w:eastAsia="宋体" w:cs="Times New Roman"/>
                <w:bCs/>
                <w:color w:val="000000"/>
                <w:sz w:val="21"/>
                <w:szCs w:val="18"/>
                <w:lang w:eastAsia="zh-CN"/>
              </w:rPr>
            </w:pPr>
            <w:r>
              <w:rPr>
                <w:rFonts w:hint="default" w:ascii="Times New Roman" w:hAnsi="Times New Roman" w:eastAsia="宋体" w:cs="Times New Roman"/>
                <w:bCs/>
                <w:color w:val="000000"/>
                <w:sz w:val="21"/>
                <w:szCs w:val="18"/>
                <w:lang w:val="en-US" w:eastAsia="zh-CN"/>
              </w:rPr>
              <w:t>2</w:t>
            </w:r>
          </w:p>
        </w:tc>
        <w:tc>
          <w:tcPr>
            <w:tcW w:w="6459" w:type="dxa"/>
            <w:vAlign w:val="center"/>
          </w:tcPr>
          <w:p w14:paraId="19CFC86A">
            <w:pPr>
              <w:keepNext w:val="0"/>
              <w:keepLines w:val="0"/>
              <w:widowControl/>
              <w:suppressLineNumbers w:val="0"/>
              <w:jc w:val="left"/>
              <w:rPr>
                <w:rFonts w:hint="default" w:ascii="Times New Roman" w:hAnsi="Times New Roman" w:cs="Times New Roman"/>
                <w:b/>
                <w:bCs w:val="0"/>
                <w:color w:val="000000"/>
                <w:sz w:val="21"/>
                <w:szCs w:val="18"/>
                <w:lang w:val="en-US" w:eastAsia="zh-CN"/>
              </w:rPr>
            </w:pPr>
            <w:r>
              <w:rPr>
                <w:rFonts w:hint="default" w:ascii="Times New Roman" w:hAnsi="Times New Roman" w:cs="Times New Roman"/>
                <w:b/>
                <w:bCs w:val="0"/>
                <w:color w:val="000000"/>
                <w:sz w:val="21"/>
                <w:szCs w:val="18"/>
                <w:lang w:val="en-US" w:eastAsia="zh-CN"/>
              </w:rPr>
              <w:t xml:space="preserve">进行科学思维方法和运算能力的训练。 </w:t>
            </w:r>
          </w:p>
          <w:p w14:paraId="489F8C6B">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使学生在运算能力、抽象思维能力和对世界的认识能力等方面受到初步训练；熟悉研究物理学的基本思想和基本方法；培养学生判断、推理、归纳的逻辑思维 能力；细致、敏锐、准确的观察能力、想象创造力，逐步建立科学思维方法和运算能力。</w:t>
            </w:r>
          </w:p>
        </w:tc>
      </w:tr>
      <w:tr w14:paraId="010362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505" w:hRule="atLeast"/>
          <w:jc w:val="center"/>
        </w:trPr>
        <w:tc>
          <w:tcPr>
            <w:tcW w:w="1235" w:type="dxa"/>
            <w:vMerge w:val="continue"/>
            <w:vAlign w:val="center"/>
          </w:tcPr>
          <w:p w14:paraId="16428A9C">
            <w:pPr>
              <w:snapToGrid w:val="0"/>
              <w:jc w:val="center"/>
              <w:rPr>
                <w:rFonts w:hint="eastAsia" w:ascii="黑体" w:hAnsi="黑体" w:eastAsia="黑体"/>
                <w:bCs/>
                <w:color w:val="000000"/>
                <w:sz w:val="21"/>
                <w:szCs w:val="18"/>
              </w:rPr>
            </w:pPr>
          </w:p>
        </w:tc>
        <w:tc>
          <w:tcPr>
            <w:tcW w:w="782" w:type="dxa"/>
            <w:shd w:val="clear" w:color="auto" w:fill="auto"/>
            <w:vAlign w:val="center"/>
          </w:tcPr>
          <w:p w14:paraId="23A83A93">
            <w:pPr>
              <w:snapToGrid w:val="0"/>
              <w:jc w:val="center"/>
              <w:rPr>
                <w:rFonts w:hint="default" w:ascii="Times New Roman" w:hAnsi="Times New Roman" w:eastAsia="宋体" w:cs="Times New Roman"/>
                <w:bCs/>
                <w:color w:val="000000"/>
                <w:sz w:val="21"/>
                <w:szCs w:val="18"/>
                <w:lang w:val="en-US" w:eastAsia="zh-CN"/>
              </w:rPr>
            </w:pPr>
            <w:r>
              <w:rPr>
                <w:rFonts w:hint="default" w:ascii="Times New Roman" w:hAnsi="Times New Roman" w:eastAsia="宋体" w:cs="Times New Roman"/>
                <w:bCs/>
                <w:color w:val="000000"/>
                <w:sz w:val="21"/>
                <w:szCs w:val="18"/>
                <w:lang w:val="en-US" w:eastAsia="zh-CN"/>
              </w:rPr>
              <w:t>3</w:t>
            </w:r>
          </w:p>
        </w:tc>
        <w:tc>
          <w:tcPr>
            <w:tcW w:w="6459" w:type="dxa"/>
            <w:vAlign w:val="center"/>
          </w:tcPr>
          <w:p w14:paraId="44FA49AF">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
                <w:bCs w:val="0"/>
                <w:color w:val="000000"/>
                <w:sz w:val="21"/>
                <w:szCs w:val="18"/>
                <w:lang w:val="en-US" w:eastAsia="zh-CN"/>
              </w:rPr>
              <w:t>应用物理学基本原理对工程问题建模和解决问题。</w:t>
            </w:r>
            <w:r>
              <w:rPr>
                <w:rFonts w:hint="default" w:ascii="Times New Roman" w:hAnsi="Times New Roman" w:cs="Times New Roman"/>
                <w:bCs/>
                <w:color w:val="000000"/>
                <w:sz w:val="21"/>
                <w:szCs w:val="18"/>
                <w:lang w:val="en-US" w:eastAsia="zh-CN"/>
              </w:rPr>
              <w:t xml:space="preserve"> </w:t>
            </w:r>
          </w:p>
          <w:p w14:paraId="3840B097">
            <w:pPr>
              <w:keepNext w:val="0"/>
              <w:keepLines w:val="0"/>
              <w:widowControl/>
              <w:suppressLineNumbers w:val="0"/>
              <w:jc w:val="left"/>
              <w:rPr>
                <w:rFonts w:hint="default" w:ascii="Times New Roman" w:hAnsi="Times New Roman" w:eastAsia="宋体"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培养学生分析问题和解决问题的能力，使学生在学习物理学知识的同时,能够具有运用物理学原理处理、解决实际问题的能力。</w:t>
            </w:r>
          </w:p>
        </w:tc>
      </w:tr>
      <w:tr w14:paraId="694BB4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235" w:type="dxa"/>
            <w:vAlign w:val="center"/>
          </w:tcPr>
          <w:p w14:paraId="214BF739">
            <w:pPr>
              <w:snapToGrid w:val="0"/>
              <w:jc w:val="center"/>
              <w:rPr>
                <w:rFonts w:ascii="Arial" w:hAnsi="Arial" w:eastAsia="黑体" w:cs="Arial"/>
                <w:bCs/>
                <w:color w:val="000000"/>
                <w:sz w:val="21"/>
                <w:szCs w:val="18"/>
              </w:rPr>
            </w:pPr>
            <w:r>
              <w:rPr>
                <w:rFonts w:hint="eastAsia" w:ascii="Arial" w:hAnsi="Arial" w:eastAsia="黑体" w:cs="Arial"/>
                <w:bCs/>
                <w:color w:val="000000"/>
                <w:sz w:val="21"/>
                <w:szCs w:val="18"/>
              </w:rPr>
              <w:t>素养目标</w:t>
            </w:r>
          </w:p>
          <w:p w14:paraId="7EE845EC">
            <w:pPr>
              <w:snapToGrid w:val="0"/>
              <w:jc w:val="center"/>
            </w:pPr>
            <w:r>
              <w:rPr>
                <w:rFonts w:hint="eastAsia" w:ascii="黑体" w:hAnsi="黑体" w:eastAsia="黑体"/>
                <w:bCs/>
                <w:color w:val="000000"/>
                <w:sz w:val="21"/>
                <w:szCs w:val="18"/>
              </w:rPr>
              <w:t>(含课程思政目标</w:t>
            </w:r>
            <w:r>
              <w:rPr>
                <w:rFonts w:ascii="黑体" w:hAnsi="黑体" w:eastAsia="黑体"/>
                <w:bCs/>
                <w:color w:val="000000"/>
                <w:sz w:val="21"/>
                <w:szCs w:val="18"/>
              </w:rPr>
              <w:t>)</w:t>
            </w:r>
          </w:p>
        </w:tc>
        <w:tc>
          <w:tcPr>
            <w:tcW w:w="782" w:type="dxa"/>
            <w:shd w:val="clear" w:color="auto" w:fill="auto"/>
            <w:vAlign w:val="center"/>
          </w:tcPr>
          <w:p w14:paraId="1C3623A8">
            <w:pPr>
              <w:snapToGrid w:val="0"/>
              <w:jc w:val="center"/>
              <w:rPr>
                <w:rFonts w:hint="default" w:ascii="Times New Roman" w:hAnsi="Times New Roman" w:eastAsia="宋体" w:cs="Times New Roman"/>
                <w:bCs/>
                <w:color w:val="000000"/>
                <w:sz w:val="21"/>
                <w:szCs w:val="18"/>
                <w:lang w:eastAsia="zh-CN"/>
              </w:rPr>
            </w:pPr>
            <w:r>
              <w:rPr>
                <w:rFonts w:hint="default" w:ascii="Times New Roman" w:hAnsi="Times New Roman" w:eastAsia="宋体" w:cs="Times New Roman"/>
                <w:bCs/>
                <w:color w:val="000000"/>
                <w:sz w:val="21"/>
                <w:szCs w:val="18"/>
                <w:lang w:val="en-US" w:eastAsia="zh-CN"/>
              </w:rPr>
              <w:t>4</w:t>
            </w:r>
          </w:p>
        </w:tc>
        <w:tc>
          <w:tcPr>
            <w:tcW w:w="6459" w:type="dxa"/>
            <w:vAlign w:val="center"/>
          </w:tcPr>
          <w:p w14:paraId="3CF2BE1E">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
                <w:bCs w:val="0"/>
                <w:color w:val="000000"/>
                <w:sz w:val="21"/>
                <w:szCs w:val="18"/>
                <w:lang w:val="en-US" w:eastAsia="zh-CN"/>
              </w:rPr>
              <w:t>结合辩证唯物主义培养学生的科学精神和科学素质。</w:t>
            </w:r>
            <w:r>
              <w:rPr>
                <w:rFonts w:hint="default" w:ascii="Times New Roman" w:hAnsi="Times New Roman" w:cs="Times New Roman"/>
                <w:bCs/>
                <w:color w:val="000000"/>
                <w:sz w:val="21"/>
                <w:szCs w:val="18"/>
                <w:lang w:val="en-US" w:eastAsia="zh-CN"/>
              </w:rPr>
              <w:t xml:space="preserve"> </w:t>
            </w:r>
          </w:p>
          <w:p w14:paraId="1DDDDEAC">
            <w:pPr>
              <w:keepNext w:val="0"/>
              <w:keepLines w:val="0"/>
              <w:widowControl/>
              <w:suppressLineNumbers w:val="0"/>
              <w:jc w:val="left"/>
              <w:rPr>
                <w:rFonts w:hint="default" w:ascii="Times New Roman" w:hAnsi="Times New Roman" w:eastAsia="宋体" w:cs="Times New Roman"/>
                <w:bCs/>
                <w:color w:val="000000"/>
                <w:sz w:val="21"/>
                <w:szCs w:val="18"/>
              </w:rPr>
            </w:pPr>
            <w:r>
              <w:rPr>
                <w:rFonts w:hint="default" w:ascii="Times New Roman" w:hAnsi="Times New Roman" w:cs="Times New Roman"/>
                <w:bCs/>
                <w:color w:val="000000"/>
                <w:sz w:val="21"/>
                <w:szCs w:val="18"/>
                <w:lang w:val="en-US" w:eastAsia="zh-CN"/>
              </w:rPr>
              <w:t>充分发挥本课程在培养学生辩证唯物主义世界观方面的作用,进行课程思政教育。作为处在当今科学、社会高速发展阶段的大学生，不仅应通过学习中国古人的物理学智慧培养学生的民族自豪感，同时应通过学习老一辈物理学家的爱国奉献精神，树立正确的人生观，坚定共产主义信念和社会主义核心价值观。</w:t>
            </w:r>
          </w:p>
        </w:tc>
      </w:tr>
    </w:tbl>
    <w:p w14:paraId="2DD31BCA">
      <w:pPr>
        <w:pStyle w:val="17"/>
        <w:spacing w:before="163" w:beforeLines="50" w:after="163"/>
      </w:pPr>
      <w:r>
        <w:rPr>
          <w:rFonts w:hint="eastAsia"/>
        </w:rPr>
        <w:t>（二）课程支撑的毕业要求</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Layout w:type="autofit"/>
        <w:tblCellMar>
          <w:top w:w="0" w:type="dxa"/>
          <w:left w:w="108" w:type="dxa"/>
          <w:bottom w:w="0" w:type="dxa"/>
          <w:right w:w="108" w:type="dxa"/>
        </w:tblCellMar>
      </w:tblPr>
      <w:tblGrid>
        <w:gridCol w:w="8296"/>
      </w:tblGrid>
      <w:tr w14:paraId="59DB21B7">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325E8062">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L01品德修养①爱党爱国，坚决拥护党的领导，热爱祖国的大好河山、悠久历史、灿烂文化，自觉维护民族利益和国家尊严。</w:t>
            </w:r>
          </w:p>
        </w:tc>
      </w:tr>
      <w:tr w14:paraId="0C0BD22D">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2147D388">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w:t>
            </w:r>
            <w:r>
              <w:rPr>
                <w:rFonts w:hint="eastAsia" w:ascii="Times New Roman" w:hAnsi="Times New Roman" w:cs="Times New Roman"/>
                <w:bCs/>
                <w:color w:val="000000"/>
                <w:sz w:val="21"/>
                <w:szCs w:val="18"/>
                <w:lang w:val="en-US" w:eastAsia="zh-CN"/>
              </w:rPr>
              <w:t>0</w:t>
            </w:r>
            <w:r>
              <w:rPr>
                <w:rFonts w:hint="default" w:ascii="Times New Roman" w:hAnsi="Times New Roman" w:cs="Times New Roman"/>
                <w:bCs/>
                <w:color w:val="000000"/>
                <w:sz w:val="21"/>
                <w:szCs w:val="18"/>
                <w:lang w:val="en-US" w:eastAsia="zh-CN"/>
              </w:rPr>
              <w:t>2专业能力①具有专业所需的人文科学素养。</w:t>
            </w:r>
          </w:p>
        </w:tc>
      </w:tr>
      <w:tr w14:paraId="772695ED">
        <w:tblPrEx>
          <w:tblBorders>
            <w:top w:val="single" w:color="auto" w:sz="12" w:space="0"/>
            <w:left w:val="single" w:color="auto" w:sz="12" w:space="0"/>
            <w:bottom w:val="single" w:color="auto" w:sz="12" w:space="0"/>
            <w:right w:val="single" w:color="auto" w:sz="12" w:space="0"/>
            <w:insideH w:val="single" w:color="auto" w:sz="4" w:space="0"/>
            <w:insideV w:val="none" w:color="auto" w:sz="0" w:space="0"/>
          </w:tblBorders>
          <w:tblCellMar>
            <w:top w:w="0" w:type="dxa"/>
            <w:left w:w="108" w:type="dxa"/>
            <w:bottom w:w="0" w:type="dxa"/>
            <w:right w:w="108" w:type="dxa"/>
          </w:tblCellMar>
        </w:tblPrEx>
        <w:tc>
          <w:tcPr>
            <w:tcW w:w="8296" w:type="dxa"/>
          </w:tcPr>
          <w:p w14:paraId="0C5EC4ED">
            <w:pPr>
              <w:keepNext w:val="0"/>
              <w:keepLines w:val="0"/>
              <w:widowControl/>
              <w:suppressLineNumbers w:val="0"/>
              <w:jc w:val="left"/>
              <w:rPr>
                <w:rFonts w:hint="default" w:ascii="Times New Roman" w:hAnsi="Times New Roman" w:cs="Times New Roman"/>
                <w:bCs/>
                <w:color w:val="000000"/>
                <w:sz w:val="21"/>
                <w:szCs w:val="18"/>
                <w:lang w:val="en-US" w:eastAsia="zh-CN"/>
              </w:rPr>
            </w:pPr>
            <w:r>
              <w:rPr>
                <w:rFonts w:hint="default" w:ascii="Times New Roman" w:hAnsi="Times New Roman" w:cs="Times New Roman"/>
                <w:bCs/>
                <w:color w:val="000000"/>
                <w:sz w:val="21"/>
                <w:szCs w:val="18"/>
                <w:lang w:val="en-US" w:eastAsia="zh-CN"/>
              </w:rPr>
              <w:t>L</w:t>
            </w:r>
            <w:r>
              <w:rPr>
                <w:rFonts w:hint="eastAsia" w:ascii="Times New Roman" w:hAnsi="Times New Roman" w:cs="Times New Roman"/>
                <w:bCs/>
                <w:color w:val="000000"/>
                <w:sz w:val="21"/>
                <w:szCs w:val="18"/>
                <w:lang w:val="en-US" w:eastAsia="zh-CN"/>
              </w:rPr>
              <w:t>0</w:t>
            </w:r>
            <w:r>
              <w:rPr>
                <w:rFonts w:hint="default" w:ascii="Times New Roman" w:hAnsi="Times New Roman" w:cs="Times New Roman"/>
                <w:bCs/>
                <w:color w:val="000000"/>
                <w:sz w:val="21"/>
                <w:szCs w:val="18"/>
                <w:lang w:val="en-US" w:eastAsia="zh-CN"/>
              </w:rPr>
              <w:t>4自主学习②能搜集、获取达到目标所需要的学习资源，实施学习计划、反思学习计划、持续改进，达到学习目标。</w:t>
            </w:r>
          </w:p>
        </w:tc>
      </w:tr>
    </w:tbl>
    <w:p w14:paraId="6108DAB2">
      <w:pPr>
        <w:pStyle w:val="17"/>
        <w:spacing w:before="163" w:beforeLines="50" w:after="163"/>
      </w:pPr>
      <w:r>
        <w:rPr>
          <w:rFonts w:hint="eastAsia"/>
        </w:rPr>
        <w:t xml:space="preserve">（三）毕业要求与课程目标的关系 </w:t>
      </w:r>
    </w:p>
    <w:tbl>
      <w:tblPr>
        <w:tblStyle w:val="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777"/>
        <w:gridCol w:w="794"/>
        <w:gridCol w:w="794"/>
        <w:gridCol w:w="4763"/>
        <w:gridCol w:w="1348"/>
      </w:tblGrid>
      <w:tr w14:paraId="7685D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91" w:hRule="atLeast"/>
          <w:jc w:val="center"/>
        </w:trPr>
        <w:tc>
          <w:tcPr>
            <w:tcW w:w="777" w:type="dxa"/>
            <w:tcBorders>
              <w:top w:val="single" w:color="auto" w:sz="12" w:space="0"/>
              <w:left w:val="single" w:color="auto" w:sz="12" w:space="0"/>
              <w:right w:val="single" w:color="auto" w:sz="4" w:space="0"/>
            </w:tcBorders>
            <w:shd w:val="clear" w:color="auto" w:fill="auto"/>
            <w:vAlign w:val="center"/>
          </w:tcPr>
          <w:p w14:paraId="0EB8461A">
            <w:pPr>
              <w:pStyle w:val="13"/>
              <w:rPr>
                <w:szCs w:val="16"/>
              </w:rPr>
            </w:pPr>
            <w:r>
              <w:rPr>
                <w:rFonts w:hint="eastAsia" w:ascii="黑体" w:hAnsi="黑体"/>
                <w:szCs w:val="18"/>
              </w:rPr>
              <w:t>毕业要求</w:t>
            </w:r>
          </w:p>
        </w:tc>
        <w:tc>
          <w:tcPr>
            <w:tcW w:w="794" w:type="dxa"/>
            <w:tcBorders>
              <w:top w:val="single" w:color="auto" w:sz="12" w:space="0"/>
              <w:left w:val="single" w:color="auto" w:sz="4" w:space="0"/>
            </w:tcBorders>
            <w:vAlign w:val="center"/>
          </w:tcPr>
          <w:p w14:paraId="7295E295">
            <w:pPr>
              <w:pStyle w:val="13"/>
              <w:rPr>
                <w:szCs w:val="16"/>
              </w:rPr>
            </w:pPr>
            <w:r>
              <w:rPr>
                <w:rFonts w:hint="eastAsia"/>
                <w:szCs w:val="16"/>
              </w:rPr>
              <w:t>指标点</w:t>
            </w:r>
          </w:p>
        </w:tc>
        <w:tc>
          <w:tcPr>
            <w:tcW w:w="794" w:type="dxa"/>
            <w:tcBorders>
              <w:top w:val="single" w:color="auto" w:sz="12" w:space="0"/>
              <w:right w:val="double" w:color="auto" w:sz="4" w:space="0"/>
            </w:tcBorders>
            <w:shd w:val="clear" w:color="auto" w:fill="auto"/>
            <w:vAlign w:val="center"/>
          </w:tcPr>
          <w:p w14:paraId="3A54279D">
            <w:pPr>
              <w:pStyle w:val="13"/>
              <w:rPr>
                <w:szCs w:val="16"/>
              </w:rPr>
            </w:pPr>
            <w:r>
              <w:rPr>
                <w:rFonts w:hint="eastAsia"/>
                <w:szCs w:val="16"/>
              </w:rPr>
              <w:t>支撑度</w:t>
            </w:r>
          </w:p>
        </w:tc>
        <w:tc>
          <w:tcPr>
            <w:tcW w:w="4763" w:type="dxa"/>
            <w:tcBorders>
              <w:top w:val="single" w:color="auto" w:sz="12" w:space="0"/>
            </w:tcBorders>
            <w:vAlign w:val="center"/>
          </w:tcPr>
          <w:p w14:paraId="0A9A13ED">
            <w:pPr>
              <w:pStyle w:val="13"/>
              <w:rPr>
                <w:szCs w:val="16"/>
              </w:rPr>
            </w:pPr>
            <w:r>
              <w:rPr>
                <w:rFonts w:hint="eastAsia"/>
                <w:szCs w:val="16"/>
              </w:rPr>
              <w:t>课程目标</w:t>
            </w:r>
          </w:p>
        </w:tc>
        <w:tc>
          <w:tcPr>
            <w:tcW w:w="1348" w:type="dxa"/>
            <w:tcBorders>
              <w:top w:val="single" w:color="auto" w:sz="12" w:space="0"/>
              <w:right w:val="single" w:color="auto" w:sz="12" w:space="0"/>
            </w:tcBorders>
            <w:vAlign w:val="center"/>
          </w:tcPr>
          <w:p w14:paraId="4C7D4D3F">
            <w:pPr>
              <w:pStyle w:val="13"/>
              <w:rPr>
                <w:szCs w:val="16"/>
              </w:rPr>
            </w:pPr>
            <w:r>
              <w:rPr>
                <w:rFonts w:hint="eastAsia"/>
                <w:szCs w:val="16"/>
              </w:rPr>
              <w:t>对指标点的贡献度</w:t>
            </w:r>
          </w:p>
        </w:tc>
      </w:tr>
      <w:tr w14:paraId="3A030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90" w:hRule="atLeast"/>
          <w:jc w:val="center"/>
        </w:trPr>
        <w:tc>
          <w:tcPr>
            <w:tcW w:w="777" w:type="dxa"/>
            <w:tcBorders>
              <w:left w:val="single" w:color="auto" w:sz="12" w:space="0"/>
              <w:right w:val="single" w:color="auto" w:sz="4" w:space="0"/>
            </w:tcBorders>
            <w:shd w:val="clear" w:color="auto" w:fill="auto"/>
            <w:vAlign w:val="center"/>
          </w:tcPr>
          <w:p w14:paraId="24B3320B">
            <w:pPr>
              <w:pStyle w:val="14"/>
              <w:rPr>
                <w:rFonts w:hint="default" w:ascii="Times New Roman" w:hAnsi="Times New Roman" w:cs="Times New Roman"/>
              </w:rPr>
            </w:pPr>
            <w:r>
              <w:rPr>
                <w:rFonts w:hint="default" w:ascii="Times New Roman" w:hAnsi="Times New Roman" w:cs="Times New Roman"/>
                <w:bCs/>
                <w:lang w:val="en-US" w:eastAsia="zh-CN"/>
              </w:rPr>
              <w:t>L01</w:t>
            </w:r>
          </w:p>
        </w:tc>
        <w:tc>
          <w:tcPr>
            <w:tcW w:w="794" w:type="dxa"/>
            <w:tcBorders>
              <w:left w:val="single" w:color="auto" w:sz="4" w:space="0"/>
            </w:tcBorders>
            <w:vAlign w:val="center"/>
          </w:tcPr>
          <w:p w14:paraId="331114D6">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w:t>
            </w:r>
          </w:p>
        </w:tc>
        <w:tc>
          <w:tcPr>
            <w:tcW w:w="794" w:type="dxa"/>
            <w:tcBorders>
              <w:right w:val="double" w:color="auto" w:sz="4" w:space="0"/>
            </w:tcBorders>
            <w:shd w:val="clear" w:color="auto" w:fill="auto"/>
            <w:vAlign w:val="center"/>
          </w:tcPr>
          <w:p w14:paraId="0D7365DA">
            <w:pPr>
              <w:pStyle w:val="14"/>
              <w:rPr>
                <w:rFonts w:hint="default" w:ascii="Times New Roman" w:hAnsi="Times New Roman" w:eastAsia="宋体" w:cs="Times New Roman"/>
                <w:lang w:val="en-US" w:eastAsia="zh-CN"/>
              </w:rPr>
            </w:pPr>
            <w:r>
              <w:rPr>
                <w:rFonts w:hint="default" w:ascii="Times New Roman" w:hAnsi="Times New Roman" w:cs="Times New Roman"/>
                <w:lang w:val="en-US" w:eastAsia="zh-CN"/>
              </w:rPr>
              <w:t>M</w:t>
            </w:r>
          </w:p>
        </w:tc>
        <w:tc>
          <w:tcPr>
            <w:tcW w:w="4763" w:type="dxa"/>
            <w:vAlign w:val="center"/>
          </w:tcPr>
          <w:p w14:paraId="000A00B3">
            <w:pPr>
              <w:pStyle w:val="14"/>
              <w:jc w:val="left"/>
              <w:rPr>
                <w:rFonts w:hint="default" w:ascii="Times New Roman" w:hAnsi="Times New Roman" w:eastAsia="宋体" w:cs="Times New Roman"/>
                <w:b w:val="0"/>
                <w:bCs/>
                <w:sz w:val="21"/>
                <w:szCs w:val="21"/>
                <w:lang w:val="en-US" w:eastAsia="zh-CN"/>
              </w:rPr>
            </w:pPr>
            <w:r>
              <w:rPr>
                <w:rFonts w:hint="default" w:ascii="Times New Roman" w:hAnsi="Times New Roman" w:cs="Times New Roman"/>
                <w:b w:val="0"/>
                <w:bCs/>
                <w:sz w:val="21"/>
                <w:szCs w:val="21"/>
                <w:lang w:val="en-US" w:eastAsia="zh-CN"/>
              </w:rPr>
              <w:t>4、</w:t>
            </w:r>
            <w:r>
              <w:rPr>
                <w:rFonts w:hint="default" w:ascii="Times New Roman" w:hAnsi="Times New Roman" w:cs="Times New Roman"/>
                <w:b w:val="0"/>
                <w:bCs/>
                <w:color w:val="000000"/>
                <w:sz w:val="21"/>
                <w:szCs w:val="21"/>
                <w:lang w:val="en-US" w:eastAsia="zh-CN"/>
              </w:rPr>
              <w:t>结合辩证唯物主义培养学生的科学精神和科学素质。</w:t>
            </w:r>
          </w:p>
        </w:tc>
        <w:tc>
          <w:tcPr>
            <w:tcW w:w="1348" w:type="dxa"/>
            <w:tcBorders>
              <w:right w:val="single" w:color="auto" w:sz="12" w:space="0"/>
            </w:tcBorders>
            <w:vAlign w:val="center"/>
          </w:tcPr>
          <w:p w14:paraId="42A90969">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100%</w:t>
            </w:r>
          </w:p>
        </w:tc>
      </w:tr>
      <w:tr w14:paraId="690F7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261" w:hRule="atLeast"/>
          <w:jc w:val="center"/>
        </w:trPr>
        <w:tc>
          <w:tcPr>
            <w:tcW w:w="777" w:type="dxa"/>
            <w:vMerge w:val="restart"/>
            <w:tcBorders>
              <w:left w:val="single" w:color="auto" w:sz="12" w:space="0"/>
              <w:right w:val="single" w:color="auto" w:sz="4" w:space="0"/>
            </w:tcBorders>
            <w:shd w:val="clear" w:color="auto" w:fill="auto"/>
            <w:vAlign w:val="center"/>
          </w:tcPr>
          <w:p w14:paraId="54204E37">
            <w:pPr>
              <w:pStyle w:val="14"/>
              <w:rPr>
                <w:rFonts w:hint="default" w:ascii="Times New Roman" w:hAnsi="Times New Roman" w:cs="Times New Roman"/>
              </w:rPr>
            </w:pPr>
            <w:r>
              <w:rPr>
                <w:rFonts w:hint="default" w:ascii="Times New Roman" w:hAnsi="Times New Roman" w:cs="Times New Roman"/>
                <w:bCs/>
                <w:lang w:val="en-US" w:eastAsia="zh-CN"/>
              </w:rPr>
              <w:t>L02</w:t>
            </w:r>
          </w:p>
        </w:tc>
        <w:tc>
          <w:tcPr>
            <w:tcW w:w="794" w:type="dxa"/>
            <w:vMerge w:val="restart"/>
            <w:tcBorders>
              <w:left w:val="single" w:color="auto" w:sz="4" w:space="0"/>
            </w:tcBorders>
            <w:vAlign w:val="center"/>
          </w:tcPr>
          <w:p w14:paraId="5871F670">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1</w:t>
            </w:r>
          </w:p>
        </w:tc>
        <w:tc>
          <w:tcPr>
            <w:tcW w:w="794" w:type="dxa"/>
            <w:vMerge w:val="restart"/>
            <w:tcBorders>
              <w:right w:val="double" w:color="auto" w:sz="4" w:space="0"/>
            </w:tcBorders>
            <w:shd w:val="clear" w:color="auto" w:fill="auto"/>
            <w:vAlign w:val="center"/>
          </w:tcPr>
          <w:p w14:paraId="06285230">
            <w:pPr>
              <w:pStyle w:val="14"/>
              <w:rPr>
                <w:rFonts w:hint="default" w:ascii="Times New Roman" w:hAnsi="Times New Roman" w:eastAsia="宋体" w:cs="Times New Roman"/>
                <w:lang w:val="en-US" w:eastAsia="zh-CN"/>
              </w:rPr>
            </w:pPr>
            <w:r>
              <w:rPr>
                <w:rFonts w:hint="default" w:ascii="Times New Roman" w:hAnsi="Times New Roman" w:cs="Times New Roman"/>
                <w:lang w:val="en-US" w:eastAsia="zh-CN"/>
              </w:rPr>
              <w:t>H</w:t>
            </w:r>
          </w:p>
        </w:tc>
        <w:tc>
          <w:tcPr>
            <w:tcW w:w="4763" w:type="dxa"/>
            <w:vAlign w:val="center"/>
          </w:tcPr>
          <w:p w14:paraId="43813EFB">
            <w:pPr>
              <w:keepNext w:val="0"/>
              <w:keepLines w:val="0"/>
              <w:widowControl/>
              <w:suppressLineNumbers w:val="0"/>
              <w:jc w:val="left"/>
              <w:rPr>
                <w:rFonts w:hint="default" w:ascii="Times New Roman" w:hAnsi="Times New Roman" w:eastAsia="宋体" w:cs="Times New Roman"/>
                <w:b w:val="0"/>
                <w:bCs/>
                <w:sz w:val="21"/>
                <w:szCs w:val="21"/>
                <w:lang w:val="en-US" w:eastAsia="zh-CN"/>
              </w:rPr>
            </w:pPr>
            <w:r>
              <w:rPr>
                <w:rFonts w:hint="default" w:ascii="Times New Roman" w:hAnsi="Times New Roman" w:cs="Times New Roman"/>
                <w:b w:val="0"/>
                <w:bCs/>
                <w:sz w:val="21"/>
                <w:szCs w:val="21"/>
                <w:lang w:val="en-US" w:eastAsia="zh-CN"/>
              </w:rPr>
              <w:t>1、</w:t>
            </w:r>
            <w:r>
              <w:rPr>
                <w:rFonts w:hint="default" w:ascii="Times New Roman" w:hAnsi="Times New Roman" w:cs="Times New Roman"/>
                <w:b w:val="0"/>
                <w:bCs/>
                <w:color w:val="000000"/>
                <w:sz w:val="21"/>
                <w:szCs w:val="21"/>
                <w:lang w:val="en-US" w:eastAsia="zh-CN"/>
              </w:rPr>
              <w:t>掌握</w:t>
            </w:r>
            <w:r>
              <w:rPr>
                <w:rFonts w:hint="default" w:ascii="Times New Roman" w:hAnsi="Times New Roman" w:cs="Times New Roman"/>
                <w:b w:val="0"/>
                <w:bCs/>
                <w:color w:val="000000"/>
                <w:sz w:val="21"/>
                <w:szCs w:val="18"/>
                <w:lang w:val="en-US" w:eastAsia="zh-CN"/>
              </w:rPr>
              <w:t>振动波动、光学和热学</w:t>
            </w:r>
            <w:r>
              <w:rPr>
                <w:rFonts w:hint="default" w:ascii="Times New Roman" w:hAnsi="Times New Roman" w:cs="Times New Roman"/>
                <w:b w:val="0"/>
                <w:bCs/>
                <w:color w:val="000000"/>
                <w:sz w:val="21"/>
                <w:szCs w:val="21"/>
                <w:lang w:val="en-US" w:eastAsia="zh-CN"/>
              </w:rPr>
              <w:t>的基本概念、基本理论和基本方法。</w:t>
            </w:r>
          </w:p>
        </w:tc>
        <w:tc>
          <w:tcPr>
            <w:tcW w:w="1348" w:type="dxa"/>
            <w:tcBorders>
              <w:right w:val="single" w:color="auto" w:sz="12" w:space="0"/>
            </w:tcBorders>
            <w:vAlign w:val="center"/>
          </w:tcPr>
          <w:p w14:paraId="0403E2BF">
            <w:pPr>
              <w:pStyle w:val="14"/>
              <w:rPr>
                <w:rFonts w:hint="default" w:ascii="Times New Roman" w:hAnsi="Times New Roman" w:eastAsia="宋体" w:cs="Times New Roman"/>
                <w:bCs/>
                <w:lang w:val="en-US" w:eastAsia="zh-CN"/>
              </w:rPr>
            </w:pPr>
            <w:r>
              <w:rPr>
                <w:rFonts w:hint="default" w:ascii="Times New Roman" w:hAnsi="Times New Roman" w:cs="Times New Roman"/>
                <w:bCs/>
                <w:lang w:val="en-US" w:eastAsia="zh-CN"/>
              </w:rPr>
              <w:t>60%</w:t>
            </w:r>
          </w:p>
        </w:tc>
      </w:tr>
      <w:tr w14:paraId="31F6E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203" w:hRule="atLeast"/>
          <w:jc w:val="center"/>
        </w:trPr>
        <w:tc>
          <w:tcPr>
            <w:tcW w:w="777" w:type="dxa"/>
            <w:vMerge w:val="continue"/>
            <w:tcBorders>
              <w:left w:val="single" w:color="auto" w:sz="12" w:space="0"/>
              <w:right w:val="single" w:color="auto" w:sz="4" w:space="0"/>
            </w:tcBorders>
            <w:shd w:val="clear" w:color="auto" w:fill="auto"/>
            <w:vAlign w:val="center"/>
          </w:tcPr>
          <w:p w14:paraId="70679EDB">
            <w:pPr>
              <w:pStyle w:val="14"/>
              <w:rPr>
                <w:rFonts w:hint="default" w:ascii="Times New Roman" w:hAnsi="Times New Roman" w:cs="Times New Roman"/>
                <w:bCs/>
                <w:lang w:val="en-US" w:eastAsia="zh-CN"/>
              </w:rPr>
            </w:pPr>
          </w:p>
        </w:tc>
        <w:tc>
          <w:tcPr>
            <w:tcW w:w="794" w:type="dxa"/>
            <w:vMerge w:val="continue"/>
            <w:tcBorders>
              <w:left w:val="single" w:color="auto" w:sz="4" w:space="0"/>
            </w:tcBorders>
            <w:vAlign w:val="center"/>
          </w:tcPr>
          <w:p w14:paraId="02F4CFA1">
            <w:pPr>
              <w:pStyle w:val="14"/>
              <w:rPr>
                <w:rFonts w:hint="default" w:ascii="Times New Roman" w:hAnsi="Times New Roman" w:cs="Times New Roman"/>
                <w:bCs/>
                <w:lang w:val="en-US" w:eastAsia="zh-CN"/>
              </w:rPr>
            </w:pPr>
          </w:p>
        </w:tc>
        <w:tc>
          <w:tcPr>
            <w:tcW w:w="794" w:type="dxa"/>
            <w:vMerge w:val="continue"/>
            <w:tcBorders>
              <w:right w:val="double" w:color="auto" w:sz="4" w:space="0"/>
            </w:tcBorders>
            <w:shd w:val="clear" w:color="auto" w:fill="auto"/>
            <w:vAlign w:val="center"/>
          </w:tcPr>
          <w:p w14:paraId="26375332">
            <w:pPr>
              <w:pStyle w:val="14"/>
              <w:rPr>
                <w:rFonts w:hint="default" w:ascii="Times New Roman" w:hAnsi="Times New Roman" w:cs="Times New Roman"/>
                <w:lang w:val="en-US" w:eastAsia="zh-CN"/>
              </w:rPr>
            </w:pPr>
          </w:p>
        </w:tc>
        <w:tc>
          <w:tcPr>
            <w:tcW w:w="4763" w:type="dxa"/>
            <w:vAlign w:val="center"/>
          </w:tcPr>
          <w:p w14:paraId="1B55D3D6">
            <w:pPr>
              <w:pStyle w:val="14"/>
              <w:jc w:val="left"/>
              <w:rPr>
                <w:rFonts w:hint="default" w:ascii="Times New Roman" w:hAnsi="Times New Roman" w:cs="Times New Roman"/>
                <w:b w:val="0"/>
                <w:bCs/>
                <w:sz w:val="21"/>
                <w:szCs w:val="21"/>
                <w:lang w:val="en-US" w:eastAsia="zh-CN"/>
              </w:rPr>
            </w:pPr>
            <w:r>
              <w:rPr>
                <w:rFonts w:hint="default" w:ascii="Times New Roman" w:hAnsi="Times New Roman" w:cs="Times New Roman"/>
                <w:b w:val="0"/>
                <w:bCs/>
                <w:sz w:val="21"/>
                <w:szCs w:val="21"/>
                <w:lang w:val="en-US" w:eastAsia="zh-CN"/>
              </w:rPr>
              <w:t>3、</w:t>
            </w:r>
            <w:r>
              <w:rPr>
                <w:rFonts w:hint="default" w:ascii="Times New Roman" w:hAnsi="Times New Roman" w:cs="Times New Roman"/>
                <w:b w:val="0"/>
                <w:bCs/>
                <w:color w:val="000000"/>
                <w:sz w:val="21"/>
                <w:szCs w:val="21"/>
                <w:lang w:val="en-US" w:eastAsia="zh-CN"/>
              </w:rPr>
              <w:t>应用物理学基本原理对工程问题建模和解决问题。</w:t>
            </w:r>
          </w:p>
        </w:tc>
        <w:tc>
          <w:tcPr>
            <w:tcW w:w="1348" w:type="dxa"/>
            <w:tcBorders>
              <w:right w:val="single" w:color="auto" w:sz="12" w:space="0"/>
            </w:tcBorders>
            <w:vAlign w:val="center"/>
          </w:tcPr>
          <w:p w14:paraId="7AC67712">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40%</w:t>
            </w:r>
          </w:p>
        </w:tc>
      </w:tr>
      <w:tr w14:paraId="7A488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441" w:hRule="atLeast"/>
          <w:jc w:val="center"/>
        </w:trPr>
        <w:tc>
          <w:tcPr>
            <w:tcW w:w="777" w:type="dxa"/>
            <w:tcBorders>
              <w:left w:val="single" w:color="auto" w:sz="12" w:space="0"/>
              <w:right w:val="single" w:color="auto" w:sz="4" w:space="0"/>
            </w:tcBorders>
            <w:shd w:val="clear" w:color="auto" w:fill="auto"/>
            <w:vAlign w:val="top"/>
          </w:tcPr>
          <w:p w14:paraId="59373445">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L04</w:t>
            </w:r>
          </w:p>
        </w:tc>
        <w:tc>
          <w:tcPr>
            <w:tcW w:w="794" w:type="dxa"/>
            <w:tcBorders>
              <w:left w:val="single" w:color="auto" w:sz="4" w:space="0"/>
            </w:tcBorders>
            <w:vAlign w:val="center"/>
          </w:tcPr>
          <w:p w14:paraId="0CDFA6E7">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2</w:t>
            </w:r>
          </w:p>
        </w:tc>
        <w:tc>
          <w:tcPr>
            <w:tcW w:w="794" w:type="dxa"/>
            <w:tcBorders>
              <w:right w:val="double" w:color="auto" w:sz="4" w:space="0"/>
            </w:tcBorders>
            <w:shd w:val="clear" w:color="auto" w:fill="auto"/>
            <w:vAlign w:val="center"/>
          </w:tcPr>
          <w:p w14:paraId="01C9EC73">
            <w:pPr>
              <w:pStyle w:val="14"/>
              <w:rPr>
                <w:rFonts w:hint="default" w:ascii="Times New Roman" w:hAnsi="Times New Roman" w:cs="Times New Roman"/>
                <w:lang w:val="en-US" w:eastAsia="zh-CN"/>
              </w:rPr>
            </w:pPr>
            <w:r>
              <w:rPr>
                <w:rFonts w:hint="default" w:ascii="Times New Roman" w:hAnsi="Times New Roman" w:cs="Times New Roman"/>
                <w:lang w:val="en-US" w:eastAsia="zh-CN"/>
              </w:rPr>
              <w:t>M</w:t>
            </w:r>
          </w:p>
        </w:tc>
        <w:tc>
          <w:tcPr>
            <w:tcW w:w="4763" w:type="dxa"/>
            <w:vAlign w:val="center"/>
          </w:tcPr>
          <w:p w14:paraId="058DF95E">
            <w:pPr>
              <w:keepNext w:val="0"/>
              <w:keepLines w:val="0"/>
              <w:widowControl/>
              <w:suppressLineNumbers w:val="0"/>
              <w:jc w:val="left"/>
              <w:rPr>
                <w:rFonts w:hint="default" w:ascii="Times New Roman" w:hAnsi="Times New Roman" w:cs="Times New Roman"/>
                <w:b w:val="0"/>
                <w:bCs/>
                <w:sz w:val="21"/>
                <w:szCs w:val="21"/>
                <w:lang w:val="en-US" w:eastAsia="zh-CN"/>
              </w:rPr>
            </w:pPr>
            <w:r>
              <w:rPr>
                <w:rFonts w:hint="default" w:ascii="Times New Roman" w:hAnsi="Times New Roman" w:cs="Times New Roman"/>
                <w:b w:val="0"/>
                <w:bCs/>
                <w:sz w:val="21"/>
                <w:szCs w:val="21"/>
                <w:lang w:val="en-US" w:eastAsia="zh-CN"/>
              </w:rPr>
              <w:t>2、</w:t>
            </w:r>
            <w:r>
              <w:rPr>
                <w:rFonts w:hint="default" w:ascii="Times New Roman" w:hAnsi="Times New Roman" w:cs="Times New Roman"/>
                <w:b w:val="0"/>
                <w:bCs/>
                <w:color w:val="000000"/>
                <w:sz w:val="21"/>
                <w:szCs w:val="21"/>
                <w:lang w:val="en-US" w:eastAsia="zh-CN"/>
              </w:rPr>
              <w:t>进行科学思维方法和运算能力的训练。</w:t>
            </w:r>
          </w:p>
        </w:tc>
        <w:tc>
          <w:tcPr>
            <w:tcW w:w="1348" w:type="dxa"/>
            <w:tcBorders>
              <w:bottom w:val="single" w:color="auto" w:sz="12" w:space="0"/>
              <w:right w:val="single" w:color="auto" w:sz="12" w:space="0"/>
            </w:tcBorders>
            <w:vAlign w:val="center"/>
          </w:tcPr>
          <w:p w14:paraId="55E5125A">
            <w:pPr>
              <w:pStyle w:val="14"/>
              <w:rPr>
                <w:rFonts w:hint="default" w:ascii="Times New Roman" w:hAnsi="Times New Roman" w:cs="Times New Roman"/>
                <w:bCs/>
                <w:lang w:val="en-US" w:eastAsia="zh-CN"/>
              </w:rPr>
            </w:pPr>
            <w:r>
              <w:rPr>
                <w:rFonts w:hint="default" w:ascii="Times New Roman" w:hAnsi="Times New Roman" w:cs="Times New Roman"/>
                <w:bCs/>
                <w:lang w:val="en-US" w:eastAsia="zh-CN"/>
              </w:rPr>
              <w:t>100%</w:t>
            </w:r>
          </w:p>
        </w:tc>
      </w:tr>
    </w:tbl>
    <w:p w14:paraId="76A2C6C2">
      <w:pPr>
        <w:pStyle w:val="16"/>
        <w:spacing w:before="326" w:beforeLines="100" w:line="360" w:lineRule="auto"/>
        <w:rPr>
          <w:rFonts w:ascii="黑体" w:hAnsi="宋体"/>
        </w:rPr>
      </w:pPr>
      <w:r>
        <w:rPr>
          <w:rFonts w:hint="eastAsia" w:ascii="黑体" w:hAnsi="宋体"/>
        </w:rPr>
        <w:t>三、</w:t>
      </w:r>
      <w:r>
        <w:rPr>
          <w:rFonts w:ascii="黑体" w:hAnsi="宋体"/>
        </w:rPr>
        <w:t>课程内容</w:t>
      </w:r>
      <w:r>
        <w:rPr>
          <w:rFonts w:hint="eastAsia" w:ascii="黑体" w:hAnsi="宋体"/>
        </w:rPr>
        <w:t>与教学设计</w:t>
      </w:r>
    </w:p>
    <w:p w14:paraId="2B16DB67">
      <w:pPr>
        <w:pStyle w:val="17"/>
        <w:spacing w:before="81" w:after="163"/>
      </w:pPr>
      <w:r>
        <w:rPr>
          <w:rFonts w:hint="eastAsia"/>
        </w:rPr>
        <w:t>（一）各教学单元预期学习成果与教学内容</w:t>
      </w:r>
    </w:p>
    <w:tbl>
      <w:tblPr>
        <w:tblStyle w:val="8"/>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8296"/>
      </w:tblGrid>
      <w:tr w14:paraId="2AA33EE9">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8296" w:type="dxa"/>
          </w:tcPr>
          <w:p w14:paraId="06DAF803">
            <w:pPr>
              <w:keepNext w:val="0"/>
              <w:keepLines w:val="0"/>
              <w:widowControl/>
              <w:suppressLineNumbers w:val="0"/>
              <w:jc w:val="left"/>
              <w:rPr>
                <w:rFonts w:hint="default" w:ascii="Times New Roman" w:hAnsi="Times New Roman" w:eastAsia="宋体" w:cs="Times New Roman"/>
                <w:b/>
                <w:bCs/>
                <w:color w:val="000000"/>
                <w:kern w:val="0"/>
                <w:sz w:val="21"/>
                <w:szCs w:val="21"/>
                <w:lang w:val="en-US" w:eastAsia="zh-CN" w:bidi="ar"/>
              </w:rPr>
            </w:pPr>
            <w:bookmarkStart w:id="0" w:name="OLE_LINK5"/>
            <w:bookmarkStart w:id="1" w:name="OLE_LINK6"/>
            <w:r>
              <w:rPr>
                <w:rFonts w:hint="default" w:ascii="Times New Roman" w:hAnsi="Times New Roman" w:eastAsia="宋体" w:cs="Times New Roman"/>
                <w:b/>
                <w:bCs/>
                <w:color w:val="000000"/>
                <w:kern w:val="0"/>
                <w:sz w:val="21"/>
                <w:szCs w:val="21"/>
                <w:lang w:val="en-US" w:eastAsia="zh-CN" w:bidi="ar"/>
              </w:rPr>
              <w:t>第一单元热学</w:t>
            </w:r>
          </w:p>
          <w:p w14:paraId="0B3E96B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第九章 气体动理论 (</w:t>
            </w:r>
            <w:r>
              <w:rPr>
                <w:rFonts w:hint="eastAsia" w:ascii="Times New Roman" w:hAnsi="Times New Roman" w:cs="Times New Roman"/>
                <w:b/>
                <w:bCs/>
                <w:color w:val="000000"/>
                <w:kern w:val="0"/>
                <w:sz w:val="21"/>
                <w:szCs w:val="21"/>
                <w:lang w:val="en-US" w:eastAsia="zh-CN" w:bidi="ar"/>
              </w:rPr>
              <w:t>2</w:t>
            </w:r>
            <w:r>
              <w:rPr>
                <w:rFonts w:hint="default" w:ascii="Times New Roman" w:hAnsi="Times New Roman" w:eastAsia="宋体" w:cs="Times New Roman"/>
                <w:b/>
                <w:bCs/>
                <w:color w:val="000000"/>
                <w:kern w:val="0"/>
                <w:sz w:val="21"/>
                <w:szCs w:val="21"/>
                <w:lang w:val="en-US" w:eastAsia="zh-CN" w:bidi="ar"/>
              </w:rPr>
              <w:t xml:space="preserve"> 学时) </w:t>
            </w:r>
          </w:p>
          <w:p w14:paraId="60B28A2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4C77DE9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9-1 状态参量 平衡态 准静态过程 </w:t>
            </w:r>
          </w:p>
          <w:p w14:paraId="0C3FA5C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9-2 理想气体的物态方程 </w:t>
            </w:r>
          </w:p>
          <w:p w14:paraId="74CA1F8D">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9-5 理想气体的压强 </w:t>
            </w:r>
          </w:p>
          <w:p w14:paraId="6C125E56">
            <w:pPr>
              <w:keepNext w:val="0"/>
              <w:keepLines w:val="0"/>
              <w:widowControl/>
              <w:suppressLineNumbers w:val="0"/>
              <w:jc w:val="left"/>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 xml:space="preserve">9-6 温度的微观本质 </w:t>
            </w:r>
          </w:p>
          <w:p w14:paraId="2844F43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9-7 能量均分定理 理想气体的内能 </w:t>
            </w:r>
          </w:p>
          <w:p w14:paraId="3E79135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5A2E993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1、物态参量、平衡态：了解气体准静态过程的概念；了解气体的物态参量，理解平衡态的概念。 </w:t>
            </w:r>
          </w:p>
          <w:p w14:paraId="1AD1464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2、掌握理想气体物态方程。 </w:t>
            </w:r>
          </w:p>
          <w:p w14:paraId="52466E8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3、.理想气体的压强公式、温度公式及其统计解释：了解理想气体压强公式的微观本质；了解理想气体温度的微观解释；从宏观和统计意义上理解压强、温度等概念。 </w:t>
            </w:r>
          </w:p>
          <w:p w14:paraId="5F808CF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4</w:t>
            </w:r>
            <w:r>
              <w:rPr>
                <w:rFonts w:hint="eastAsia"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能量均分定理、理想气体的内能：了解自由度的概念；通过理想气体的刚性分子模型，理解气体分子平均能量按自由度均分定理；熟练掌握理想气体内能公式。 </w:t>
            </w:r>
          </w:p>
          <w:p w14:paraId="31BB4EA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2955B70C">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通过了解物理学家葛正权的人生经历，让学生认识到学以致用，精忠报国，是每一个公民的责任。培养学生们逐渐建立兢兢业业、艰苦朴素、不畏强权、甘愿与人民共疾苦的奋斗精神。</w:t>
            </w:r>
          </w:p>
          <w:p w14:paraId="79FFA22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第十章 热力学基础（</w:t>
            </w:r>
            <w:r>
              <w:rPr>
                <w:rFonts w:hint="eastAsia" w:ascii="Times New Roman" w:hAnsi="Times New Roman" w:cs="Times New Roman"/>
                <w:b/>
                <w:bCs/>
                <w:color w:val="000000"/>
                <w:kern w:val="0"/>
                <w:sz w:val="21"/>
                <w:szCs w:val="21"/>
                <w:lang w:val="en-US" w:eastAsia="zh-CN" w:bidi="ar"/>
              </w:rPr>
              <w:t>8</w:t>
            </w:r>
            <w:r>
              <w:rPr>
                <w:rFonts w:hint="default" w:ascii="Times New Roman" w:hAnsi="Times New Roman" w:eastAsia="宋体" w:cs="Times New Roman"/>
                <w:b/>
                <w:bCs/>
                <w:color w:val="000000"/>
                <w:kern w:val="0"/>
                <w:sz w:val="21"/>
                <w:szCs w:val="21"/>
                <w:lang w:val="en-US" w:eastAsia="zh-CN" w:bidi="ar"/>
              </w:rPr>
              <w:t xml:space="preserve">学时) </w:t>
            </w:r>
          </w:p>
          <w:p w14:paraId="4D99C17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5715ADA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10-1 热力学第一定律 </w:t>
            </w:r>
          </w:p>
          <w:p w14:paraId="5854DA7F">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10-2 热力学第一定律的应用 </w:t>
            </w:r>
          </w:p>
          <w:p w14:paraId="79E269F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10-3 理想气体的绝热过程 </w:t>
            </w:r>
          </w:p>
          <w:p w14:paraId="272E3AE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10-4 循环过程和卡诺循环 </w:t>
            </w:r>
          </w:p>
          <w:p w14:paraId="433F6EA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231E9A7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1、系统的内能、功和热量，气体的摩尔热容量：掌握内能、功、热量的概念；掌握理想气体摩尔热容的表示及意义。 </w:t>
            </w:r>
          </w:p>
          <w:p w14:paraId="492FA391">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热力学第一定律及其对理想气体等体、等压、等温及绝热过程的应用：理解热力学第一定律及其意义；熟练应用热力学第一定律求解理想气体等体、等压、等温过程中的功、热量和内能的改变；熟练应用热力学第一定律和绝热方程求解理想气体绝热过程中功、内能的改变。 </w:t>
            </w:r>
          </w:p>
          <w:p w14:paraId="2C10C64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循环过程、卡诺循环、热机的效率（由等体、等压、等温及绝热过程组成的正循环）：掌握循环过程中能量转换关系，掌握卡诺循环效率的计算；熟练掌握热机的效率（由等体、等压、等温及绝热过程组成的正循环）的计算方法。 </w:t>
            </w:r>
          </w:p>
          <w:p w14:paraId="5795729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10557C34">
            <w:pPr>
              <w:keepNext w:val="0"/>
              <w:keepLines w:val="0"/>
              <w:widowControl/>
              <w:suppressLineNumbers w:val="0"/>
              <w:ind w:firstLine="420" w:firstLineChars="200"/>
              <w:jc w:val="left"/>
              <w:rPr>
                <w:rFonts w:hint="default" w:ascii="Times New Roman" w:hAnsi="Times New Roman" w:eastAsia="宋体"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 xml:space="preserve">热力学基础主要是培养学生理解第一次技术革命的历史意义，让学生能够认识和理解自己祖国的能源历史、能源文化、国情等，逐渐积淀成主人翁责任感、自豪感和归属感，有效引导学生树立正确的国家观、社会观和世界观。注重科学思维方法的训练和科学伦理的教育，培养学生探索未知、追求真理、勇攀科学高峰的责任感和使命感。 </w:t>
            </w:r>
          </w:p>
          <w:p w14:paraId="2185BE3B">
            <w:pPr>
              <w:keepNext w:val="0"/>
              <w:keepLines w:val="0"/>
              <w:widowControl/>
              <w:suppressLineNumbers w:val="0"/>
              <w:jc w:val="left"/>
              <w:rPr>
                <w:rFonts w:hint="eastAsia" w:ascii="Times New Roman" w:hAnsi="Times New Roman" w:cs="Times New Roman"/>
                <w:b/>
                <w:bCs/>
                <w:color w:val="000000"/>
                <w:kern w:val="0"/>
                <w:sz w:val="21"/>
                <w:szCs w:val="21"/>
                <w:lang w:val="en-US" w:eastAsia="zh-CN" w:bidi="ar"/>
              </w:rPr>
            </w:pPr>
            <w:r>
              <w:rPr>
                <w:rFonts w:hint="eastAsia" w:ascii="Times New Roman" w:hAnsi="Times New Roman" w:cs="Times New Roman"/>
                <w:b/>
                <w:bCs/>
                <w:color w:val="000000"/>
                <w:kern w:val="0"/>
                <w:sz w:val="21"/>
                <w:szCs w:val="21"/>
                <w:lang w:val="en-US" w:eastAsia="zh-CN" w:bidi="ar"/>
              </w:rPr>
              <w:t>教学重点、难点：</w:t>
            </w:r>
          </w:p>
          <w:p w14:paraId="14C804C7">
            <w:pPr>
              <w:keepNext w:val="0"/>
              <w:keepLines w:val="0"/>
              <w:widowControl/>
              <w:numPr>
                <w:ilvl w:val="0"/>
                <w:numId w:val="0"/>
              </w:numPr>
              <w:suppressLineNumbers w:val="0"/>
              <w:jc w:val="left"/>
              <w:rPr>
                <w:rFonts w:hint="eastAsia"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w:t>
            </w:r>
            <w:r>
              <w:rPr>
                <w:rFonts w:hint="default" w:ascii="Times New Roman" w:hAnsi="Times New Roman" w:eastAsia="宋体" w:cs="Times New Roman"/>
                <w:color w:val="000000"/>
                <w:kern w:val="0"/>
                <w:sz w:val="21"/>
                <w:szCs w:val="21"/>
                <w:lang w:val="en-US" w:eastAsia="zh-CN" w:bidi="ar"/>
              </w:rPr>
              <w:t>热力学第一定律及其对理想气体等体、等压、等温及绝热过程的应用</w:t>
            </w:r>
            <w:r>
              <w:rPr>
                <w:rFonts w:hint="eastAsia" w:ascii="Times New Roman" w:hAnsi="Times New Roman" w:cs="Times New Roman"/>
                <w:color w:val="000000"/>
                <w:kern w:val="0"/>
                <w:sz w:val="21"/>
                <w:szCs w:val="21"/>
                <w:lang w:val="en-US" w:eastAsia="zh-CN" w:bidi="ar"/>
              </w:rPr>
              <w:t>。</w:t>
            </w:r>
          </w:p>
          <w:p w14:paraId="63A0A2AC">
            <w:pPr>
              <w:keepNext w:val="0"/>
              <w:keepLines w:val="0"/>
              <w:widowControl/>
              <w:numPr>
                <w:ilvl w:val="0"/>
                <w:numId w:val="0"/>
              </w:numPr>
              <w:suppressLineNumbers w:val="0"/>
              <w:jc w:val="left"/>
              <w:rPr>
                <w:rFonts w:hint="default"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2、</w:t>
            </w:r>
            <w:r>
              <w:rPr>
                <w:rFonts w:hint="default" w:ascii="Times New Roman" w:hAnsi="Times New Roman" w:eastAsia="宋体" w:cs="Times New Roman"/>
                <w:color w:val="000000"/>
                <w:kern w:val="0"/>
                <w:sz w:val="21"/>
                <w:szCs w:val="21"/>
                <w:lang w:val="en-US" w:eastAsia="zh-CN" w:bidi="ar"/>
              </w:rPr>
              <w:t>循环过程、卡诺循环、热机的效率</w:t>
            </w:r>
            <w:r>
              <w:rPr>
                <w:rFonts w:hint="eastAsia" w:ascii="Times New Roman" w:hAnsi="Times New Roman" w:cs="Times New Roman"/>
                <w:color w:val="000000"/>
                <w:kern w:val="0"/>
                <w:sz w:val="21"/>
                <w:szCs w:val="21"/>
                <w:lang w:val="en-US" w:eastAsia="zh-CN" w:bidi="ar"/>
              </w:rPr>
              <w:t>。</w:t>
            </w:r>
          </w:p>
          <w:p w14:paraId="5241CF2B">
            <w:pPr>
              <w:keepNext w:val="0"/>
              <w:keepLines w:val="0"/>
              <w:widowControl/>
              <w:suppressLineNumbers w:val="0"/>
              <w:jc w:val="left"/>
              <w:rPr>
                <w:rFonts w:hint="default" w:ascii="Times New Roman" w:hAnsi="Times New Roman" w:eastAsia="宋体" w:cs="Times New Roman"/>
                <w:b/>
                <w:bCs/>
                <w:color w:val="000000"/>
                <w:kern w:val="0"/>
                <w:sz w:val="21"/>
                <w:szCs w:val="21"/>
                <w:lang w:val="en-US" w:eastAsia="zh-CN" w:bidi="ar"/>
              </w:rPr>
            </w:pPr>
            <w:r>
              <w:rPr>
                <w:rFonts w:hint="default" w:ascii="Times New Roman" w:hAnsi="Times New Roman" w:eastAsia="宋体" w:cs="Times New Roman"/>
                <w:b/>
                <w:bCs/>
                <w:color w:val="000000"/>
                <w:kern w:val="0"/>
                <w:sz w:val="21"/>
                <w:szCs w:val="21"/>
                <w:lang w:val="en-US" w:eastAsia="zh-CN" w:bidi="ar"/>
              </w:rPr>
              <w:t>第二单元振动、波动、光学</w:t>
            </w:r>
          </w:p>
          <w:p w14:paraId="5D399D6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第十一章：振动学基础（</w:t>
            </w:r>
            <w:r>
              <w:rPr>
                <w:rFonts w:hint="eastAsia" w:ascii="Times New Roman" w:hAnsi="Times New Roman" w:cs="Times New Roman"/>
                <w:b/>
                <w:bCs/>
                <w:color w:val="000000"/>
                <w:kern w:val="0"/>
                <w:sz w:val="21"/>
                <w:szCs w:val="21"/>
                <w:lang w:val="en-US" w:eastAsia="zh-CN" w:bidi="ar"/>
              </w:rPr>
              <w:t>4</w:t>
            </w:r>
            <w:r>
              <w:rPr>
                <w:rFonts w:hint="default" w:ascii="Times New Roman" w:hAnsi="Times New Roman" w:eastAsia="宋体" w:cs="Times New Roman"/>
                <w:b/>
                <w:bCs/>
                <w:color w:val="000000"/>
                <w:kern w:val="0"/>
                <w:sz w:val="21"/>
                <w:szCs w:val="21"/>
                <w:lang w:val="en-US" w:eastAsia="zh-CN" w:bidi="ar"/>
              </w:rPr>
              <w:t xml:space="preserve">学时) </w:t>
            </w:r>
          </w:p>
          <w:p w14:paraId="2A1F941D">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1ACE376F">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11-1 简谐振动的描述 </w:t>
            </w:r>
          </w:p>
          <w:p w14:paraId="37CA1047">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11-2 简谐振动的动力学特征 </w:t>
            </w:r>
          </w:p>
          <w:p w14:paraId="2781827E">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11-3 简谐振动的合成 </w:t>
            </w:r>
          </w:p>
          <w:p w14:paraId="7063521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6C42AC0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1、掌握简谐振动的基本特征，理解描述简谐振动的各物理量的意义及其相互联系。 </w:t>
            </w:r>
          </w:p>
          <w:p w14:paraId="7BED6D7A">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 能熟练运用图线法以及旋转矢量法写出简谐振动的表达式。 </w:t>
            </w:r>
          </w:p>
          <w:p w14:paraId="49330E5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3、理解同方向、同频率的两个简谐振动的合成规律；熟练计算同方向、同频率的两个简谐振动合成后的振幅和初相位，正确写出合成后的简谐振动方程。 </w:t>
            </w:r>
          </w:p>
          <w:p w14:paraId="3F65379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0E081E6F">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通过弹簧振子模型的学习，培养学生由简入繁地处理实际问题的科学思维方法；结合胡克定律，介绍我国东汉的经学家郑玄在力与形变成正比关系上的贡献，增强学生的民族自豪感和文化自信。 </w:t>
            </w:r>
          </w:p>
          <w:p w14:paraId="647D65C3">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第十二章 波动学基础 (6 学时) </w:t>
            </w:r>
          </w:p>
          <w:p w14:paraId="4EDDE45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章节内容要点: </w:t>
            </w:r>
          </w:p>
          <w:p w14:paraId="40E71100">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12-1 机械波的产生和传播 </w:t>
            </w:r>
          </w:p>
          <w:p w14:paraId="5C2BD17E">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12-2 平面简谐波的波函数 </w:t>
            </w:r>
          </w:p>
          <w:p w14:paraId="432D001C">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12-</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 xml:space="preserve"> 惠更斯原理 </w:t>
            </w:r>
          </w:p>
          <w:p w14:paraId="606F1FBB">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12-</w:t>
            </w:r>
            <w:r>
              <w:rPr>
                <w:rFonts w:hint="default" w:ascii="Times New Roman" w:hAnsi="Times New Roman" w:cs="Times New Roman"/>
                <w:color w:val="000000"/>
                <w:kern w:val="0"/>
                <w:sz w:val="21"/>
                <w:szCs w:val="21"/>
                <w:lang w:val="en-US" w:eastAsia="zh-CN" w:bidi="ar"/>
              </w:rPr>
              <w:t>4</w:t>
            </w:r>
            <w:r>
              <w:rPr>
                <w:rFonts w:hint="default" w:ascii="Times New Roman" w:hAnsi="Times New Roman" w:eastAsia="宋体" w:cs="Times New Roman"/>
                <w:color w:val="000000"/>
                <w:kern w:val="0"/>
                <w:sz w:val="21"/>
                <w:szCs w:val="21"/>
                <w:lang w:val="en-US" w:eastAsia="zh-CN" w:bidi="ar"/>
              </w:rPr>
              <w:t xml:space="preserve"> 波的叠加原理 波的干涉</w:t>
            </w:r>
          </w:p>
          <w:p w14:paraId="51215619">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预期学习成果: </w:t>
            </w:r>
          </w:p>
          <w:p w14:paraId="5D5EB7C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1、机械波的产生和传播、波速、波长和频率的关系：理解机械波产生的条件和波的传播机理；掌握描述简谐波的各物理量（特别是相位）及各量间的基本关系；理解决定波速的因素及波速与振动速度的区别。 </w:t>
            </w:r>
          </w:p>
          <w:p w14:paraId="71245BF9">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2、 平面简谐波的波函数：深刻理解平面简谐波波函数的物理意义以及各物理量的相互联系；熟练掌握由已知质点的简谐振动方程得出平面简谐波的波函数的基本方法及由波形图线求得波函数的方法；熟练掌握平面简谐波波函数与简谐振动方程的相互换算方法。 </w:t>
            </w:r>
          </w:p>
          <w:p w14:paraId="5AAB2A62">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 xml:space="preserve">3、 波的叠加原理、波的干涉：了解波的叠加原理；理解波的干涉现象、波的相干条件；熟练应用相位差和波程差分析、确定相干波叠加后振幅加强和减弱的条件。 </w:t>
            </w:r>
          </w:p>
          <w:p w14:paraId="4E4FF764">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6DD2C94A">
            <w:pPr>
              <w:keepNext w:val="0"/>
              <w:keepLines w:val="0"/>
              <w:widowControl/>
              <w:suppressLineNumbers w:val="0"/>
              <w:ind w:firstLine="420" w:firstLineChars="200"/>
              <w:jc w:val="left"/>
              <w:rPr>
                <w:rFonts w:hint="default" w:ascii="Times New Roman" w:hAnsi="Times New Roman" w:eastAsia="宋体" w:cs="Times New Roman"/>
                <w:sz w:val="21"/>
                <w:szCs w:val="21"/>
              </w:rPr>
            </w:pPr>
            <w:r>
              <w:rPr>
                <w:rFonts w:hint="default" w:ascii="Times New Roman" w:hAnsi="Times New Roman" w:eastAsia="宋体" w:cs="Times New Roman"/>
                <w:color w:val="000000"/>
                <w:kern w:val="0"/>
                <w:sz w:val="21"/>
                <w:szCs w:val="21"/>
                <w:lang w:val="en-US" w:eastAsia="zh-CN" w:bidi="ar"/>
              </w:rPr>
              <w:t>从最为人们所熟知的机械波出发，逐渐引入电磁波、物质波、引力波的概念，引导学生了解科学发展的历史与规律，思考发现、解决问题的方法与范式，培养其唯物主义思想与严谨的逻辑及开放的思想。以波的干涉、衍射为例，引导学生自主思考其在实际工程中的可能应用。</w:t>
            </w:r>
          </w:p>
          <w:p w14:paraId="0FE44E45">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第十三章 光学 (1</w:t>
            </w:r>
            <w:r>
              <w:rPr>
                <w:rFonts w:hint="eastAsia" w:ascii="Times New Roman" w:hAnsi="Times New Roman" w:cs="Times New Roman"/>
                <w:b/>
                <w:bCs/>
                <w:color w:val="000000"/>
                <w:kern w:val="0"/>
                <w:sz w:val="21"/>
                <w:szCs w:val="21"/>
                <w:lang w:val="en-US" w:eastAsia="zh-CN" w:bidi="ar"/>
              </w:rPr>
              <w:t>2</w:t>
            </w:r>
            <w:r>
              <w:rPr>
                <w:rFonts w:hint="default" w:ascii="Times New Roman" w:hAnsi="Times New Roman" w:eastAsia="宋体" w:cs="Times New Roman"/>
                <w:b/>
                <w:bCs/>
                <w:color w:val="000000"/>
                <w:kern w:val="0"/>
                <w:sz w:val="21"/>
                <w:szCs w:val="21"/>
                <w:lang w:val="en-US" w:eastAsia="zh-CN" w:bidi="ar"/>
              </w:rPr>
              <w:t xml:space="preserve">学时） </w:t>
            </w:r>
          </w:p>
          <w:p w14:paraId="405BFA16">
            <w:pPr>
              <w:keepNext w:val="0"/>
              <w:keepLines w:val="0"/>
              <w:widowControl/>
              <w:suppressLineNumbers w:val="0"/>
              <w:jc w:val="left"/>
              <w:rPr>
                <w:rFonts w:hint="default" w:ascii="Times New Roman" w:hAnsi="Times New Roman" w:eastAsia="宋体" w:cs="Times New Roman"/>
                <w:sz w:val="21"/>
                <w:szCs w:val="21"/>
              </w:rPr>
            </w:pPr>
            <w:r>
              <w:rPr>
                <w:rFonts w:hint="default" w:ascii="Times New Roman" w:hAnsi="Times New Roman" w:eastAsia="宋体" w:cs="Times New Roman"/>
                <w:b/>
                <w:bCs/>
                <w:color w:val="000000"/>
                <w:kern w:val="0"/>
                <w:sz w:val="21"/>
                <w:szCs w:val="21"/>
                <w:lang w:val="en-US" w:eastAsia="zh-CN" w:bidi="ar"/>
              </w:rPr>
              <w:t>章节内容要点：</w:t>
            </w:r>
            <w:r>
              <w:rPr>
                <w:rFonts w:hint="default" w:ascii="Times New Roman" w:hAnsi="Times New Roman" w:eastAsia="宋体" w:cs="Times New Roman"/>
                <w:color w:val="000000"/>
                <w:kern w:val="0"/>
                <w:sz w:val="21"/>
                <w:szCs w:val="21"/>
                <w:lang w:val="en-US" w:eastAsia="zh-CN" w:bidi="ar"/>
              </w:rPr>
              <w:t xml:space="preserve"> </w:t>
            </w:r>
          </w:p>
          <w:p w14:paraId="3CFCCD55">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cs="Times New Roman"/>
                <w:color w:val="000000"/>
                <w:kern w:val="0"/>
                <w:sz w:val="21"/>
                <w:szCs w:val="21"/>
                <w:lang w:val="en-US" w:eastAsia="zh-CN" w:bidi="ar"/>
              </w:rPr>
              <w:t>13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1</w:t>
            </w:r>
            <w:r>
              <w:rPr>
                <w:rFonts w:hint="default" w:ascii="Times New Roman" w:hAnsi="Times New Roman" w:eastAsia="宋体" w:cs="Times New Roman"/>
                <w:color w:val="000000"/>
                <w:kern w:val="0"/>
                <w:sz w:val="21"/>
                <w:szCs w:val="21"/>
                <w:lang w:val="en-US" w:eastAsia="zh-CN" w:bidi="ar"/>
              </w:rPr>
              <w:t xml:space="preserve"> 光的相干性 </w:t>
            </w:r>
          </w:p>
          <w:p w14:paraId="38CC2370">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1</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2</w:t>
            </w:r>
            <w:r>
              <w:rPr>
                <w:rFonts w:hint="default" w:ascii="Times New Roman" w:hAnsi="Times New Roman" w:eastAsia="宋体" w:cs="Times New Roman"/>
                <w:color w:val="000000"/>
                <w:kern w:val="0"/>
                <w:sz w:val="21"/>
                <w:szCs w:val="21"/>
                <w:lang w:val="en-US" w:eastAsia="zh-CN" w:bidi="ar"/>
              </w:rPr>
              <w:t xml:space="preserve"> 双缝干涉 </w:t>
            </w:r>
          </w:p>
          <w:p w14:paraId="7762C7E8">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1</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w:t>
            </w:r>
            <w:r>
              <w:rPr>
                <w:rFonts w:hint="default" w:ascii="Times New Roman" w:hAnsi="Times New Roman" w:cs="Times New Roman"/>
                <w:color w:val="000000"/>
                <w:kern w:val="0"/>
                <w:sz w:val="21"/>
                <w:szCs w:val="21"/>
                <w:lang w:val="en-US" w:eastAsia="zh-CN" w:bidi="ar"/>
              </w:rPr>
              <w:t>3</w:t>
            </w:r>
            <w:r>
              <w:rPr>
                <w:rFonts w:hint="default" w:ascii="Times New Roman" w:hAnsi="Times New Roman" w:eastAsia="宋体" w:cs="Times New Roman"/>
                <w:color w:val="000000"/>
                <w:kern w:val="0"/>
                <w:sz w:val="21"/>
                <w:szCs w:val="21"/>
                <w:lang w:val="en-US" w:eastAsia="zh-CN" w:bidi="ar"/>
              </w:rPr>
              <w:t xml:space="preserve"> 薄膜干涉</w:t>
            </w:r>
          </w:p>
          <w:p w14:paraId="75ED55BB">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 </w:t>
            </w:r>
            <w:r>
              <w:rPr>
                <w:rFonts w:hint="default" w:ascii="Times New Roman" w:hAnsi="Times New Roman" w:cs="Times New Roman"/>
                <w:b/>
                <w:bCs/>
                <w:color w:val="000000"/>
                <w:kern w:val="0"/>
                <w:sz w:val="21"/>
                <w:szCs w:val="21"/>
                <w:lang w:val="en-US" w:eastAsia="zh-CN" w:bidi="ar"/>
              </w:rPr>
              <w:t>预期学习成果</w:t>
            </w:r>
            <w:r>
              <w:rPr>
                <w:rFonts w:hint="default" w:ascii="Times New Roman" w:hAnsi="Times New Roman" w:eastAsia="宋体" w:cs="Times New Roman"/>
                <w:b/>
                <w:bCs/>
                <w:color w:val="000000"/>
                <w:kern w:val="0"/>
                <w:sz w:val="21"/>
                <w:szCs w:val="21"/>
                <w:lang w:val="en-US" w:eastAsia="zh-CN" w:bidi="ar"/>
              </w:rPr>
              <w:t xml:space="preserve">： </w:t>
            </w:r>
          </w:p>
          <w:p w14:paraId="4DE4AD85">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1、光的干涉现象、光程和光程差、半波损失：理解光的相干条件及获得相 </w:t>
            </w:r>
          </w:p>
          <w:p w14:paraId="5EF69625">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干光的方法；熟练掌握光程、光程差以及光程差和相位差关系的计算</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熟练掌握半波损失的产生条件。 </w:t>
            </w:r>
          </w:p>
          <w:p w14:paraId="25C3219A">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2、双缝干涉、薄膜干涉：能熟练分析、确定杨氏双缝干涉明、暗条纹的位置</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计算薄膜上、下表面反射光线的光程差，理解增透膜和增反膜</w:t>
            </w:r>
            <w:r>
              <w:rPr>
                <w:rFonts w:hint="default" w:ascii="Times New Roman" w:hAnsi="Times New Roman" w:cs="Times New Roman"/>
                <w:color w:val="000000"/>
                <w:kern w:val="0"/>
                <w:sz w:val="21"/>
                <w:szCs w:val="21"/>
                <w:lang w:val="en-US" w:eastAsia="zh-CN" w:bidi="ar"/>
              </w:rPr>
              <w:t>。</w:t>
            </w:r>
            <w:r>
              <w:rPr>
                <w:rFonts w:hint="default" w:ascii="Times New Roman" w:hAnsi="Times New Roman" w:eastAsia="宋体" w:cs="Times New Roman"/>
                <w:color w:val="000000"/>
                <w:kern w:val="0"/>
                <w:sz w:val="21"/>
                <w:szCs w:val="21"/>
                <w:lang w:val="en-US" w:eastAsia="zh-CN" w:bidi="ar"/>
              </w:rPr>
              <w:t xml:space="preserve"> </w:t>
            </w:r>
          </w:p>
          <w:p w14:paraId="0267ACB4">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b/>
                <w:bCs/>
                <w:color w:val="000000"/>
                <w:kern w:val="0"/>
                <w:sz w:val="21"/>
                <w:szCs w:val="21"/>
                <w:lang w:val="en-US" w:eastAsia="zh-CN" w:bidi="ar"/>
              </w:rPr>
              <w:t xml:space="preserve">思政要点： </w:t>
            </w:r>
          </w:p>
          <w:p w14:paraId="4FCB8DCF">
            <w:pPr>
              <w:keepNext w:val="0"/>
              <w:keepLines w:val="0"/>
              <w:widowControl/>
              <w:suppressLineNumbers w:val="0"/>
              <w:ind w:firstLine="420" w:firstLineChars="200"/>
              <w:jc w:val="left"/>
              <w:rPr>
                <w:rFonts w:hint="default" w:ascii="Times New Roman" w:hAnsi="Times New Roman" w:cs="Times New Roman"/>
                <w:color w:val="000000"/>
                <w:kern w:val="0"/>
                <w:sz w:val="21"/>
                <w:szCs w:val="21"/>
                <w:lang w:val="en-US" w:eastAsia="zh-CN" w:bidi="ar"/>
              </w:rPr>
            </w:pPr>
            <w:r>
              <w:rPr>
                <w:rFonts w:hint="default" w:ascii="Times New Roman" w:hAnsi="Times New Roman" w:eastAsia="宋体" w:cs="Times New Roman"/>
                <w:color w:val="000000"/>
                <w:kern w:val="0"/>
                <w:sz w:val="21"/>
                <w:szCs w:val="21"/>
                <w:lang w:val="en-US" w:eastAsia="zh-CN" w:bidi="ar"/>
              </w:rPr>
              <w:t>主要是围绕光学中的波动光学的学习，让学生认识到光具有波粒二重性。让学生体会到事物的双重特性，在不同的层面下表现出不同的性质。通过波动光学的学习，让学生认识到光是一把尺子可以测量微小的东西，测量的精度通常由光的波长决定。通过系统的学习，让学生认识到我国重大科研计划例如“天眼”设计建造的必要性，增加学生对国家的自豪感和归属感</w:t>
            </w:r>
            <w:r>
              <w:rPr>
                <w:rFonts w:hint="default" w:ascii="Times New Roman" w:hAnsi="Times New Roman" w:cs="Times New Roman"/>
                <w:color w:val="000000"/>
                <w:kern w:val="0"/>
                <w:sz w:val="21"/>
                <w:szCs w:val="21"/>
                <w:lang w:val="en-US" w:eastAsia="zh-CN" w:bidi="ar"/>
              </w:rPr>
              <w:t>。</w:t>
            </w:r>
          </w:p>
          <w:p w14:paraId="464AC72F">
            <w:pPr>
              <w:keepNext w:val="0"/>
              <w:keepLines w:val="0"/>
              <w:widowControl/>
              <w:suppressLineNumbers w:val="0"/>
              <w:jc w:val="left"/>
              <w:rPr>
                <w:rFonts w:hint="eastAsia" w:ascii="Times New Roman" w:hAnsi="Times New Roman" w:cs="Times New Roman"/>
                <w:b/>
                <w:bCs/>
                <w:color w:val="000000"/>
                <w:kern w:val="0"/>
                <w:sz w:val="21"/>
                <w:szCs w:val="21"/>
                <w:lang w:val="en-US" w:eastAsia="zh-CN" w:bidi="ar"/>
              </w:rPr>
            </w:pPr>
            <w:r>
              <w:rPr>
                <w:rFonts w:hint="eastAsia" w:ascii="Times New Roman" w:hAnsi="Times New Roman" w:cs="Times New Roman"/>
                <w:b/>
                <w:bCs/>
                <w:color w:val="000000"/>
                <w:kern w:val="0"/>
                <w:sz w:val="21"/>
                <w:szCs w:val="21"/>
                <w:lang w:val="en-US" w:eastAsia="zh-CN" w:bidi="ar"/>
              </w:rPr>
              <w:t>教学重点、难点：</w:t>
            </w:r>
          </w:p>
          <w:p w14:paraId="69973BB9">
            <w:pPr>
              <w:keepNext w:val="0"/>
              <w:keepLines w:val="0"/>
              <w:widowControl/>
              <w:numPr>
                <w:ilvl w:val="0"/>
                <w:numId w:val="0"/>
              </w:numPr>
              <w:suppressLineNumbers w:val="0"/>
              <w:jc w:val="left"/>
              <w:rPr>
                <w:rFonts w:hint="eastAsia" w:ascii="Times New Roman" w:hAnsi="Times New Roman" w:cs="Times New Roman"/>
                <w:color w:val="000000"/>
                <w:kern w:val="0"/>
                <w:sz w:val="21"/>
                <w:szCs w:val="21"/>
                <w:lang w:val="en-US" w:eastAsia="zh-CN" w:bidi="ar"/>
              </w:rPr>
            </w:pPr>
            <w:r>
              <w:rPr>
                <w:rFonts w:hint="eastAsia" w:ascii="Times New Roman" w:hAnsi="Times New Roman" w:cs="Times New Roman"/>
                <w:color w:val="000000"/>
                <w:kern w:val="0"/>
                <w:sz w:val="21"/>
                <w:szCs w:val="21"/>
                <w:lang w:val="en-US" w:eastAsia="zh-CN" w:bidi="ar"/>
              </w:rPr>
              <w:t>1、振动和波动方程。</w:t>
            </w:r>
          </w:p>
          <w:p w14:paraId="23E64F22">
            <w:pPr>
              <w:keepNext w:val="0"/>
              <w:keepLines w:val="0"/>
              <w:widowControl/>
              <w:suppressLineNumbers w:val="0"/>
              <w:jc w:val="left"/>
              <w:rPr>
                <w:rFonts w:hint="eastAsia" w:ascii="Times New Roman" w:hAnsi="Times New Roman" w:eastAsia="宋体" w:cs="Times New Roman"/>
                <w:bCs/>
                <w:color w:val="000000"/>
                <w:kern w:val="0"/>
                <w:sz w:val="21"/>
                <w:szCs w:val="21"/>
                <w:lang w:val="en-US" w:eastAsia="zh-CN"/>
              </w:rPr>
            </w:pPr>
            <w:r>
              <w:rPr>
                <w:rFonts w:hint="eastAsia" w:ascii="Times New Roman" w:hAnsi="Times New Roman" w:cs="Times New Roman"/>
                <w:color w:val="000000"/>
                <w:kern w:val="0"/>
                <w:sz w:val="21"/>
                <w:szCs w:val="21"/>
                <w:lang w:val="en-US" w:eastAsia="zh-CN" w:bidi="ar"/>
              </w:rPr>
              <w:t>2、干涉。</w:t>
            </w:r>
          </w:p>
        </w:tc>
      </w:tr>
      <w:bookmarkEnd w:id="0"/>
      <w:bookmarkEnd w:id="1"/>
    </w:tbl>
    <w:p w14:paraId="2F6C71D6">
      <w:pPr>
        <w:pStyle w:val="17"/>
        <w:spacing w:before="81" w:after="163"/>
      </w:pPr>
      <w:r>
        <w:rPr>
          <w:rFonts w:hint="eastAsia"/>
        </w:rPr>
        <w:t>（二）教学单元对课程目标的支撑关系</w:t>
      </w:r>
    </w:p>
    <w:tbl>
      <w:tblPr>
        <w:tblStyle w:val="7"/>
        <w:tblW w:w="37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85" w:type="dxa"/>
          <w:bottom w:w="57" w:type="dxa"/>
          <w:right w:w="85" w:type="dxa"/>
        </w:tblCellMar>
      </w:tblPr>
      <w:tblGrid>
        <w:gridCol w:w="1878"/>
        <w:gridCol w:w="1100"/>
        <w:gridCol w:w="1100"/>
        <w:gridCol w:w="1100"/>
        <w:gridCol w:w="1100"/>
      </w:tblGrid>
      <w:tr w14:paraId="73D39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794" w:hRule="atLeast"/>
          <w:jc w:val="center"/>
        </w:trPr>
        <w:tc>
          <w:tcPr>
            <w:tcW w:w="1878" w:type="dxa"/>
            <w:tcBorders>
              <w:top w:val="single" w:color="auto" w:sz="12" w:space="0"/>
              <w:left w:val="single" w:color="auto" w:sz="12" w:space="0"/>
              <w:tl2br w:val="single" w:color="auto" w:sz="4" w:space="0"/>
            </w:tcBorders>
          </w:tcPr>
          <w:p w14:paraId="47B3E419">
            <w:pPr>
              <w:pStyle w:val="13"/>
              <w:ind w:firstLine="489"/>
              <w:jc w:val="right"/>
              <w:rPr>
                <w:szCs w:val="16"/>
              </w:rPr>
            </w:pPr>
            <w:r>
              <w:rPr>
                <w:rFonts w:hint="eastAsia"/>
                <w:szCs w:val="16"/>
              </w:rPr>
              <w:t>课程目标</w:t>
            </w:r>
          </w:p>
          <w:p w14:paraId="3AC7F4A3">
            <w:pPr>
              <w:pStyle w:val="13"/>
              <w:ind w:right="210"/>
              <w:jc w:val="left"/>
              <w:rPr>
                <w:rFonts w:hint="eastAsia"/>
                <w:szCs w:val="16"/>
              </w:rPr>
            </w:pPr>
          </w:p>
          <w:p w14:paraId="0E825AAE">
            <w:pPr>
              <w:pStyle w:val="13"/>
              <w:ind w:right="210"/>
              <w:jc w:val="left"/>
              <w:rPr>
                <w:szCs w:val="16"/>
              </w:rPr>
            </w:pPr>
            <w:r>
              <w:rPr>
                <w:rFonts w:hint="eastAsia"/>
                <w:szCs w:val="16"/>
              </w:rPr>
              <w:t>教学单元</w:t>
            </w:r>
          </w:p>
        </w:tc>
        <w:tc>
          <w:tcPr>
            <w:tcW w:w="1100" w:type="dxa"/>
            <w:tcBorders>
              <w:top w:val="single" w:color="auto" w:sz="12" w:space="0"/>
            </w:tcBorders>
            <w:vAlign w:val="center"/>
          </w:tcPr>
          <w:p w14:paraId="250F48FC">
            <w:pPr>
              <w:pStyle w:val="13"/>
              <w:rPr>
                <w:rFonts w:hint="eastAsia" w:eastAsia="黑体"/>
                <w:szCs w:val="16"/>
                <w:lang w:val="en-US" w:eastAsia="zh-CN"/>
              </w:rPr>
            </w:pPr>
            <w:r>
              <w:rPr>
                <w:rFonts w:hint="eastAsia"/>
                <w:szCs w:val="16"/>
                <w:lang w:val="en-US" w:eastAsia="zh-CN"/>
              </w:rPr>
              <w:t>1</w:t>
            </w:r>
          </w:p>
        </w:tc>
        <w:tc>
          <w:tcPr>
            <w:tcW w:w="1100" w:type="dxa"/>
            <w:tcBorders>
              <w:top w:val="single" w:color="auto" w:sz="12" w:space="0"/>
            </w:tcBorders>
            <w:vAlign w:val="center"/>
          </w:tcPr>
          <w:p w14:paraId="32B8A47D">
            <w:pPr>
              <w:pStyle w:val="13"/>
              <w:rPr>
                <w:rFonts w:hint="eastAsia" w:eastAsia="黑体"/>
                <w:szCs w:val="16"/>
                <w:lang w:val="en-US" w:eastAsia="zh-CN"/>
              </w:rPr>
            </w:pPr>
            <w:r>
              <w:rPr>
                <w:rFonts w:hint="eastAsia"/>
                <w:szCs w:val="16"/>
                <w:lang w:val="en-US" w:eastAsia="zh-CN"/>
              </w:rPr>
              <w:t>2</w:t>
            </w:r>
          </w:p>
        </w:tc>
        <w:tc>
          <w:tcPr>
            <w:tcW w:w="1100" w:type="dxa"/>
            <w:tcBorders>
              <w:top w:val="single" w:color="auto" w:sz="12" w:space="0"/>
            </w:tcBorders>
            <w:vAlign w:val="center"/>
          </w:tcPr>
          <w:p w14:paraId="472F87C7">
            <w:pPr>
              <w:pStyle w:val="13"/>
              <w:rPr>
                <w:rFonts w:hint="eastAsia" w:eastAsia="黑体"/>
                <w:szCs w:val="16"/>
                <w:lang w:val="en-US" w:eastAsia="zh-CN"/>
              </w:rPr>
            </w:pPr>
            <w:r>
              <w:rPr>
                <w:rFonts w:hint="eastAsia"/>
                <w:szCs w:val="16"/>
                <w:lang w:val="en-US" w:eastAsia="zh-CN"/>
              </w:rPr>
              <w:t>3</w:t>
            </w:r>
          </w:p>
        </w:tc>
        <w:tc>
          <w:tcPr>
            <w:tcW w:w="1100" w:type="dxa"/>
            <w:tcBorders>
              <w:top w:val="single" w:color="auto" w:sz="12" w:space="0"/>
            </w:tcBorders>
            <w:vAlign w:val="center"/>
          </w:tcPr>
          <w:p w14:paraId="225FF6FD">
            <w:pPr>
              <w:pStyle w:val="13"/>
              <w:rPr>
                <w:rFonts w:hint="default"/>
                <w:szCs w:val="16"/>
                <w:lang w:val="en-US" w:eastAsia="zh-CN"/>
              </w:rPr>
            </w:pPr>
            <w:r>
              <w:rPr>
                <w:rFonts w:hint="eastAsia"/>
                <w:szCs w:val="16"/>
                <w:lang w:val="en-US" w:eastAsia="zh-CN"/>
              </w:rPr>
              <w:t>4</w:t>
            </w:r>
          </w:p>
        </w:tc>
      </w:tr>
      <w:tr w14:paraId="1BFD7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878" w:type="dxa"/>
            <w:tcBorders>
              <w:left w:val="single" w:color="auto" w:sz="12" w:space="0"/>
            </w:tcBorders>
          </w:tcPr>
          <w:p w14:paraId="3CD0BF4F">
            <w:pPr>
              <w:pStyle w:val="14"/>
              <w:rPr>
                <w:rFonts w:hint="eastAsia" w:eastAsia="宋体"/>
                <w:lang w:eastAsia="zh-CN"/>
              </w:rPr>
            </w:pPr>
            <w:r>
              <w:rPr>
                <w:rFonts w:hint="eastAsia"/>
                <w:lang w:eastAsia="zh-CN"/>
              </w:rPr>
              <w:t>热学</w:t>
            </w:r>
          </w:p>
        </w:tc>
        <w:tc>
          <w:tcPr>
            <w:tcW w:w="1100" w:type="dxa"/>
            <w:vAlign w:val="center"/>
          </w:tcPr>
          <w:p w14:paraId="3336F239">
            <w:pPr>
              <w:pStyle w:val="14"/>
            </w:pPr>
            <w:r>
              <w:rPr>
                <w:rFonts w:hint="default" w:ascii="Arial" w:hAnsi="Arial" w:cs="Arial"/>
              </w:rPr>
              <w:t>√</w:t>
            </w:r>
          </w:p>
        </w:tc>
        <w:tc>
          <w:tcPr>
            <w:tcW w:w="1100" w:type="dxa"/>
            <w:vAlign w:val="center"/>
          </w:tcPr>
          <w:p w14:paraId="0F3AEA0E">
            <w:pPr>
              <w:pStyle w:val="14"/>
            </w:pPr>
            <w:r>
              <w:rPr>
                <w:rFonts w:hint="default" w:ascii="Arial" w:hAnsi="Arial" w:cs="Arial"/>
              </w:rPr>
              <w:t>√</w:t>
            </w:r>
          </w:p>
        </w:tc>
        <w:tc>
          <w:tcPr>
            <w:tcW w:w="1100" w:type="dxa"/>
            <w:vAlign w:val="center"/>
          </w:tcPr>
          <w:p w14:paraId="1077E11E">
            <w:pPr>
              <w:pStyle w:val="14"/>
            </w:pPr>
            <w:r>
              <w:rPr>
                <w:rFonts w:hint="default" w:ascii="Arial" w:hAnsi="Arial" w:cs="Arial"/>
              </w:rPr>
              <w:t>√</w:t>
            </w:r>
          </w:p>
        </w:tc>
        <w:tc>
          <w:tcPr>
            <w:tcW w:w="1100" w:type="dxa"/>
            <w:vAlign w:val="center"/>
          </w:tcPr>
          <w:p w14:paraId="1512051B">
            <w:pPr>
              <w:pStyle w:val="14"/>
              <w:rPr>
                <w:rFonts w:hint="default" w:ascii="Arial" w:hAnsi="Arial" w:cs="Arial"/>
              </w:rPr>
            </w:pPr>
            <w:r>
              <w:rPr>
                <w:rFonts w:hint="default" w:ascii="Arial" w:hAnsi="Arial" w:cs="Arial"/>
              </w:rPr>
              <w:t>√</w:t>
            </w:r>
          </w:p>
        </w:tc>
      </w:tr>
      <w:tr w14:paraId="6B87E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878" w:type="dxa"/>
            <w:tcBorders>
              <w:left w:val="single" w:color="auto" w:sz="12" w:space="0"/>
            </w:tcBorders>
          </w:tcPr>
          <w:p w14:paraId="38259AC9">
            <w:pPr>
              <w:pStyle w:val="14"/>
              <w:rPr>
                <w:rFonts w:hint="eastAsia" w:eastAsia="宋体"/>
                <w:lang w:eastAsia="zh-CN"/>
              </w:rPr>
            </w:pPr>
            <w:r>
              <w:rPr>
                <w:rFonts w:hint="eastAsia"/>
                <w:lang w:eastAsia="zh-CN"/>
              </w:rPr>
              <w:t>振动、波动、光学</w:t>
            </w:r>
          </w:p>
        </w:tc>
        <w:tc>
          <w:tcPr>
            <w:tcW w:w="1100" w:type="dxa"/>
            <w:vAlign w:val="center"/>
          </w:tcPr>
          <w:p w14:paraId="0D5D0F1E">
            <w:pPr>
              <w:pStyle w:val="14"/>
            </w:pPr>
            <w:r>
              <w:rPr>
                <w:rFonts w:hint="default" w:ascii="Arial" w:hAnsi="Arial" w:cs="Arial"/>
              </w:rPr>
              <w:t>√</w:t>
            </w:r>
          </w:p>
        </w:tc>
        <w:tc>
          <w:tcPr>
            <w:tcW w:w="1100" w:type="dxa"/>
            <w:vAlign w:val="center"/>
          </w:tcPr>
          <w:p w14:paraId="728D1EBD">
            <w:pPr>
              <w:pStyle w:val="14"/>
            </w:pPr>
            <w:r>
              <w:rPr>
                <w:rFonts w:hint="default" w:ascii="Arial" w:hAnsi="Arial" w:cs="Arial"/>
              </w:rPr>
              <w:t>√</w:t>
            </w:r>
          </w:p>
        </w:tc>
        <w:tc>
          <w:tcPr>
            <w:tcW w:w="1100" w:type="dxa"/>
            <w:vAlign w:val="center"/>
          </w:tcPr>
          <w:p w14:paraId="5AFA9BFD">
            <w:pPr>
              <w:pStyle w:val="14"/>
            </w:pPr>
            <w:r>
              <w:rPr>
                <w:rFonts w:hint="default" w:ascii="Arial" w:hAnsi="Arial" w:cs="Arial"/>
              </w:rPr>
              <w:t>√</w:t>
            </w:r>
          </w:p>
        </w:tc>
        <w:tc>
          <w:tcPr>
            <w:tcW w:w="1100" w:type="dxa"/>
            <w:vAlign w:val="center"/>
          </w:tcPr>
          <w:p w14:paraId="39673A4B">
            <w:pPr>
              <w:pStyle w:val="14"/>
              <w:rPr>
                <w:rFonts w:hint="default" w:ascii="Arial" w:hAnsi="Arial" w:cs="Arial"/>
              </w:rPr>
            </w:pPr>
            <w:r>
              <w:rPr>
                <w:rFonts w:hint="default" w:ascii="Arial" w:hAnsi="Arial" w:cs="Arial"/>
              </w:rPr>
              <w:t>√</w:t>
            </w:r>
          </w:p>
        </w:tc>
      </w:tr>
    </w:tbl>
    <w:p w14:paraId="47534879">
      <w:pPr>
        <w:pStyle w:val="17"/>
        <w:spacing w:before="326" w:beforeLines="100" w:after="163"/>
      </w:pPr>
      <w:r>
        <w:rPr>
          <w:rFonts w:hint="eastAsia"/>
        </w:rPr>
        <w:t>（三）课程教学方法与学时分配</w:t>
      </w:r>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85" w:type="dxa"/>
          <w:bottom w:w="0" w:type="dxa"/>
          <w:right w:w="85" w:type="dxa"/>
        </w:tblCellMar>
      </w:tblPr>
      <w:tblGrid>
        <w:gridCol w:w="1283"/>
        <w:gridCol w:w="3765"/>
        <w:gridCol w:w="1317"/>
        <w:gridCol w:w="725"/>
        <w:gridCol w:w="669"/>
        <w:gridCol w:w="717"/>
      </w:tblGrid>
      <w:tr w14:paraId="214A9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1283" w:type="dxa"/>
            <w:vMerge w:val="restart"/>
            <w:tcBorders>
              <w:top w:val="single" w:color="auto" w:sz="12" w:space="0"/>
              <w:left w:val="single" w:color="auto" w:sz="12" w:space="0"/>
            </w:tcBorders>
            <w:vAlign w:val="center"/>
          </w:tcPr>
          <w:p w14:paraId="2780E22E">
            <w:pPr>
              <w:widowControl w:val="0"/>
              <w:snapToGrid w:val="0"/>
              <w:jc w:val="center"/>
              <w:rPr>
                <w:rFonts w:ascii="黑体" w:hAnsi="黑体" w:eastAsia="黑体"/>
                <w:bCs/>
                <w:sz w:val="21"/>
                <w:szCs w:val="21"/>
              </w:rPr>
            </w:pPr>
            <w:r>
              <w:rPr>
                <w:rFonts w:hint="eastAsia" w:ascii="黑体" w:hAnsi="黑体" w:eastAsia="黑体"/>
                <w:bCs/>
                <w:sz w:val="21"/>
                <w:szCs w:val="21"/>
              </w:rPr>
              <w:t>教学单元</w:t>
            </w:r>
          </w:p>
        </w:tc>
        <w:tc>
          <w:tcPr>
            <w:tcW w:w="3765" w:type="dxa"/>
            <w:vMerge w:val="restart"/>
            <w:tcBorders>
              <w:top w:val="single" w:color="auto" w:sz="12" w:space="0"/>
            </w:tcBorders>
            <w:vAlign w:val="center"/>
          </w:tcPr>
          <w:p w14:paraId="5ED4500F">
            <w:pPr>
              <w:pStyle w:val="13"/>
              <w:widowControl w:val="0"/>
              <w:rPr>
                <w:szCs w:val="21"/>
              </w:rPr>
            </w:pPr>
            <w:r>
              <w:rPr>
                <w:rFonts w:hint="eastAsia" w:ascii="黑体" w:hAnsi="黑体"/>
                <w:szCs w:val="21"/>
              </w:rPr>
              <w:t>教与学方式</w:t>
            </w:r>
          </w:p>
        </w:tc>
        <w:tc>
          <w:tcPr>
            <w:tcW w:w="1317" w:type="dxa"/>
            <w:vMerge w:val="restart"/>
            <w:tcBorders>
              <w:top w:val="single" w:color="auto" w:sz="12" w:space="0"/>
            </w:tcBorders>
            <w:vAlign w:val="center"/>
          </w:tcPr>
          <w:p w14:paraId="065CB656">
            <w:pPr>
              <w:pStyle w:val="13"/>
              <w:widowControl w:val="0"/>
              <w:rPr>
                <w:rFonts w:ascii="黑体" w:hAnsi="黑体"/>
                <w:szCs w:val="21"/>
              </w:rPr>
            </w:pPr>
            <w:r>
              <w:rPr>
                <w:rFonts w:hint="eastAsia" w:ascii="黑体" w:hAnsi="黑体"/>
                <w:szCs w:val="21"/>
              </w:rPr>
              <w:t>考核方式</w:t>
            </w:r>
          </w:p>
        </w:tc>
        <w:tc>
          <w:tcPr>
            <w:tcW w:w="2111" w:type="dxa"/>
            <w:gridSpan w:val="3"/>
            <w:tcBorders>
              <w:top w:val="single" w:color="auto" w:sz="12" w:space="0"/>
              <w:right w:val="single" w:color="auto" w:sz="12" w:space="0"/>
            </w:tcBorders>
            <w:vAlign w:val="center"/>
          </w:tcPr>
          <w:p w14:paraId="21C8323D">
            <w:pPr>
              <w:pStyle w:val="13"/>
              <w:widowControl w:val="0"/>
              <w:rPr>
                <w:rFonts w:ascii="黑体" w:hAnsi="黑体"/>
                <w:szCs w:val="21"/>
              </w:rPr>
            </w:pPr>
            <w:r>
              <w:rPr>
                <w:rFonts w:hint="eastAsia" w:ascii="黑体" w:hAnsi="黑体"/>
                <w:szCs w:val="21"/>
              </w:rPr>
              <w:t>学时</w:t>
            </w:r>
            <w:r>
              <w:rPr>
                <w:rFonts w:hint="eastAsia" w:ascii="黑体" w:hAnsi="黑体"/>
                <w:bCs w:val="0"/>
                <w:szCs w:val="21"/>
              </w:rPr>
              <w:t>分配</w:t>
            </w:r>
          </w:p>
        </w:tc>
      </w:tr>
      <w:tr w14:paraId="41A83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340" w:hRule="atLeast"/>
          <w:jc w:val="center"/>
        </w:trPr>
        <w:tc>
          <w:tcPr>
            <w:tcW w:w="1283" w:type="dxa"/>
            <w:vMerge w:val="continue"/>
            <w:tcBorders>
              <w:left w:val="single" w:color="auto" w:sz="12" w:space="0"/>
            </w:tcBorders>
          </w:tcPr>
          <w:p w14:paraId="4FFB229E">
            <w:pPr>
              <w:widowControl w:val="0"/>
              <w:snapToGrid w:val="0"/>
              <w:jc w:val="center"/>
              <w:rPr>
                <w:rFonts w:ascii="黑体" w:hAnsi="黑体" w:eastAsia="黑体"/>
                <w:bCs/>
                <w:sz w:val="21"/>
                <w:szCs w:val="21"/>
              </w:rPr>
            </w:pPr>
          </w:p>
        </w:tc>
        <w:tc>
          <w:tcPr>
            <w:tcW w:w="3765" w:type="dxa"/>
            <w:vMerge w:val="continue"/>
          </w:tcPr>
          <w:p w14:paraId="4E58DB9F">
            <w:pPr>
              <w:widowControl w:val="0"/>
              <w:snapToGrid w:val="0"/>
              <w:jc w:val="center"/>
              <w:rPr>
                <w:rFonts w:ascii="黑体" w:hAnsi="黑体" w:eastAsia="黑体"/>
                <w:bCs/>
                <w:sz w:val="21"/>
                <w:szCs w:val="21"/>
              </w:rPr>
            </w:pPr>
          </w:p>
        </w:tc>
        <w:tc>
          <w:tcPr>
            <w:tcW w:w="1317" w:type="dxa"/>
            <w:vMerge w:val="continue"/>
          </w:tcPr>
          <w:p w14:paraId="0A2BC691">
            <w:pPr>
              <w:widowControl w:val="0"/>
              <w:snapToGrid w:val="0"/>
              <w:jc w:val="center"/>
              <w:rPr>
                <w:rFonts w:ascii="黑体" w:hAnsi="黑体" w:eastAsia="黑体"/>
                <w:bCs/>
                <w:sz w:val="21"/>
                <w:szCs w:val="21"/>
              </w:rPr>
            </w:pPr>
          </w:p>
        </w:tc>
        <w:tc>
          <w:tcPr>
            <w:tcW w:w="725" w:type="dxa"/>
            <w:vAlign w:val="center"/>
          </w:tcPr>
          <w:p w14:paraId="162B69A0">
            <w:pPr>
              <w:widowControl w:val="0"/>
              <w:snapToGrid w:val="0"/>
              <w:jc w:val="center"/>
              <w:rPr>
                <w:rFonts w:ascii="黑体" w:hAnsi="黑体" w:eastAsia="黑体"/>
                <w:bCs/>
                <w:sz w:val="21"/>
                <w:szCs w:val="21"/>
              </w:rPr>
            </w:pPr>
            <w:r>
              <w:rPr>
                <w:rFonts w:hint="eastAsia" w:ascii="黑体" w:hAnsi="黑体" w:eastAsia="黑体"/>
                <w:bCs/>
                <w:sz w:val="21"/>
                <w:szCs w:val="21"/>
              </w:rPr>
              <w:t>理论</w:t>
            </w:r>
          </w:p>
        </w:tc>
        <w:tc>
          <w:tcPr>
            <w:tcW w:w="669" w:type="dxa"/>
            <w:vAlign w:val="center"/>
          </w:tcPr>
          <w:p w14:paraId="60909540">
            <w:pPr>
              <w:widowControl w:val="0"/>
              <w:snapToGrid w:val="0"/>
              <w:jc w:val="center"/>
              <w:rPr>
                <w:rFonts w:ascii="黑体" w:hAnsi="黑体" w:eastAsia="黑体"/>
                <w:bCs/>
                <w:sz w:val="21"/>
                <w:szCs w:val="21"/>
              </w:rPr>
            </w:pPr>
            <w:r>
              <w:rPr>
                <w:rFonts w:hint="eastAsia" w:ascii="黑体" w:hAnsi="黑体" w:eastAsia="黑体"/>
                <w:bCs/>
                <w:sz w:val="21"/>
                <w:szCs w:val="21"/>
              </w:rPr>
              <w:t>实践</w:t>
            </w:r>
          </w:p>
        </w:tc>
        <w:tc>
          <w:tcPr>
            <w:tcW w:w="717" w:type="dxa"/>
            <w:tcBorders>
              <w:right w:val="single" w:color="auto" w:sz="12" w:space="0"/>
            </w:tcBorders>
            <w:vAlign w:val="center"/>
          </w:tcPr>
          <w:p w14:paraId="5774DCC3">
            <w:pPr>
              <w:widowControl w:val="0"/>
              <w:snapToGrid w:val="0"/>
              <w:jc w:val="center"/>
              <w:rPr>
                <w:rFonts w:ascii="黑体" w:hAnsi="黑体" w:eastAsia="黑体"/>
                <w:bCs/>
                <w:sz w:val="21"/>
                <w:szCs w:val="21"/>
              </w:rPr>
            </w:pPr>
            <w:r>
              <w:rPr>
                <w:rFonts w:hint="eastAsia" w:ascii="黑体" w:hAnsi="黑体" w:eastAsia="黑体"/>
                <w:bCs/>
                <w:sz w:val="21"/>
                <w:szCs w:val="21"/>
              </w:rPr>
              <w:t>小计</w:t>
            </w:r>
          </w:p>
        </w:tc>
      </w:tr>
      <w:tr w14:paraId="45BA9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014" w:hRule="atLeast"/>
          <w:jc w:val="center"/>
        </w:trPr>
        <w:tc>
          <w:tcPr>
            <w:tcW w:w="1283" w:type="dxa"/>
            <w:tcBorders>
              <w:left w:val="single" w:color="auto" w:sz="12" w:space="0"/>
            </w:tcBorders>
            <w:vAlign w:val="center"/>
          </w:tcPr>
          <w:p w14:paraId="5302F51F">
            <w:pPr>
              <w:widowControl w:val="0"/>
              <w:snapToGrid w:val="0"/>
              <w:jc w:val="left"/>
              <w:rPr>
                <w:rFonts w:hint="default" w:ascii="Times New Roman" w:hAnsi="Times New Roman" w:eastAsia="宋体" w:cs="Times New Roman"/>
                <w:bCs/>
                <w:sz w:val="21"/>
                <w:szCs w:val="21"/>
                <w:lang w:eastAsia="zh-CN"/>
              </w:rPr>
            </w:pPr>
            <w:r>
              <w:rPr>
                <w:rFonts w:hint="default" w:ascii="Times New Roman" w:hAnsi="Times New Roman" w:cs="Times New Roman"/>
                <w:bCs/>
                <w:sz w:val="21"/>
                <w:szCs w:val="21"/>
                <w:lang w:eastAsia="zh-CN"/>
              </w:rPr>
              <w:t>热学</w:t>
            </w:r>
          </w:p>
        </w:tc>
        <w:tc>
          <w:tcPr>
            <w:tcW w:w="3765" w:type="dxa"/>
            <w:vMerge w:val="restart"/>
            <w:vAlign w:val="center"/>
          </w:tcPr>
          <w:p w14:paraId="4422AA9E">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1、讲授法：授课教师口授结合板书直接向学生传授物理知识，帮助学生理解大学物理中的基本概念，掌握物理学基本定律，同时理解基本定理演绎过程。 </w:t>
            </w:r>
          </w:p>
          <w:p w14:paraId="07426CC3">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2、演示法：授课教师通过 PPT 等多媒体工具将经典的物理现象和规律以图文并茂的形式展示给学生，使学生对物理概念有一个直观的认识。 </w:t>
            </w:r>
          </w:p>
          <w:p w14:paraId="3E1A689C">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3、案例教学法：以案例为基础的教学法，通过提出没有特定解决方法的问题，鼓励学生积极参与讨论，并就自己和他人的方案发表见解，使学生的学习变被动为主动。 </w:t>
            </w:r>
          </w:p>
          <w:p w14:paraId="7E66D8FB">
            <w:pPr>
              <w:keepNext w:val="0"/>
              <w:keepLines w:val="0"/>
              <w:widowControl/>
              <w:suppressLineNumbers w:val="0"/>
              <w:jc w:val="left"/>
              <w:rPr>
                <w:rFonts w:hint="default" w:ascii="Times New Roman" w:hAnsi="Times New Roman" w:cs="Times New Roman"/>
                <w:sz w:val="21"/>
                <w:szCs w:val="21"/>
              </w:rPr>
            </w:pPr>
            <w:r>
              <w:rPr>
                <w:rFonts w:hint="default" w:ascii="Times New Roman" w:hAnsi="Times New Roman" w:eastAsia="宋体" w:cs="Times New Roman"/>
                <w:color w:val="000000"/>
                <w:kern w:val="0"/>
                <w:sz w:val="21"/>
                <w:szCs w:val="21"/>
                <w:lang w:val="en-US" w:eastAsia="zh-CN" w:bidi="ar"/>
              </w:rPr>
              <w:t xml:space="preserve">4、同伴教学法：利用一些引导学生深入探究的概念测试题等，引导学生参与教 学过程，变传统单一的讲授为基于剖析概念的自主学习和合作探究。 </w:t>
            </w:r>
          </w:p>
          <w:p w14:paraId="3E255F3E">
            <w:pPr>
              <w:keepNext w:val="0"/>
              <w:keepLines w:val="0"/>
              <w:widowControl/>
              <w:suppressLineNumbers w:val="0"/>
              <w:jc w:val="left"/>
              <w:rPr>
                <w:rFonts w:hint="default" w:ascii="Times New Roman" w:hAnsi="Times New Roman" w:cs="Times New Roman"/>
                <w:bCs/>
                <w:sz w:val="21"/>
                <w:szCs w:val="21"/>
              </w:rPr>
            </w:pPr>
            <w:r>
              <w:rPr>
                <w:rFonts w:hint="default" w:ascii="Times New Roman" w:hAnsi="Times New Roman" w:eastAsia="宋体" w:cs="Times New Roman"/>
                <w:color w:val="000000"/>
                <w:kern w:val="0"/>
                <w:sz w:val="21"/>
                <w:szCs w:val="21"/>
                <w:lang w:val="en-US" w:eastAsia="zh-CN" w:bidi="ar"/>
              </w:rPr>
              <w:t>5、练习法：通过大量的例题讲解和课后习题的练习，使学生对教学大纲要求的 知识点快速掌握，同时掌握应用物理概念和基本定理解题的技巧。</w:t>
            </w:r>
          </w:p>
        </w:tc>
        <w:tc>
          <w:tcPr>
            <w:tcW w:w="1317" w:type="dxa"/>
            <w:vMerge w:val="restart"/>
            <w:vAlign w:val="center"/>
          </w:tcPr>
          <w:p w14:paraId="3DB31FC4">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期末考试</w:t>
            </w:r>
          </w:p>
          <w:p w14:paraId="5FE48C39">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作业习题</w:t>
            </w:r>
          </w:p>
          <w:p w14:paraId="728D6EC1">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课堂表现</w:t>
            </w:r>
          </w:p>
          <w:p w14:paraId="5903F779">
            <w:pPr>
              <w:widowControl w:val="0"/>
              <w:snapToGrid w:val="0"/>
              <w:jc w:val="left"/>
              <w:rPr>
                <w:rFonts w:hint="default" w:ascii="Times New Roman" w:hAnsi="Times New Roman" w:cs="Times New Roman"/>
                <w:bCs/>
                <w:sz w:val="21"/>
                <w:szCs w:val="21"/>
                <w:lang w:val="en-US" w:eastAsia="zh-CN"/>
              </w:rPr>
            </w:pPr>
            <w:r>
              <w:rPr>
                <w:rFonts w:hint="default" w:ascii="Times New Roman" w:hAnsi="Times New Roman" w:cs="Times New Roman"/>
                <w:bCs/>
                <w:sz w:val="21"/>
                <w:szCs w:val="21"/>
                <w:lang w:val="en-US" w:eastAsia="zh-CN"/>
              </w:rPr>
              <w:t>调查报告</w:t>
            </w:r>
          </w:p>
          <w:p w14:paraId="04A0604D">
            <w:pPr>
              <w:widowControl w:val="0"/>
              <w:snapToGrid w:val="0"/>
              <w:jc w:val="left"/>
              <w:rPr>
                <w:rFonts w:hint="default" w:ascii="Times New Roman" w:hAnsi="Times New Roman" w:cs="Times New Roman"/>
                <w:bCs/>
                <w:sz w:val="21"/>
                <w:szCs w:val="21"/>
              </w:rPr>
            </w:pPr>
          </w:p>
        </w:tc>
        <w:tc>
          <w:tcPr>
            <w:tcW w:w="725" w:type="dxa"/>
            <w:vAlign w:val="center"/>
          </w:tcPr>
          <w:p w14:paraId="6A5E0F09">
            <w:pPr>
              <w:widowControl w:val="0"/>
              <w:snapToGrid w:val="0"/>
              <w:jc w:val="left"/>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1</w:t>
            </w:r>
            <w:r>
              <w:rPr>
                <w:rFonts w:hint="eastAsia" w:ascii="Times New Roman" w:hAnsi="Times New Roman" w:cs="Times New Roman"/>
                <w:bCs/>
                <w:sz w:val="21"/>
                <w:szCs w:val="21"/>
                <w:lang w:val="en-US" w:eastAsia="zh-CN"/>
              </w:rPr>
              <w:t>0</w:t>
            </w:r>
          </w:p>
        </w:tc>
        <w:tc>
          <w:tcPr>
            <w:tcW w:w="669" w:type="dxa"/>
            <w:vAlign w:val="center"/>
          </w:tcPr>
          <w:p w14:paraId="67727904">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right w:val="single" w:color="auto" w:sz="12" w:space="0"/>
            </w:tcBorders>
            <w:vAlign w:val="center"/>
          </w:tcPr>
          <w:p w14:paraId="1132621E">
            <w:pPr>
              <w:widowControl w:val="0"/>
              <w:snapToGrid w:val="0"/>
              <w:jc w:val="left"/>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1</w:t>
            </w:r>
            <w:r>
              <w:rPr>
                <w:rFonts w:hint="eastAsia" w:ascii="Times New Roman" w:hAnsi="Times New Roman" w:cs="Times New Roman"/>
                <w:bCs/>
                <w:sz w:val="21"/>
                <w:szCs w:val="21"/>
                <w:lang w:val="en-US" w:eastAsia="zh-CN"/>
              </w:rPr>
              <w:t>0</w:t>
            </w:r>
          </w:p>
        </w:tc>
      </w:tr>
      <w:tr w14:paraId="5BB20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1283" w:type="dxa"/>
            <w:tcBorders>
              <w:left w:val="single" w:color="auto" w:sz="12" w:space="0"/>
            </w:tcBorders>
            <w:vAlign w:val="center"/>
          </w:tcPr>
          <w:p w14:paraId="74374221">
            <w:pPr>
              <w:widowControl w:val="0"/>
              <w:snapToGrid w:val="0"/>
              <w:jc w:val="left"/>
              <w:rPr>
                <w:rFonts w:hint="default" w:ascii="Times New Roman" w:hAnsi="Times New Roman" w:eastAsia="宋体" w:cs="Times New Roman"/>
                <w:bCs/>
                <w:sz w:val="21"/>
                <w:szCs w:val="21"/>
                <w:lang w:eastAsia="zh-CN"/>
              </w:rPr>
            </w:pPr>
            <w:r>
              <w:rPr>
                <w:rFonts w:hint="default" w:ascii="Times New Roman" w:hAnsi="Times New Roman" w:cs="Times New Roman"/>
                <w:bCs/>
                <w:sz w:val="21"/>
                <w:szCs w:val="21"/>
                <w:lang w:eastAsia="zh-CN"/>
              </w:rPr>
              <w:t>振动、波动、光学</w:t>
            </w:r>
          </w:p>
        </w:tc>
        <w:tc>
          <w:tcPr>
            <w:tcW w:w="3765" w:type="dxa"/>
            <w:vMerge w:val="continue"/>
            <w:vAlign w:val="center"/>
          </w:tcPr>
          <w:p w14:paraId="2D2FCC37">
            <w:pPr>
              <w:widowControl w:val="0"/>
              <w:snapToGrid w:val="0"/>
              <w:jc w:val="left"/>
              <w:rPr>
                <w:rFonts w:hint="default" w:ascii="Times New Roman" w:hAnsi="Times New Roman" w:cs="Times New Roman"/>
                <w:bCs/>
                <w:sz w:val="21"/>
                <w:szCs w:val="21"/>
              </w:rPr>
            </w:pPr>
          </w:p>
        </w:tc>
        <w:tc>
          <w:tcPr>
            <w:tcW w:w="1317" w:type="dxa"/>
            <w:vMerge w:val="continue"/>
            <w:vAlign w:val="center"/>
          </w:tcPr>
          <w:p w14:paraId="6DEF7802">
            <w:pPr>
              <w:widowControl w:val="0"/>
              <w:snapToGrid w:val="0"/>
              <w:jc w:val="left"/>
              <w:rPr>
                <w:rFonts w:hint="default" w:ascii="Times New Roman" w:hAnsi="Times New Roman" w:cs="Times New Roman"/>
                <w:bCs/>
                <w:sz w:val="21"/>
                <w:szCs w:val="21"/>
              </w:rPr>
            </w:pPr>
          </w:p>
        </w:tc>
        <w:tc>
          <w:tcPr>
            <w:tcW w:w="725" w:type="dxa"/>
            <w:vAlign w:val="center"/>
          </w:tcPr>
          <w:p w14:paraId="3A33CFC7">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22</w:t>
            </w:r>
          </w:p>
        </w:tc>
        <w:tc>
          <w:tcPr>
            <w:tcW w:w="669" w:type="dxa"/>
            <w:vAlign w:val="center"/>
          </w:tcPr>
          <w:p w14:paraId="6E68BDE4">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right w:val="single" w:color="auto" w:sz="12" w:space="0"/>
            </w:tcBorders>
            <w:vAlign w:val="center"/>
          </w:tcPr>
          <w:p w14:paraId="328C66CC">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22</w:t>
            </w:r>
          </w:p>
        </w:tc>
      </w:tr>
      <w:tr w14:paraId="63FEA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85" w:type="dxa"/>
            <w:bottom w:w="0" w:type="dxa"/>
            <w:right w:w="85" w:type="dxa"/>
          </w:tblCellMar>
        </w:tblPrEx>
        <w:trPr>
          <w:trHeight w:val="454" w:hRule="atLeast"/>
          <w:jc w:val="center"/>
        </w:trPr>
        <w:tc>
          <w:tcPr>
            <w:tcW w:w="6365" w:type="dxa"/>
            <w:gridSpan w:val="3"/>
            <w:tcBorders>
              <w:left w:val="single" w:color="auto" w:sz="12" w:space="0"/>
              <w:bottom w:val="single" w:color="auto" w:sz="12" w:space="0"/>
            </w:tcBorders>
            <w:vAlign w:val="center"/>
          </w:tcPr>
          <w:p w14:paraId="10DE72D3">
            <w:pPr>
              <w:pStyle w:val="13"/>
              <w:widowControl w:val="0"/>
              <w:jc w:val="center"/>
              <w:rPr>
                <w:rFonts w:hint="default" w:ascii="Times New Roman" w:hAnsi="Times New Roman" w:cs="Times New Roman"/>
              </w:rPr>
            </w:pPr>
            <w:r>
              <w:rPr>
                <w:rFonts w:hint="default" w:ascii="Times New Roman" w:hAnsi="Times New Roman" w:cs="Times New Roman"/>
              </w:rPr>
              <w:t>合计</w:t>
            </w:r>
          </w:p>
        </w:tc>
        <w:tc>
          <w:tcPr>
            <w:tcW w:w="725" w:type="dxa"/>
            <w:tcBorders>
              <w:bottom w:val="single" w:color="auto" w:sz="12" w:space="0"/>
            </w:tcBorders>
            <w:vAlign w:val="center"/>
          </w:tcPr>
          <w:p w14:paraId="0CD398D1">
            <w:pPr>
              <w:widowControl w:val="0"/>
              <w:snapToGrid w:val="0"/>
              <w:jc w:val="left"/>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3</w:t>
            </w:r>
            <w:r>
              <w:rPr>
                <w:rFonts w:hint="eastAsia" w:ascii="Times New Roman" w:hAnsi="Times New Roman" w:cs="Times New Roman"/>
                <w:bCs/>
                <w:sz w:val="21"/>
                <w:szCs w:val="21"/>
                <w:lang w:val="en-US" w:eastAsia="zh-CN"/>
              </w:rPr>
              <w:t>2</w:t>
            </w:r>
          </w:p>
        </w:tc>
        <w:tc>
          <w:tcPr>
            <w:tcW w:w="669" w:type="dxa"/>
            <w:tcBorders>
              <w:bottom w:val="single" w:color="auto" w:sz="12" w:space="0"/>
            </w:tcBorders>
            <w:vAlign w:val="center"/>
          </w:tcPr>
          <w:p w14:paraId="2B4191D0">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0</w:t>
            </w:r>
          </w:p>
        </w:tc>
        <w:tc>
          <w:tcPr>
            <w:tcW w:w="717" w:type="dxa"/>
            <w:tcBorders>
              <w:bottom w:val="single" w:color="auto" w:sz="12" w:space="0"/>
              <w:right w:val="single" w:color="auto" w:sz="12" w:space="0"/>
            </w:tcBorders>
            <w:vAlign w:val="center"/>
          </w:tcPr>
          <w:p w14:paraId="4715767D">
            <w:pPr>
              <w:widowControl w:val="0"/>
              <w:snapToGrid w:val="0"/>
              <w:jc w:val="left"/>
              <w:rPr>
                <w:rFonts w:hint="default" w:ascii="Times New Roman" w:hAnsi="Times New Roman" w:eastAsia="宋体" w:cs="Times New Roman"/>
                <w:bCs/>
                <w:sz w:val="21"/>
                <w:szCs w:val="21"/>
                <w:lang w:val="en-US" w:eastAsia="zh-CN"/>
              </w:rPr>
            </w:pPr>
            <w:r>
              <w:rPr>
                <w:rFonts w:hint="eastAsia" w:ascii="Times New Roman" w:hAnsi="Times New Roman" w:cs="Times New Roman"/>
                <w:bCs/>
                <w:sz w:val="21"/>
                <w:szCs w:val="21"/>
                <w:lang w:val="en-US" w:eastAsia="zh-CN"/>
              </w:rPr>
              <w:t>32</w:t>
            </w:r>
          </w:p>
        </w:tc>
      </w:tr>
    </w:tbl>
    <w:p w14:paraId="02309012">
      <w:pPr>
        <w:pStyle w:val="16"/>
        <w:spacing w:before="326" w:beforeLines="100" w:line="360" w:lineRule="auto"/>
        <w:ind w:firstLine="140" w:firstLineChars="50"/>
        <w:rPr>
          <w:rFonts w:ascii="黑体" w:hAnsi="宋体"/>
        </w:rPr>
      </w:pPr>
      <w:bookmarkStart w:id="2" w:name="OLE_LINK1"/>
      <w:bookmarkStart w:id="3" w:name="OLE_LINK2"/>
      <w:r>
        <w:rPr>
          <w:rFonts w:hint="eastAsia" w:ascii="黑体" w:hAnsi="宋体"/>
        </w:rPr>
        <w:t>四、课程思政教学设计</w:t>
      </w:r>
    </w:p>
    <w:bookmarkEnd w:id="2"/>
    <w:bookmarkEnd w:id="3"/>
    <w:tbl>
      <w:tblPr>
        <w:tblStyle w:val="8"/>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28" w:type="dxa"/>
          <w:left w:w="85" w:type="dxa"/>
          <w:bottom w:w="28" w:type="dxa"/>
          <w:right w:w="85" w:type="dxa"/>
        </w:tblCellMar>
      </w:tblPr>
      <w:tblGrid>
        <w:gridCol w:w="8476"/>
      </w:tblGrid>
      <w:tr w14:paraId="71CBBF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85" w:type="dxa"/>
            <w:bottom w:w="28" w:type="dxa"/>
            <w:right w:w="85" w:type="dxa"/>
          </w:tblCellMar>
        </w:tblPrEx>
        <w:trPr>
          <w:trHeight w:val="893" w:hRule="atLeast"/>
        </w:trPr>
        <w:tc>
          <w:tcPr>
            <w:tcW w:w="8276" w:type="dxa"/>
            <w:vAlign w:val="center"/>
          </w:tcPr>
          <w:p w14:paraId="3CD221BB">
            <w:pPr>
              <w:widowControl w:val="0"/>
              <w:spacing w:line="360" w:lineRule="exact"/>
              <w:jc w:val="both"/>
              <w:rPr>
                <w:rFonts w:hint="default" w:ascii="Times New Roman" w:hAnsi="Times New Roman" w:cs="Times New Roman" w:eastAsiaTheme="majorEastAsia"/>
                <w:bCs/>
                <w:kern w:val="0"/>
                <w:sz w:val="21"/>
                <w:szCs w:val="21"/>
              </w:rPr>
            </w:pPr>
            <w:r>
              <w:rPr>
                <w:rFonts w:hint="default" w:ascii="Times New Roman" w:hAnsi="Times New Roman" w:cs="Times New Roman" w:eastAsiaTheme="majorEastAsia"/>
                <w:bCs/>
                <w:kern w:val="0"/>
                <w:sz w:val="21"/>
                <w:szCs w:val="21"/>
                <w:lang w:val="en-US" w:eastAsia="zh-CN"/>
              </w:rPr>
              <w:t xml:space="preserve">1、使学生在学习物理学知识的同时,逐步建立正确的思想方法和研究方法,充分发挥本课程在培养学生辩证唯物主义世界观方面的作用, 将马克思主义立场观点方法的教育与科学精神的培养结合起来，进行科学素质教育。 </w:t>
            </w:r>
          </w:p>
          <w:p w14:paraId="2A8F1639">
            <w:pPr>
              <w:widowControl w:val="0"/>
              <w:spacing w:line="360" w:lineRule="exact"/>
              <w:jc w:val="both"/>
              <w:rPr>
                <w:rFonts w:hint="default" w:ascii="Times New Roman" w:hAnsi="Times New Roman" w:cs="Times New Roman" w:eastAsiaTheme="majorEastAsia"/>
                <w:bCs/>
                <w:kern w:val="0"/>
                <w:sz w:val="21"/>
                <w:szCs w:val="21"/>
              </w:rPr>
            </w:pPr>
            <w:r>
              <w:rPr>
                <w:rFonts w:hint="default" w:ascii="Times New Roman" w:hAnsi="Times New Roman" w:cs="Times New Roman" w:eastAsiaTheme="majorEastAsia"/>
                <w:bCs/>
                <w:kern w:val="0"/>
                <w:sz w:val="21"/>
                <w:szCs w:val="21"/>
                <w:lang w:val="en-US" w:eastAsia="zh-CN"/>
              </w:rPr>
              <w:t xml:space="preserve">2、通过应用物理学原理对国家红色工程和大科学装置的分析，对学生进行科学思维方法训练，提高学生正确认识问题、分析问题和解决问题的能力，培养学生 探索未知、追求真理、勇攀科学高峰的责任感和使命感。 </w:t>
            </w:r>
          </w:p>
          <w:p w14:paraId="4A856C89">
            <w:pPr>
              <w:widowControl w:val="0"/>
              <w:spacing w:line="360" w:lineRule="exact"/>
              <w:jc w:val="both"/>
              <w:rPr>
                <w:rFonts w:hint="default" w:ascii="Times New Roman" w:hAnsi="Times New Roman" w:cs="Times New Roman"/>
              </w:rPr>
            </w:pPr>
            <w:r>
              <w:rPr>
                <w:rFonts w:hint="default" w:ascii="Times New Roman" w:hAnsi="Times New Roman" w:cs="Times New Roman" w:eastAsiaTheme="majorEastAsia"/>
                <w:bCs/>
                <w:kern w:val="0"/>
                <w:sz w:val="21"/>
                <w:szCs w:val="21"/>
                <w:lang w:val="en-US" w:eastAsia="zh-CN"/>
              </w:rPr>
              <w:t xml:space="preserve">3、中国古代科学思想的挖掘和古代科技背后的物理学原理分析，培养学生的民族自豪感和文化自信；同时通过学习老一辈物理学家的爱国奉献精神，树立正确的人生观，坚定共产主义信念和社会主义核心价值观。 </w:t>
            </w:r>
          </w:p>
        </w:tc>
      </w:tr>
    </w:tbl>
    <w:p w14:paraId="2FF38D9A">
      <w:pPr>
        <w:pStyle w:val="16"/>
        <w:spacing w:before="326" w:beforeLines="100" w:line="360" w:lineRule="auto"/>
        <w:rPr>
          <w:rFonts w:ascii="黑体" w:hAnsi="宋体"/>
        </w:rPr>
      </w:pPr>
      <w:r>
        <w:rPr>
          <w:rFonts w:hint="eastAsia" w:ascii="黑体" w:hAnsi="宋体"/>
        </w:rPr>
        <w:t>五、课程考核</w:t>
      </w:r>
      <w:bookmarkStart w:id="4" w:name="OLE_LINK3"/>
      <w:bookmarkStart w:id="5" w:name="OLE_LINK4"/>
    </w:p>
    <w:bookmarkEnd w:id="4"/>
    <w:bookmarkEnd w:id="5"/>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709"/>
        <w:gridCol w:w="2353"/>
        <w:gridCol w:w="612"/>
        <w:gridCol w:w="612"/>
        <w:gridCol w:w="612"/>
        <w:gridCol w:w="612"/>
        <w:gridCol w:w="706"/>
      </w:tblGrid>
      <w:tr w14:paraId="6F5EC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restart"/>
            <w:tcBorders>
              <w:top w:val="single" w:color="auto" w:sz="12" w:space="0"/>
              <w:left w:val="single" w:color="auto" w:sz="12" w:space="0"/>
            </w:tcBorders>
            <w:vAlign w:val="center"/>
          </w:tcPr>
          <w:p w14:paraId="6BB4A083">
            <w:pPr>
              <w:widowControl w:val="0"/>
              <w:snapToGrid w:val="0"/>
              <w:jc w:val="center"/>
              <w:rPr>
                <w:rFonts w:ascii="黑体" w:hAnsi="黑体" w:eastAsia="黑体"/>
                <w:bCs/>
                <w:sz w:val="21"/>
                <w:szCs w:val="21"/>
              </w:rPr>
            </w:pPr>
            <w:r>
              <w:rPr>
                <w:rFonts w:hint="eastAsia" w:ascii="黑体" w:hAnsi="黑体" w:eastAsia="黑体"/>
                <w:bCs/>
                <w:sz w:val="21"/>
                <w:szCs w:val="21"/>
              </w:rPr>
              <w:t>总评构成</w:t>
            </w:r>
          </w:p>
        </w:tc>
        <w:tc>
          <w:tcPr>
            <w:tcW w:w="709" w:type="dxa"/>
            <w:vMerge w:val="restart"/>
            <w:tcBorders>
              <w:top w:val="single" w:color="auto" w:sz="12" w:space="0"/>
            </w:tcBorders>
            <w:vAlign w:val="center"/>
          </w:tcPr>
          <w:p w14:paraId="180CD80C">
            <w:pPr>
              <w:pStyle w:val="16"/>
              <w:widowControl w:val="0"/>
              <w:spacing w:line="240" w:lineRule="auto"/>
              <w:jc w:val="center"/>
              <w:rPr>
                <w:rFonts w:ascii="黑体" w:hAnsi="宋体"/>
              </w:rPr>
            </w:pPr>
            <w:r>
              <w:rPr>
                <w:rFonts w:hint="eastAsia" w:ascii="黑体" w:hAnsi="黑体"/>
                <w:bCs/>
                <w:sz w:val="21"/>
                <w:szCs w:val="21"/>
              </w:rPr>
              <w:t>占比</w:t>
            </w:r>
          </w:p>
        </w:tc>
        <w:tc>
          <w:tcPr>
            <w:tcW w:w="2353" w:type="dxa"/>
            <w:vMerge w:val="restart"/>
            <w:tcBorders>
              <w:top w:val="single" w:color="auto" w:sz="12" w:space="0"/>
              <w:right w:val="double" w:color="auto" w:sz="4" w:space="0"/>
            </w:tcBorders>
            <w:vAlign w:val="center"/>
          </w:tcPr>
          <w:p w14:paraId="4463B400">
            <w:pPr>
              <w:pStyle w:val="16"/>
              <w:widowControl w:val="0"/>
              <w:jc w:val="center"/>
              <w:rPr>
                <w:rFonts w:ascii="黑体" w:hAnsi="黑体"/>
                <w:bCs/>
                <w:sz w:val="21"/>
                <w:szCs w:val="21"/>
              </w:rPr>
            </w:pPr>
            <w:r>
              <w:rPr>
                <w:rFonts w:hint="eastAsia" w:ascii="黑体" w:hAnsi="黑体"/>
                <w:bCs/>
                <w:sz w:val="21"/>
                <w:szCs w:val="21"/>
              </w:rPr>
              <w:t>考核方式</w:t>
            </w:r>
          </w:p>
        </w:tc>
        <w:tc>
          <w:tcPr>
            <w:tcW w:w="2448" w:type="dxa"/>
            <w:gridSpan w:val="4"/>
            <w:tcBorders>
              <w:top w:val="single" w:color="auto" w:sz="12" w:space="0"/>
              <w:left w:val="double" w:color="auto" w:sz="4" w:space="0"/>
            </w:tcBorders>
            <w:vAlign w:val="center"/>
          </w:tcPr>
          <w:p w14:paraId="58E3028B">
            <w:pPr>
              <w:pStyle w:val="16"/>
              <w:widowControl w:val="0"/>
              <w:spacing w:line="240" w:lineRule="auto"/>
              <w:jc w:val="center"/>
              <w:rPr>
                <w:rFonts w:ascii="黑体" w:hAnsi="宋体"/>
              </w:rPr>
            </w:pPr>
            <w:r>
              <w:rPr>
                <w:rFonts w:hint="eastAsia" w:ascii="黑体" w:hAnsi="黑体"/>
                <w:bCs/>
                <w:sz w:val="21"/>
                <w:szCs w:val="21"/>
              </w:rPr>
              <w:t>课程目标</w:t>
            </w:r>
          </w:p>
        </w:tc>
        <w:tc>
          <w:tcPr>
            <w:tcW w:w="706" w:type="dxa"/>
            <w:tcBorders>
              <w:top w:val="single" w:color="auto" w:sz="12" w:space="0"/>
              <w:right w:val="single" w:color="auto" w:sz="12" w:space="0"/>
            </w:tcBorders>
            <w:vAlign w:val="center"/>
          </w:tcPr>
          <w:p w14:paraId="78A0FC2F">
            <w:pPr>
              <w:pStyle w:val="16"/>
              <w:widowControl w:val="0"/>
              <w:spacing w:line="240" w:lineRule="auto"/>
              <w:jc w:val="center"/>
              <w:rPr>
                <w:rFonts w:ascii="黑体" w:hAnsi="黑体"/>
                <w:bCs/>
                <w:sz w:val="21"/>
                <w:szCs w:val="21"/>
              </w:rPr>
            </w:pPr>
            <w:r>
              <w:rPr>
                <w:rFonts w:hint="eastAsia" w:ascii="黑体" w:hAnsi="黑体"/>
                <w:bCs/>
                <w:sz w:val="21"/>
                <w:szCs w:val="21"/>
              </w:rPr>
              <w:t>合计</w:t>
            </w:r>
          </w:p>
        </w:tc>
      </w:tr>
      <w:tr w14:paraId="7C1E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vMerge w:val="continue"/>
            <w:tcBorders>
              <w:left w:val="single" w:color="auto" w:sz="12" w:space="0"/>
            </w:tcBorders>
          </w:tcPr>
          <w:p w14:paraId="1FA51686">
            <w:pPr>
              <w:widowControl w:val="0"/>
              <w:snapToGrid w:val="0"/>
              <w:jc w:val="center"/>
              <w:rPr>
                <w:rFonts w:ascii="黑体" w:hAnsi="黑体" w:eastAsia="黑体"/>
                <w:bCs/>
                <w:sz w:val="21"/>
                <w:szCs w:val="21"/>
              </w:rPr>
            </w:pPr>
          </w:p>
        </w:tc>
        <w:tc>
          <w:tcPr>
            <w:tcW w:w="709" w:type="dxa"/>
            <w:vMerge w:val="continue"/>
          </w:tcPr>
          <w:p w14:paraId="3240C1A3">
            <w:pPr>
              <w:pStyle w:val="16"/>
              <w:widowControl w:val="0"/>
              <w:jc w:val="both"/>
              <w:rPr>
                <w:rFonts w:ascii="黑体" w:hAnsi="黑体"/>
                <w:bCs/>
                <w:sz w:val="21"/>
                <w:szCs w:val="21"/>
              </w:rPr>
            </w:pPr>
          </w:p>
        </w:tc>
        <w:tc>
          <w:tcPr>
            <w:tcW w:w="2353" w:type="dxa"/>
            <w:vMerge w:val="continue"/>
            <w:tcBorders>
              <w:right w:val="double" w:color="auto" w:sz="4" w:space="0"/>
            </w:tcBorders>
          </w:tcPr>
          <w:p w14:paraId="4BF12ABE">
            <w:pPr>
              <w:pStyle w:val="16"/>
              <w:widowControl w:val="0"/>
              <w:jc w:val="both"/>
              <w:rPr>
                <w:rFonts w:ascii="黑体" w:hAnsi="黑体"/>
                <w:bCs/>
                <w:sz w:val="21"/>
                <w:szCs w:val="21"/>
              </w:rPr>
            </w:pPr>
          </w:p>
        </w:tc>
        <w:tc>
          <w:tcPr>
            <w:tcW w:w="612" w:type="dxa"/>
            <w:tcBorders>
              <w:left w:val="double" w:color="auto" w:sz="4" w:space="0"/>
            </w:tcBorders>
            <w:vAlign w:val="center"/>
          </w:tcPr>
          <w:p w14:paraId="47E03EA5">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1</w:t>
            </w:r>
          </w:p>
        </w:tc>
        <w:tc>
          <w:tcPr>
            <w:tcW w:w="612" w:type="dxa"/>
            <w:vAlign w:val="center"/>
          </w:tcPr>
          <w:p w14:paraId="1758056F">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2</w:t>
            </w:r>
          </w:p>
        </w:tc>
        <w:tc>
          <w:tcPr>
            <w:tcW w:w="612" w:type="dxa"/>
            <w:vAlign w:val="center"/>
          </w:tcPr>
          <w:p w14:paraId="4B1E32A7">
            <w:pPr>
              <w:pStyle w:val="16"/>
              <w:widowControl w:val="0"/>
              <w:spacing w:line="240" w:lineRule="auto"/>
              <w:jc w:val="center"/>
              <w:rPr>
                <w:rFonts w:hint="eastAsia" w:ascii="黑体" w:hAnsi="黑体" w:eastAsia="黑体"/>
                <w:bCs/>
                <w:sz w:val="21"/>
                <w:szCs w:val="21"/>
                <w:lang w:val="en-US" w:eastAsia="zh-CN"/>
              </w:rPr>
            </w:pPr>
            <w:r>
              <w:rPr>
                <w:rFonts w:hint="eastAsia" w:ascii="黑体" w:hAnsi="黑体"/>
                <w:bCs/>
                <w:sz w:val="21"/>
                <w:szCs w:val="21"/>
                <w:lang w:val="en-US" w:eastAsia="zh-CN"/>
              </w:rPr>
              <w:t>3</w:t>
            </w:r>
          </w:p>
        </w:tc>
        <w:tc>
          <w:tcPr>
            <w:tcW w:w="612" w:type="dxa"/>
            <w:vAlign w:val="center"/>
          </w:tcPr>
          <w:p w14:paraId="4442F303">
            <w:pPr>
              <w:pStyle w:val="16"/>
              <w:widowControl w:val="0"/>
              <w:spacing w:line="240" w:lineRule="auto"/>
              <w:jc w:val="center"/>
              <w:rPr>
                <w:rFonts w:hint="default" w:ascii="黑体" w:hAnsi="黑体" w:eastAsia="黑体"/>
                <w:bCs/>
                <w:sz w:val="21"/>
                <w:szCs w:val="21"/>
                <w:lang w:val="en-US" w:eastAsia="zh-CN"/>
              </w:rPr>
            </w:pPr>
            <w:r>
              <w:rPr>
                <w:rFonts w:hint="eastAsia" w:ascii="黑体" w:hAnsi="黑体"/>
                <w:bCs/>
                <w:sz w:val="21"/>
                <w:szCs w:val="21"/>
                <w:lang w:val="en-US" w:eastAsia="zh-CN"/>
              </w:rPr>
              <w:t>4</w:t>
            </w:r>
          </w:p>
        </w:tc>
        <w:tc>
          <w:tcPr>
            <w:tcW w:w="706" w:type="dxa"/>
            <w:tcBorders>
              <w:right w:val="single" w:color="auto" w:sz="12" w:space="0"/>
            </w:tcBorders>
            <w:vAlign w:val="top"/>
          </w:tcPr>
          <w:p w14:paraId="3540AB69">
            <w:pPr>
              <w:pStyle w:val="16"/>
              <w:widowControl w:val="0"/>
              <w:spacing w:line="240" w:lineRule="auto"/>
              <w:jc w:val="center"/>
              <w:rPr>
                <w:rFonts w:ascii="黑体" w:hAnsi="黑体"/>
                <w:bCs/>
                <w:sz w:val="21"/>
                <w:szCs w:val="21"/>
              </w:rPr>
            </w:pPr>
          </w:p>
        </w:tc>
      </w:tr>
      <w:tr w14:paraId="17047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3B4B5B78">
            <w:pPr>
              <w:widowControl w:val="0"/>
              <w:snapToGrid w:val="0"/>
              <w:jc w:val="center"/>
              <w:rPr>
                <w:rFonts w:ascii="Arial" w:hAnsi="Arial" w:eastAsia="黑体" w:cs="Arial"/>
                <w:bCs/>
                <w:sz w:val="21"/>
                <w:szCs w:val="21"/>
              </w:rPr>
            </w:pPr>
            <w:r>
              <w:rPr>
                <w:rFonts w:ascii="Arial" w:hAnsi="Arial" w:eastAsia="黑体" w:cs="Arial"/>
                <w:bCs/>
                <w:sz w:val="21"/>
                <w:szCs w:val="21"/>
              </w:rPr>
              <w:t>1</w:t>
            </w:r>
          </w:p>
        </w:tc>
        <w:tc>
          <w:tcPr>
            <w:tcW w:w="709" w:type="dxa"/>
            <w:vAlign w:val="center"/>
          </w:tcPr>
          <w:p w14:paraId="3586217E">
            <w:pPr>
              <w:pStyle w:val="14"/>
              <w:widowControl w:val="0"/>
              <w:rPr>
                <w:rFonts w:hint="default"/>
                <w:lang w:val="en-US" w:eastAsia="zh-CN"/>
              </w:rPr>
            </w:pPr>
            <w:r>
              <w:rPr>
                <w:rFonts w:hint="eastAsia"/>
                <w:lang w:val="en-US" w:eastAsia="zh-CN"/>
              </w:rPr>
              <w:t>50%</w:t>
            </w:r>
          </w:p>
        </w:tc>
        <w:tc>
          <w:tcPr>
            <w:tcW w:w="2353" w:type="dxa"/>
            <w:tcBorders>
              <w:right w:val="double" w:color="auto" w:sz="4" w:space="0"/>
            </w:tcBorders>
            <w:vAlign w:val="center"/>
          </w:tcPr>
          <w:p w14:paraId="75A52A22">
            <w:pPr>
              <w:pStyle w:val="14"/>
              <w:widowControl w:val="0"/>
              <w:rPr>
                <w:rFonts w:hint="default"/>
                <w:lang w:val="en-US" w:eastAsia="zh-CN"/>
              </w:rPr>
            </w:pPr>
            <w:r>
              <w:rPr>
                <w:rFonts w:hint="eastAsia"/>
                <w:lang w:val="en-US" w:eastAsia="zh-CN"/>
              </w:rPr>
              <w:t>期末闭卷考试</w:t>
            </w:r>
          </w:p>
        </w:tc>
        <w:tc>
          <w:tcPr>
            <w:tcW w:w="612" w:type="dxa"/>
            <w:tcBorders>
              <w:left w:val="double" w:color="auto" w:sz="4" w:space="0"/>
            </w:tcBorders>
            <w:vAlign w:val="center"/>
          </w:tcPr>
          <w:p w14:paraId="2BABADF9">
            <w:pPr>
              <w:pStyle w:val="14"/>
              <w:widowControl w:val="0"/>
              <w:rPr>
                <w:rFonts w:hint="default" w:eastAsia="宋体"/>
                <w:lang w:val="en-US" w:eastAsia="zh-CN"/>
              </w:rPr>
            </w:pPr>
            <w:r>
              <w:rPr>
                <w:rFonts w:hint="eastAsia"/>
                <w:lang w:val="en-US" w:eastAsia="zh-CN"/>
              </w:rPr>
              <w:t>60</w:t>
            </w:r>
          </w:p>
        </w:tc>
        <w:tc>
          <w:tcPr>
            <w:tcW w:w="612" w:type="dxa"/>
            <w:vAlign w:val="center"/>
          </w:tcPr>
          <w:p w14:paraId="2BB978D2">
            <w:pPr>
              <w:pStyle w:val="14"/>
              <w:widowControl w:val="0"/>
              <w:rPr>
                <w:rFonts w:hint="default" w:eastAsia="宋体"/>
                <w:lang w:val="en-US" w:eastAsia="zh-CN"/>
              </w:rPr>
            </w:pPr>
            <w:r>
              <w:rPr>
                <w:rFonts w:hint="eastAsia"/>
                <w:lang w:val="en-US" w:eastAsia="zh-CN"/>
              </w:rPr>
              <w:t>5</w:t>
            </w:r>
          </w:p>
        </w:tc>
        <w:tc>
          <w:tcPr>
            <w:tcW w:w="612" w:type="dxa"/>
            <w:vAlign w:val="center"/>
          </w:tcPr>
          <w:p w14:paraId="34E7092A">
            <w:pPr>
              <w:pStyle w:val="14"/>
              <w:widowControl w:val="0"/>
              <w:rPr>
                <w:rFonts w:hint="default"/>
                <w:lang w:val="en-US"/>
              </w:rPr>
            </w:pPr>
            <w:r>
              <w:rPr>
                <w:rFonts w:hint="eastAsia"/>
                <w:lang w:val="en-US" w:eastAsia="zh-CN"/>
              </w:rPr>
              <w:t>30</w:t>
            </w:r>
          </w:p>
        </w:tc>
        <w:tc>
          <w:tcPr>
            <w:tcW w:w="612" w:type="dxa"/>
            <w:vAlign w:val="center"/>
          </w:tcPr>
          <w:p w14:paraId="156E972F">
            <w:pPr>
              <w:pStyle w:val="14"/>
              <w:widowControl w:val="0"/>
              <w:rPr>
                <w:rFonts w:hint="eastAsia" w:eastAsia="宋体"/>
                <w:lang w:val="en-US" w:eastAsia="zh-CN"/>
              </w:rPr>
            </w:pPr>
            <w:r>
              <w:rPr>
                <w:rFonts w:hint="eastAsia"/>
                <w:lang w:val="en-US" w:eastAsia="zh-CN"/>
              </w:rPr>
              <w:t>5</w:t>
            </w:r>
          </w:p>
        </w:tc>
        <w:tc>
          <w:tcPr>
            <w:tcW w:w="706" w:type="dxa"/>
            <w:tcBorders>
              <w:right w:val="single" w:color="auto" w:sz="12" w:space="0"/>
            </w:tcBorders>
            <w:vAlign w:val="center"/>
          </w:tcPr>
          <w:p w14:paraId="0FEB1951">
            <w:pPr>
              <w:pStyle w:val="14"/>
              <w:widowControl w:val="0"/>
            </w:pPr>
            <w:r>
              <w:rPr>
                <w:rFonts w:hint="eastAsia"/>
              </w:rPr>
              <w:t>1</w:t>
            </w:r>
            <w:r>
              <w:t>00</w:t>
            </w:r>
          </w:p>
        </w:tc>
      </w:tr>
      <w:tr w14:paraId="60CFD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4B84BD93">
            <w:pPr>
              <w:widowControl w:val="0"/>
              <w:snapToGrid w:val="0"/>
              <w:jc w:val="center"/>
              <w:rPr>
                <w:rFonts w:ascii="Arial" w:hAnsi="Arial" w:eastAsia="黑体" w:cs="Arial"/>
                <w:bCs/>
                <w:sz w:val="21"/>
                <w:szCs w:val="21"/>
              </w:rPr>
            </w:pPr>
            <w:r>
              <w:rPr>
                <w:rFonts w:ascii="Arial" w:hAnsi="Arial" w:eastAsia="黑体" w:cs="Arial"/>
                <w:bCs/>
                <w:sz w:val="21"/>
                <w:szCs w:val="21"/>
              </w:rPr>
              <w:t>X1</w:t>
            </w:r>
          </w:p>
        </w:tc>
        <w:tc>
          <w:tcPr>
            <w:tcW w:w="709" w:type="dxa"/>
            <w:vAlign w:val="top"/>
          </w:tcPr>
          <w:p w14:paraId="64D857B6">
            <w:pPr>
              <w:pStyle w:val="14"/>
              <w:widowControl w:val="0"/>
              <w:rPr>
                <w:rFonts w:hint="eastAsia"/>
                <w:lang w:val="en-US" w:eastAsia="zh-CN"/>
              </w:rPr>
            </w:pPr>
            <w:r>
              <w:rPr>
                <w:rFonts w:hint="eastAsia"/>
                <w:lang w:val="en-US" w:eastAsia="zh-CN"/>
              </w:rPr>
              <w:t>20%</w:t>
            </w:r>
          </w:p>
        </w:tc>
        <w:tc>
          <w:tcPr>
            <w:tcW w:w="2353" w:type="dxa"/>
            <w:tcBorders>
              <w:right w:val="double" w:color="auto" w:sz="4" w:space="0"/>
            </w:tcBorders>
            <w:vAlign w:val="top"/>
          </w:tcPr>
          <w:p w14:paraId="0E2B6BEE">
            <w:pPr>
              <w:pStyle w:val="14"/>
              <w:widowControl w:val="0"/>
              <w:rPr>
                <w:rFonts w:hint="eastAsia"/>
                <w:lang w:val="en-US" w:eastAsia="zh-CN"/>
              </w:rPr>
            </w:pPr>
            <w:r>
              <w:rPr>
                <w:rFonts w:hint="eastAsia"/>
                <w:lang w:val="en-US" w:eastAsia="zh-CN"/>
              </w:rPr>
              <w:t>作业习题</w:t>
            </w:r>
          </w:p>
        </w:tc>
        <w:tc>
          <w:tcPr>
            <w:tcW w:w="612" w:type="dxa"/>
            <w:tcBorders>
              <w:left w:val="double" w:color="auto" w:sz="4" w:space="0"/>
            </w:tcBorders>
            <w:vAlign w:val="center"/>
          </w:tcPr>
          <w:p w14:paraId="6092B50D">
            <w:pPr>
              <w:pStyle w:val="14"/>
              <w:widowControl w:val="0"/>
              <w:rPr>
                <w:rFonts w:hint="default" w:eastAsia="宋体"/>
                <w:lang w:val="en-US" w:eastAsia="zh-CN"/>
              </w:rPr>
            </w:pPr>
            <w:r>
              <w:rPr>
                <w:rFonts w:hint="eastAsia"/>
                <w:lang w:val="en-US" w:eastAsia="zh-CN"/>
              </w:rPr>
              <w:t>40</w:t>
            </w:r>
          </w:p>
        </w:tc>
        <w:tc>
          <w:tcPr>
            <w:tcW w:w="612" w:type="dxa"/>
            <w:vAlign w:val="center"/>
          </w:tcPr>
          <w:p w14:paraId="7C262236">
            <w:pPr>
              <w:pStyle w:val="14"/>
              <w:widowControl w:val="0"/>
              <w:rPr>
                <w:rFonts w:hint="default" w:eastAsia="宋体"/>
                <w:lang w:val="en-US" w:eastAsia="zh-CN"/>
              </w:rPr>
            </w:pPr>
          </w:p>
        </w:tc>
        <w:tc>
          <w:tcPr>
            <w:tcW w:w="612" w:type="dxa"/>
            <w:vAlign w:val="center"/>
          </w:tcPr>
          <w:p w14:paraId="5556FF69">
            <w:pPr>
              <w:pStyle w:val="14"/>
              <w:widowControl w:val="0"/>
            </w:pPr>
            <w:r>
              <w:rPr>
                <w:rFonts w:hint="eastAsia"/>
                <w:lang w:val="en-US" w:eastAsia="zh-CN"/>
              </w:rPr>
              <w:t>60</w:t>
            </w:r>
          </w:p>
        </w:tc>
        <w:tc>
          <w:tcPr>
            <w:tcW w:w="612" w:type="dxa"/>
            <w:vAlign w:val="center"/>
          </w:tcPr>
          <w:p w14:paraId="6A3F9322">
            <w:pPr>
              <w:pStyle w:val="14"/>
              <w:widowControl w:val="0"/>
            </w:pPr>
          </w:p>
        </w:tc>
        <w:tc>
          <w:tcPr>
            <w:tcW w:w="706" w:type="dxa"/>
            <w:tcBorders>
              <w:right w:val="single" w:color="auto" w:sz="12" w:space="0"/>
            </w:tcBorders>
            <w:vAlign w:val="center"/>
          </w:tcPr>
          <w:p w14:paraId="01DCB754">
            <w:pPr>
              <w:pStyle w:val="14"/>
              <w:widowControl w:val="0"/>
            </w:pPr>
            <w:r>
              <w:rPr>
                <w:rFonts w:hint="eastAsia"/>
              </w:rPr>
              <w:t>1</w:t>
            </w:r>
            <w:r>
              <w:t>00</w:t>
            </w:r>
          </w:p>
        </w:tc>
      </w:tr>
      <w:tr w14:paraId="68ACF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4E9F835C">
            <w:pPr>
              <w:widowControl w:val="0"/>
              <w:snapToGrid w:val="0"/>
              <w:jc w:val="center"/>
              <w:rPr>
                <w:rFonts w:ascii="Arial" w:hAnsi="Arial" w:eastAsia="黑体" w:cs="Arial"/>
                <w:bCs/>
                <w:sz w:val="21"/>
                <w:szCs w:val="21"/>
              </w:rPr>
            </w:pPr>
            <w:r>
              <w:rPr>
                <w:rFonts w:ascii="Arial" w:hAnsi="Arial" w:eastAsia="黑体" w:cs="Arial"/>
                <w:bCs/>
                <w:sz w:val="21"/>
                <w:szCs w:val="21"/>
              </w:rPr>
              <w:t>X2</w:t>
            </w:r>
          </w:p>
        </w:tc>
        <w:tc>
          <w:tcPr>
            <w:tcW w:w="709" w:type="dxa"/>
            <w:vAlign w:val="top"/>
          </w:tcPr>
          <w:p w14:paraId="4CD99BE4">
            <w:pPr>
              <w:pStyle w:val="14"/>
              <w:widowControl w:val="0"/>
              <w:rPr>
                <w:rFonts w:hint="eastAsia"/>
                <w:lang w:val="en-US" w:eastAsia="zh-CN"/>
              </w:rPr>
            </w:pPr>
            <w:r>
              <w:rPr>
                <w:rFonts w:hint="eastAsia"/>
                <w:lang w:val="en-US" w:eastAsia="zh-CN"/>
              </w:rPr>
              <w:t>20%</w:t>
            </w:r>
          </w:p>
        </w:tc>
        <w:tc>
          <w:tcPr>
            <w:tcW w:w="2353" w:type="dxa"/>
            <w:tcBorders>
              <w:right w:val="double" w:color="auto" w:sz="4" w:space="0"/>
            </w:tcBorders>
            <w:vAlign w:val="top"/>
          </w:tcPr>
          <w:p w14:paraId="6AD75146">
            <w:pPr>
              <w:pStyle w:val="14"/>
              <w:widowControl w:val="0"/>
              <w:rPr>
                <w:rFonts w:hint="eastAsia"/>
                <w:lang w:val="en-US" w:eastAsia="zh-CN"/>
              </w:rPr>
            </w:pPr>
            <w:r>
              <w:rPr>
                <w:rFonts w:hint="eastAsia"/>
                <w:lang w:val="en-US" w:eastAsia="zh-CN"/>
              </w:rPr>
              <w:t>课堂表现</w:t>
            </w:r>
          </w:p>
        </w:tc>
        <w:tc>
          <w:tcPr>
            <w:tcW w:w="612" w:type="dxa"/>
            <w:tcBorders>
              <w:left w:val="double" w:color="auto" w:sz="4" w:space="0"/>
            </w:tcBorders>
            <w:vAlign w:val="center"/>
          </w:tcPr>
          <w:p w14:paraId="25397A69">
            <w:pPr>
              <w:pStyle w:val="14"/>
              <w:widowControl w:val="0"/>
              <w:rPr>
                <w:rFonts w:hint="default" w:eastAsia="宋体"/>
                <w:lang w:val="en-US" w:eastAsia="zh-CN"/>
              </w:rPr>
            </w:pPr>
            <w:r>
              <w:rPr>
                <w:rFonts w:hint="eastAsia"/>
                <w:lang w:val="en-US" w:eastAsia="zh-CN"/>
              </w:rPr>
              <w:t>80</w:t>
            </w:r>
          </w:p>
        </w:tc>
        <w:tc>
          <w:tcPr>
            <w:tcW w:w="612" w:type="dxa"/>
            <w:vAlign w:val="center"/>
          </w:tcPr>
          <w:p w14:paraId="5AFC43DE">
            <w:pPr>
              <w:pStyle w:val="14"/>
              <w:widowControl w:val="0"/>
            </w:pPr>
          </w:p>
        </w:tc>
        <w:tc>
          <w:tcPr>
            <w:tcW w:w="612" w:type="dxa"/>
            <w:vAlign w:val="center"/>
          </w:tcPr>
          <w:p w14:paraId="7399F8B4">
            <w:pPr>
              <w:pStyle w:val="14"/>
              <w:widowControl w:val="0"/>
              <w:rPr>
                <w:rFonts w:hint="default" w:eastAsia="宋体"/>
                <w:lang w:val="en-US" w:eastAsia="zh-CN"/>
              </w:rPr>
            </w:pPr>
          </w:p>
        </w:tc>
        <w:tc>
          <w:tcPr>
            <w:tcW w:w="612" w:type="dxa"/>
            <w:vAlign w:val="center"/>
          </w:tcPr>
          <w:p w14:paraId="75FBC3E2">
            <w:pPr>
              <w:pStyle w:val="14"/>
              <w:widowControl w:val="0"/>
              <w:rPr>
                <w:rFonts w:hint="default" w:eastAsia="宋体"/>
                <w:lang w:val="en-US" w:eastAsia="zh-CN"/>
              </w:rPr>
            </w:pPr>
            <w:r>
              <w:rPr>
                <w:rFonts w:hint="eastAsia"/>
                <w:lang w:val="en-US" w:eastAsia="zh-CN"/>
              </w:rPr>
              <w:t>20</w:t>
            </w:r>
          </w:p>
        </w:tc>
        <w:tc>
          <w:tcPr>
            <w:tcW w:w="706" w:type="dxa"/>
            <w:tcBorders>
              <w:right w:val="single" w:color="auto" w:sz="12" w:space="0"/>
            </w:tcBorders>
            <w:vAlign w:val="center"/>
          </w:tcPr>
          <w:p w14:paraId="0B5C06D2">
            <w:pPr>
              <w:pStyle w:val="14"/>
              <w:widowControl w:val="0"/>
            </w:pPr>
            <w:r>
              <w:rPr>
                <w:rFonts w:hint="eastAsia"/>
              </w:rPr>
              <w:t>1</w:t>
            </w:r>
            <w:r>
              <w:t>00</w:t>
            </w:r>
          </w:p>
        </w:tc>
      </w:tr>
      <w:tr w14:paraId="1AE9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6" w:type="dxa"/>
            <w:tcBorders>
              <w:left w:val="single" w:color="auto" w:sz="12" w:space="0"/>
            </w:tcBorders>
            <w:vAlign w:val="center"/>
          </w:tcPr>
          <w:p w14:paraId="61759428">
            <w:pPr>
              <w:widowControl w:val="0"/>
              <w:snapToGrid w:val="0"/>
              <w:jc w:val="center"/>
              <w:rPr>
                <w:rFonts w:ascii="Arial" w:hAnsi="Arial" w:eastAsia="黑体" w:cs="Arial"/>
                <w:bCs/>
                <w:sz w:val="21"/>
                <w:szCs w:val="21"/>
              </w:rPr>
            </w:pPr>
            <w:r>
              <w:rPr>
                <w:rFonts w:ascii="Arial" w:hAnsi="Arial" w:eastAsia="黑体" w:cs="Arial"/>
                <w:bCs/>
                <w:sz w:val="21"/>
                <w:szCs w:val="21"/>
              </w:rPr>
              <w:t>X3</w:t>
            </w:r>
          </w:p>
        </w:tc>
        <w:tc>
          <w:tcPr>
            <w:tcW w:w="709" w:type="dxa"/>
            <w:vAlign w:val="top"/>
          </w:tcPr>
          <w:p w14:paraId="40CD3DA4">
            <w:pPr>
              <w:pStyle w:val="14"/>
              <w:widowControl w:val="0"/>
              <w:rPr>
                <w:rFonts w:hint="eastAsia"/>
                <w:lang w:val="en-US" w:eastAsia="zh-CN"/>
              </w:rPr>
            </w:pPr>
            <w:r>
              <w:rPr>
                <w:rFonts w:hint="eastAsia"/>
                <w:lang w:val="en-US" w:eastAsia="zh-CN"/>
              </w:rPr>
              <w:t>10%</w:t>
            </w:r>
          </w:p>
        </w:tc>
        <w:tc>
          <w:tcPr>
            <w:tcW w:w="2353" w:type="dxa"/>
            <w:tcBorders>
              <w:right w:val="double" w:color="auto" w:sz="4" w:space="0"/>
            </w:tcBorders>
            <w:vAlign w:val="top"/>
          </w:tcPr>
          <w:p w14:paraId="4982986D">
            <w:pPr>
              <w:pStyle w:val="14"/>
              <w:widowControl w:val="0"/>
              <w:rPr>
                <w:rFonts w:hint="eastAsia"/>
                <w:lang w:val="en-US" w:eastAsia="zh-CN"/>
              </w:rPr>
            </w:pPr>
            <w:r>
              <w:rPr>
                <w:rFonts w:hint="eastAsia"/>
                <w:lang w:val="en-US" w:eastAsia="zh-CN"/>
              </w:rPr>
              <w:t>调查报告</w:t>
            </w:r>
          </w:p>
        </w:tc>
        <w:tc>
          <w:tcPr>
            <w:tcW w:w="612" w:type="dxa"/>
            <w:tcBorders>
              <w:left w:val="double" w:color="auto" w:sz="4" w:space="0"/>
            </w:tcBorders>
            <w:vAlign w:val="center"/>
          </w:tcPr>
          <w:p w14:paraId="5719A0AE">
            <w:pPr>
              <w:pStyle w:val="14"/>
              <w:widowControl w:val="0"/>
            </w:pPr>
          </w:p>
        </w:tc>
        <w:tc>
          <w:tcPr>
            <w:tcW w:w="612" w:type="dxa"/>
            <w:vAlign w:val="center"/>
          </w:tcPr>
          <w:p w14:paraId="72A59D68">
            <w:pPr>
              <w:pStyle w:val="14"/>
              <w:widowControl w:val="0"/>
              <w:rPr>
                <w:rFonts w:hint="default" w:eastAsia="宋体"/>
                <w:lang w:val="en-US" w:eastAsia="zh-CN"/>
              </w:rPr>
            </w:pPr>
            <w:r>
              <w:rPr>
                <w:rFonts w:hint="eastAsia"/>
                <w:lang w:val="en-US" w:eastAsia="zh-CN"/>
              </w:rPr>
              <w:t>80</w:t>
            </w:r>
          </w:p>
        </w:tc>
        <w:tc>
          <w:tcPr>
            <w:tcW w:w="612" w:type="dxa"/>
            <w:vAlign w:val="center"/>
          </w:tcPr>
          <w:p w14:paraId="3F43B537">
            <w:pPr>
              <w:pStyle w:val="14"/>
              <w:widowControl w:val="0"/>
              <w:rPr>
                <w:rFonts w:hint="default" w:eastAsia="宋体"/>
                <w:lang w:val="en-US" w:eastAsia="zh-CN"/>
              </w:rPr>
            </w:pPr>
          </w:p>
        </w:tc>
        <w:tc>
          <w:tcPr>
            <w:tcW w:w="612" w:type="dxa"/>
            <w:vAlign w:val="center"/>
          </w:tcPr>
          <w:p w14:paraId="6DAE2974">
            <w:pPr>
              <w:pStyle w:val="14"/>
              <w:widowControl w:val="0"/>
              <w:rPr>
                <w:rFonts w:hint="default" w:eastAsia="宋体"/>
                <w:lang w:val="en-US" w:eastAsia="zh-CN"/>
              </w:rPr>
            </w:pPr>
            <w:r>
              <w:rPr>
                <w:rFonts w:hint="eastAsia"/>
                <w:lang w:val="en-US" w:eastAsia="zh-CN"/>
              </w:rPr>
              <w:t>20</w:t>
            </w:r>
          </w:p>
        </w:tc>
        <w:tc>
          <w:tcPr>
            <w:tcW w:w="706" w:type="dxa"/>
            <w:tcBorders>
              <w:right w:val="single" w:color="auto" w:sz="12" w:space="0"/>
            </w:tcBorders>
            <w:vAlign w:val="center"/>
          </w:tcPr>
          <w:p w14:paraId="3CD6BE82">
            <w:pPr>
              <w:pStyle w:val="14"/>
              <w:widowControl w:val="0"/>
            </w:pPr>
            <w:r>
              <w:rPr>
                <w:rFonts w:hint="eastAsia"/>
              </w:rPr>
              <w:t>1</w:t>
            </w:r>
            <w:r>
              <w:t>00</w:t>
            </w:r>
          </w:p>
        </w:tc>
      </w:tr>
    </w:tbl>
    <w:p w14:paraId="3873D249">
      <w:pPr>
        <w:pStyle w:val="16"/>
        <w:rPr>
          <w:rFonts w:hint="eastAsia" w:ascii="黑体" w:hAnsi="宋体"/>
          <w:sz w:val="18"/>
          <w:szCs w:val="16"/>
        </w:rPr>
      </w:pPr>
    </w:p>
    <w:p w14:paraId="3DB167CD">
      <w:pPr>
        <w:pStyle w:val="16"/>
        <w:rPr>
          <w:rFonts w:hint="eastAsia" w:ascii="黑体" w:hAnsi="宋体"/>
          <w:sz w:val="18"/>
          <w:szCs w:val="16"/>
        </w:rPr>
      </w:pPr>
    </w:p>
    <w:sectPr>
      <w:headerReference r:id="rId3" w:type="default"/>
      <w:pgSz w:w="11906" w:h="16838"/>
      <w:pgMar w:top="1440" w:right="1800" w:bottom="1440" w:left="1800" w:header="397" w:footer="992" w:gutter="0"/>
      <w:pgBorders>
        <w:top w:val="none" w:sz="0" w:space="0"/>
        <w:left w:val="none" w:sz="0" w:space="0"/>
        <w:bottom w:val="none" w:sz="0" w:space="0"/>
        <w:right w:val="none" w:sz="0" w:space="0"/>
      </w:pgBorders>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25780">
    <w:pPr>
      <w:jc w:val="right"/>
      <w:rPr>
        <w:rFonts w:ascii="方正小标宋简体" w:hAnsi="方正小标宋简体" w:eastAsia="方正小标宋简体"/>
      </w:rPr>
    </w:pPr>
    <w:r>
      <w:rPr>
        <w:rFonts w:ascii="方正小标宋简体" w:hAnsi="方正小标宋简体" w:eastAsia="方正小标宋简体"/>
        <w:color w:val="FF0000"/>
      </w:rPr>
      <mc:AlternateContent>
        <mc:Choice Requires="wps">
          <w:drawing>
            <wp:anchor distT="0" distB="0" distL="114300" distR="114300" simplePos="0" relativeHeight="251659264" behindDoc="0" locked="0" layoutInCell="1" allowOverlap="1">
              <wp:simplePos x="0" y="0"/>
              <wp:positionH relativeFrom="page">
                <wp:posOffset>635635</wp:posOffset>
              </wp:positionH>
              <wp:positionV relativeFrom="page">
                <wp:posOffset>186055</wp:posOffset>
              </wp:positionV>
              <wp:extent cx="2635250" cy="280670"/>
              <wp:effectExtent l="0" t="0" r="0" b="0"/>
              <wp:wrapNone/>
              <wp:docPr id="440709761" name="文本框 1"/>
              <wp:cNvGraphicFramePr/>
              <a:graphic xmlns:a="http://schemas.openxmlformats.org/drawingml/2006/main">
                <a:graphicData uri="http://schemas.microsoft.com/office/word/2010/wordprocessingShape">
                  <wps:wsp>
                    <wps:cNvSpPr txBox="1"/>
                    <wps:spPr>
                      <a:xfrm>
                        <a:off x="0" y="0"/>
                        <a:ext cx="2635250" cy="280670"/>
                      </a:xfrm>
                      <a:prstGeom prst="rect">
                        <a:avLst/>
                      </a:prstGeom>
                      <a:solidFill>
                        <a:srgbClr val="FFFFFF"/>
                      </a:solidFill>
                      <a:ln w="6350">
                        <a:noFill/>
                      </a:ln>
                      <a:effectLst/>
                    </wps:spPr>
                    <wps:txbx>
                      <w:txbxContent>
                        <w:p w14:paraId="63C9D5D8">
                          <w:pPr>
                            <w:rPr>
                              <w:rFonts w:ascii="Times New Roman" w:hAnsi="Times New Roman"/>
                            </w:rPr>
                          </w:pPr>
                          <w:r>
                            <w:rPr>
                              <w:rFonts w:ascii="Times New Roman" w:hAnsi="Times New Roman"/>
                            </w:rPr>
                            <w:t>SJQU-QR-JW-055（A0）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 o:spid="_x0000_s1026" o:spt="202" type="#_x0000_t202" style="position:absolute;left:0pt;margin-left:50.05pt;margin-top:14.65pt;height:22.1pt;width:207.5pt;mso-position-horizontal-relative:page;mso-position-vertical-relative:page;z-index:251659264;mso-width-relative:page;mso-height-relative:page;" fillcolor="#FFFFFF" filled="t" stroked="f" coordsize="21600,21600" o:gfxdata="UEsDBAoAAAAAAIdO4kAAAAAAAAAAAAAAAAAEAAAAZHJzL1BLAwQUAAAACACHTuJAvuGSmdQAAAAJ&#10;AQAADwAAAGRycy9kb3ducmV2LnhtbE2Py07DMBBF90j8gzVI7KidlvAIcbpAYotEW7p24yGOsMeR&#10;7T6/nmEFyztzdOdMuzwFLw6Y8hhJQzVTIJD6aEcaNGzWb3dPIHIxZI2PhBrOmGHZXV+1prHxSB94&#10;WJVBcAnlxmhwpUyNlLl3GEyexQmJd18xBVM4pkHaZI5cHrycK/UggxmJLzgz4avD/nu1Dxq2Q7hs&#10;P6spORv8Pb1fzutNHLW+vanUC4iCp/IHw68+q0PHTru4J5uF56xUxaiG+fMCBAN1VfNgp+FxUYPs&#10;Wvn/g+4HUEsDBBQAAAAIAIdO4kATjzfzXQIAAKUEAAAOAAAAZHJzL2Uyb0RvYy54bWytVMFuEzEQ&#10;vSPxD5bvdDehTdqomyq0CkKqaKWCODteb3Ylr8fYTnbLB8AfcOLCne/qd/DsTdpSOPRADs6MZ/xm&#10;5s3Mnp71rWZb5XxDpuCjg5wzZSSVjVkX/OOH5atjznwQphSajCr4rfL8bP7yxWlnZ2pMNelSOQYQ&#10;42edLXgdgp1lmZe1aoU/IKsMjBW5VgSobp2VTnRAb3U2zvNJ1pErrSOpvMftxWDkO0T3HECqqkaq&#10;C5KbVpkwoDqlRUBJvm6s5/OUbVUpGa6qyqvAdMFRaUgngkBexTObn4rZ2glbN3KXgnhOCk9qakVj&#10;EPQe6kIEwTau+QuqbaQjT1U4kNRmQyGJEVQxyp9wc1MLq1ItoNrbe9L9/4OV77fXjjVlwQ8P82l+&#10;Mp2MODOiRePvvn+7+/Hr7udXNoo0ddbP4H1j4R/6N9RjePb3Hpex+r5ybfxHXQx2kHx7T7LqA5O4&#10;HE9eH42PYJKwjY/zyTR1IXt4bZ0PbxW1LAoFd2hi4lZsL31AJnDdu8RgnnRTLhutk+LWq3Pt2Fag&#10;4cv0i0niyR9u2rCu4MgkT8iG4vvBT5uIo9Ls7OLF0ocSoxT6Vb/jY0XlLehwNMyVt3LZIOdL4cO1&#10;cBgklIlVC1c4Kk0ISTuJs5rcl3/dR3/0F1bOOgxmwf3njXCKM/3OoPMnI3QKk5yUw6PpGIp7bFk9&#10;tphNe06gAl1FdkmM/kHvxcpR+wkbuYhRYRJGInbBw148D8O6YKOlWiySE2bXinBpbqyM0JEwQ4tN&#10;oKpJDYo0DdyA+qhgelMTdpsW1+Oxnrwevi7z3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7hkpnU&#10;AAAACQEAAA8AAAAAAAAAAQAgAAAAIgAAAGRycy9kb3ducmV2LnhtbFBLAQIUABQAAAAIAIdO4kAT&#10;jzfzXQIAAKUEAAAOAAAAAAAAAAEAIAAAACMBAABkcnMvZTJvRG9jLnhtbFBLBQYAAAAABgAGAFkB&#10;AADyBQAAAAA=&#10;">
              <v:fill on="t" focussize="0,0"/>
              <v:stroke on="f" weight="0.5pt"/>
              <v:imagedata o:title=""/>
              <o:lock v:ext="edit" aspectratio="f"/>
              <v:textbox>
                <w:txbxContent>
                  <w:p w14:paraId="63C9D5D8">
                    <w:pPr>
                      <w:rPr>
                        <w:rFonts w:ascii="Times New Roman" w:hAnsi="Times New Roman"/>
                      </w:rPr>
                    </w:pPr>
                    <w:r>
                      <w:rPr>
                        <w:rFonts w:ascii="Times New Roman" w:hAnsi="Times New Roman"/>
                      </w:rPr>
                      <w:t>SJQU-QR-JW-055（A0）</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FiZGVkMjg3MTZhOTk1YjI2MDM5MjZkNGQ2NGYzYzgifQ=="/>
  </w:docVars>
  <w:rsids>
    <w:rsidRoot w:val="00B7651F"/>
    <w:rsid w:val="000203E0"/>
    <w:rsid w:val="000210E0"/>
    <w:rsid w:val="00033082"/>
    <w:rsid w:val="00044088"/>
    <w:rsid w:val="00053590"/>
    <w:rsid w:val="0006001D"/>
    <w:rsid w:val="00066041"/>
    <w:rsid w:val="00076794"/>
    <w:rsid w:val="0008122A"/>
    <w:rsid w:val="00087488"/>
    <w:rsid w:val="0009050A"/>
    <w:rsid w:val="0009721F"/>
    <w:rsid w:val="000A4E73"/>
    <w:rsid w:val="000B1BD2"/>
    <w:rsid w:val="000C0F0D"/>
    <w:rsid w:val="000C13BC"/>
    <w:rsid w:val="000D28E5"/>
    <w:rsid w:val="000D34D7"/>
    <w:rsid w:val="00100633"/>
    <w:rsid w:val="001072BC"/>
    <w:rsid w:val="00114BD6"/>
    <w:rsid w:val="00130F6D"/>
    <w:rsid w:val="00133554"/>
    <w:rsid w:val="00144082"/>
    <w:rsid w:val="0016381F"/>
    <w:rsid w:val="00163A48"/>
    <w:rsid w:val="00164E36"/>
    <w:rsid w:val="001678A2"/>
    <w:rsid w:val="00183AA1"/>
    <w:rsid w:val="0018767C"/>
    <w:rsid w:val="001A135C"/>
    <w:rsid w:val="001B0D49"/>
    <w:rsid w:val="001B546F"/>
    <w:rsid w:val="001C16FC"/>
    <w:rsid w:val="001C2E3E"/>
    <w:rsid w:val="001C388D"/>
    <w:rsid w:val="001E0494"/>
    <w:rsid w:val="001E1D2D"/>
    <w:rsid w:val="001E5A17"/>
    <w:rsid w:val="001F284E"/>
    <w:rsid w:val="001F332E"/>
    <w:rsid w:val="00217861"/>
    <w:rsid w:val="002204E4"/>
    <w:rsid w:val="002211BF"/>
    <w:rsid w:val="00233F15"/>
    <w:rsid w:val="002420F1"/>
    <w:rsid w:val="00253AC8"/>
    <w:rsid w:val="00256B39"/>
    <w:rsid w:val="0026033C"/>
    <w:rsid w:val="0027339A"/>
    <w:rsid w:val="00274E82"/>
    <w:rsid w:val="002757AB"/>
    <w:rsid w:val="0027777C"/>
    <w:rsid w:val="00277FE7"/>
    <w:rsid w:val="002877FA"/>
    <w:rsid w:val="00290962"/>
    <w:rsid w:val="0029110B"/>
    <w:rsid w:val="002A4649"/>
    <w:rsid w:val="002A7227"/>
    <w:rsid w:val="002B0773"/>
    <w:rsid w:val="002B0C48"/>
    <w:rsid w:val="002B13CA"/>
    <w:rsid w:val="002B3650"/>
    <w:rsid w:val="002B7322"/>
    <w:rsid w:val="002C58B6"/>
    <w:rsid w:val="002D0E86"/>
    <w:rsid w:val="002D7C47"/>
    <w:rsid w:val="002E33CE"/>
    <w:rsid w:val="002E3721"/>
    <w:rsid w:val="002E6F95"/>
    <w:rsid w:val="002E764D"/>
    <w:rsid w:val="002F3157"/>
    <w:rsid w:val="002F6BD5"/>
    <w:rsid w:val="00305F23"/>
    <w:rsid w:val="00313BBA"/>
    <w:rsid w:val="00317E29"/>
    <w:rsid w:val="00321515"/>
    <w:rsid w:val="0032602E"/>
    <w:rsid w:val="00327B8C"/>
    <w:rsid w:val="00331638"/>
    <w:rsid w:val="003344A7"/>
    <w:rsid w:val="00334623"/>
    <w:rsid w:val="003367AE"/>
    <w:rsid w:val="00340439"/>
    <w:rsid w:val="00344EF2"/>
    <w:rsid w:val="00347EB8"/>
    <w:rsid w:val="00347F80"/>
    <w:rsid w:val="00353F74"/>
    <w:rsid w:val="003557DE"/>
    <w:rsid w:val="00361BEB"/>
    <w:rsid w:val="00370184"/>
    <w:rsid w:val="00373C8A"/>
    <w:rsid w:val="00377C10"/>
    <w:rsid w:val="00384A1F"/>
    <w:rsid w:val="00384D60"/>
    <w:rsid w:val="00385D41"/>
    <w:rsid w:val="003861BA"/>
    <w:rsid w:val="003A1680"/>
    <w:rsid w:val="003A373C"/>
    <w:rsid w:val="003A5874"/>
    <w:rsid w:val="003B1258"/>
    <w:rsid w:val="003B4A81"/>
    <w:rsid w:val="003C1F8D"/>
    <w:rsid w:val="003C61A5"/>
    <w:rsid w:val="003D1968"/>
    <w:rsid w:val="003D4994"/>
    <w:rsid w:val="003E10A5"/>
    <w:rsid w:val="003E7D72"/>
    <w:rsid w:val="003F3923"/>
    <w:rsid w:val="003F43F6"/>
    <w:rsid w:val="004019DB"/>
    <w:rsid w:val="00402B67"/>
    <w:rsid w:val="00403C91"/>
    <w:rsid w:val="0040433E"/>
    <w:rsid w:val="00404974"/>
    <w:rsid w:val="0040726A"/>
    <w:rsid w:val="004100B0"/>
    <w:rsid w:val="0041267F"/>
    <w:rsid w:val="00424BA5"/>
    <w:rsid w:val="00425431"/>
    <w:rsid w:val="00431829"/>
    <w:rsid w:val="00437B60"/>
    <w:rsid w:val="004405E6"/>
    <w:rsid w:val="00443C84"/>
    <w:rsid w:val="00443C89"/>
    <w:rsid w:val="004540AA"/>
    <w:rsid w:val="00456BD8"/>
    <w:rsid w:val="00456DC8"/>
    <w:rsid w:val="0046549D"/>
    <w:rsid w:val="00471668"/>
    <w:rsid w:val="00481F98"/>
    <w:rsid w:val="004852BF"/>
    <w:rsid w:val="00487A46"/>
    <w:rsid w:val="00493504"/>
    <w:rsid w:val="00494579"/>
    <w:rsid w:val="00497334"/>
    <w:rsid w:val="004A4645"/>
    <w:rsid w:val="004A6F3A"/>
    <w:rsid w:val="004B408D"/>
    <w:rsid w:val="004B6F68"/>
    <w:rsid w:val="004B73F7"/>
    <w:rsid w:val="004D4FB3"/>
    <w:rsid w:val="004D75A6"/>
    <w:rsid w:val="004E3456"/>
    <w:rsid w:val="004F3DF0"/>
    <w:rsid w:val="005074E1"/>
    <w:rsid w:val="005126F1"/>
    <w:rsid w:val="00513F2F"/>
    <w:rsid w:val="0051612A"/>
    <w:rsid w:val="00517176"/>
    <w:rsid w:val="0052192E"/>
    <w:rsid w:val="00524300"/>
    <w:rsid w:val="00541F72"/>
    <w:rsid w:val="00542388"/>
    <w:rsid w:val="00544523"/>
    <w:rsid w:val="005467DC"/>
    <w:rsid w:val="00546A82"/>
    <w:rsid w:val="00547C51"/>
    <w:rsid w:val="00551335"/>
    <w:rsid w:val="005519BB"/>
    <w:rsid w:val="005523FD"/>
    <w:rsid w:val="00553D03"/>
    <w:rsid w:val="00555BA0"/>
    <w:rsid w:val="00556E41"/>
    <w:rsid w:val="0057496F"/>
    <w:rsid w:val="005770A6"/>
    <w:rsid w:val="0059045B"/>
    <w:rsid w:val="00597EC2"/>
    <w:rsid w:val="005A13AB"/>
    <w:rsid w:val="005B1150"/>
    <w:rsid w:val="005B1FFC"/>
    <w:rsid w:val="005B2B6D"/>
    <w:rsid w:val="005B4B4E"/>
    <w:rsid w:val="005C3A76"/>
    <w:rsid w:val="005D5B6F"/>
    <w:rsid w:val="005E38A5"/>
    <w:rsid w:val="005F5185"/>
    <w:rsid w:val="0062115C"/>
    <w:rsid w:val="0062265B"/>
    <w:rsid w:val="00624B5C"/>
    <w:rsid w:val="00624FE1"/>
    <w:rsid w:val="0062577D"/>
    <w:rsid w:val="0063249D"/>
    <w:rsid w:val="006331EE"/>
    <w:rsid w:val="006355E6"/>
    <w:rsid w:val="00637E00"/>
    <w:rsid w:val="0064038A"/>
    <w:rsid w:val="0065167D"/>
    <w:rsid w:val="00652D13"/>
    <w:rsid w:val="0066595A"/>
    <w:rsid w:val="00666206"/>
    <w:rsid w:val="00672788"/>
    <w:rsid w:val="00676183"/>
    <w:rsid w:val="00680DA3"/>
    <w:rsid w:val="0068377F"/>
    <w:rsid w:val="00691B24"/>
    <w:rsid w:val="00695B93"/>
    <w:rsid w:val="00697C16"/>
    <w:rsid w:val="006A5A89"/>
    <w:rsid w:val="006B3BB9"/>
    <w:rsid w:val="006B48AC"/>
    <w:rsid w:val="006B5977"/>
    <w:rsid w:val="006D1B59"/>
    <w:rsid w:val="006D2F9C"/>
    <w:rsid w:val="006D4351"/>
    <w:rsid w:val="006D5424"/>
    <w:rsid w:val="006E5CA9"/>
    <w:rsid w:val="006E5E98"/>
    <w:rsid w:val="006E7A37"/>
    <w:rsid w:val="006F3151"/>
    <w:rsid w:val="007011CA"/>
    <w:rsid w:val="007056DE"/>
    <w:rsid w:val="00706121"/>
    <w:rsid w:val="00710B6B"/>
    <w:rsid w:val="00712A2C"/>
    <w:rsid w:val="00712E84"/>
    <w:rsid w:val="00714914"/>
    <w:rsid w:val="007208D6"/>
    <w:rsid w:val="00726786"/>
    <w:rsid w:val="00732152"/>
    <w:rsid w:val="007428DF"/>
    <w:rsid w:val="00742BD1"/>
    <w:rsid w:val="00742E7A"/>
    <w:rsid w:val="0074424F"/>
    <w:rsid w:val="00764FD9"/>
    <w:rsid w:val="007740B2"/>
    <w:rsid w:val="00774C1F"/>
    <w:rsid w:val="0078194F"/>
    <w:rsid w:val="007934A4"/>
    <w:rsid w:val="007A0AC9"/>
    <w:rsid w:val="007A1B70"/>
    <w:rsid w:val="007A57F6"/>
    <w:rsid w:val="007B4FFB"/>
    <w:rsid w:val="007C0BCE"/>
    <w:rsid w:val="007C1D1B"/>
    <w:rsid w:val="007C3566"/>
    <w:rsid w:val="007C794A"/>
    <w:rsid w:val="007D5326"/>
    <w:rsid w:val="007D5A33"/>
    <w:rsid w:val="007E4F3A"/>
    <w:rsid w:val="007E620F"/>
    <w:rsid w:val="007E663C"/>
    <w:rsid w:val="007E7795"/>
    <w:rsid w:val="0080066B"/>
    <w:rsid w:val="00803578"/>
    <w:rsid w:val="00815B8D"/>
    <w:rsid w:val="00815B8E"/>
    <w:rsid w:val="00816D99"/>
    <w:rsid w:val="0082324C"/>
    <w:rsid w:val="00823D71"/>
    <w:rsid w:val="008245AF"/>
    <w:rsid w:val="008256B9"/>
    <w:rsid w:val="0083705D"/>
    <w:rsid w:val="0084242F"/>
    <w:rsid w:val="00845795"/>
    <w:rsid w:val="00847437"/>
    <w:rsid w:val="00882E15"/>
    <w:rsid w:val="00883C73"/>
    <w:rsid w:val="008901A2"/>
    <w:rsid w:val="008A08B0"/>
    <w:rsid w:val="008B0385"/>
    <w:rsid w:val="008B1082"/>
    <w:rsid w:val="008B188E"/>
    <w:rsid w:val="008B397C"/>
    <w:rsid w:val="008B47F4"/>
    <w:rsid w:val="008B7448"/>
    <w:rsid w:val="008B7E1E"/>
    <w:rsid w:val="008C2AE6"/>
    <w:rsid w:val="008C2DE8"/>
    <w:rsid w:val="008C5113"/>
    <w:rsid w:val="008C5B8A"/>
    <w:rsid w:val="008D3D5F"/>
    <w:rsid w:val="008D4E81"/>
    <w:rsid w:val="008D505F"/>
    <w:rsid w:val="008E0F55"/>
    <w:rsid w:val="008F253F"/>
    <w:rsid w:val="008F7F31"/>
    <w:rsid w:val="00900019"/>
    <w:rsid w:val="009023B1"/>
    <w:rsid w:val="009147D6"/>
    <w:rsid w:val="00914D98"/>
    <w:rsid w:val="00925F8C"/>
    <w:rsid w:val="00927324"/>
    <w:rsid w:val="00932ED7"/>
    <w:rsid w:val="00933990"/>
    <w:rsid w:val="00941B89"/>
    <w:rsid w:val="00941DEA"/>
    <w:rsid w:val="009656CC"/>
    <w:rsid w:val="00970E8C"/>
    <w:rsid w:val="00971671"/>
    <w:rsid w:val="00981A37"/>
    <w:rsid w:val="009830B2"/>
    <w:rsid w:val="0099063E"/>
    <w:rsid w:val="00992356"/>
    <w:rsid w:val="00992674"/>
    <w:rsid w:val="00994793"/>
    <w:rsid w:val="00996AE3"/>
    <w:rsid w:val="009A0450"/>
    <w:rsid w:val="009A1E27"/>
    <w:rsid w:val="009A307B"/>
    <w:rsid w:val="009B04E7"/>
    <w:rsid w:val="009B14E8"/>
    <w:rsid w:val="009B4D21"/>
    <w:rsid w:val="009B5A73"/>
    <w:rsid w:val="009C54C9"/>
    <w:rsid w:val="009C589C"/>
    <w:rsid w:val="009D192B"/>
    <w:rsid w:val="009D2582"/>
    <w:rsid w:val="009D33E1"/>
    <w:rsid w:val="009D3B45"/>
    <w:rsid w:val="009D7CF9"/>
    <w:rsid w:val="009E2CCC"/>
    <w:rsid w:val="009E2CDD"/>
    <w:rsid w:val="009E366E"/>
    <w:rsid w:val="009E6FC4"/>
    <w:rsid w:val="009F00DC"/>
    <w:rsid w:val="009F3199"/>
    <w:rsid w:val="009F3355"/>
    <w:rsid w:val="009F3648"/>
    <w:rsid w:val="009F3B7A"/>
    <w:rsid w:val="009F54D0"/>
    <w:rsid w:val="00A04523"/>
    <w:rsid w:val="00A16159"/>
    <w:rsid w:val="00A161E6"/>
    <w:rsid w:val="00A17885"/>
    <w:rsid w:val="00A2337D"/>
    <w:rsid w:val="00A25A31"/>
    <w:rsid w:val="00A31BBE"/>
    <w:rsid w:val="00A31D34"/>
    <w:rsid w:val="00A333EF"/>
    <w:rsid w:val="00A33F85"/>
    <w:rsid w:val="00A40645"/>
    <w:rsid w:val="00A6016C"/>
    <w:rsid w:val="00A769B1"/>
    <w:rsid w:val="00A77DA3"/>
    <w:rsid w:val="00A837D5"/>
    <w:rsid w:val="00A83E04"/>
    <w:rsid w:val="00A91091"/>
    <w:rsid w:val="00A93EE3"/>
    <w:rsid w:val="00A94BA9"/>
    <w:rsid w:val="00AA4970"/>
    <w:rsid w:val="00AA536D"/>
    <w:rsid w:val="00AB22C0"/>
    <w:rsid w:val="00AB28FC"/>
    <w:rsid w:val="00AB49E4"/>
    <w:rsid w:val="00AC1479"/>
    <w:rsid w:val="00AC2AAC"/>
    <w:rsid w:val="00AC40F1"/>
    <w:rsid w:val="00AC4C45"/>
    <w:rsid w:val="00AD1085"/>
    <w:rsid w:val="00AD5B40"/>
    <w:rsid w:val="00AF289F"/>
    <w:rsid w:val="00AF30B9"/>
    <w:rsid w:val="00AF43DF"/>
    <w:rsid w:val="00AF67A4"/>
    <w:rsid w:val="00AF7510"/>
    <w:rsid w:val="00B12D31"/>
    <w:rsid w:val="00B15F6E"/>
    <w:rsid w:val="00B21BEE"/>
    <w:rsid w:val="00B23284"/>
    <w:rsid w:val="00B37D43"/>
    <w:rsid w:val="00B46F21"/>
    <w:rsid w:val="00B511A5"/>
    <w:rsid w:val="00B51CDE"/>
    <w:rsid w:val="00B56541"/>
    <w:rsid w:val="00B605ED"/>
    <w:rsid w:val="00B71F97"/>
    <w:rsid w:val="00B72538"/>
    <w:rsid w:val="00B736A7"/>
    <w:rsid w:val="00B7651F"/>
    <w:rsid w:val="00B919FA"/>
    <w:rsid w:val="00B94A16"/>
    <w:rsid w:val="00BA6044"/>
    <w:rsid w:val="00BB1A93"/>
    <w:rsid w:val="00BC14BF"/>
    <w:rsid w:val="00BC2625"/>
    <w:rsid w:val="00BC3200"/>
    <w:rsid w:val="00BC338A"/>
    <w:rsid w:val="00BD7AB0"/>
    <w:rsid w:val="00BF3C20"/>
    <w:rsid w:val="00C011BC"/>
    <w:rsid w:val="00C03DBA"/>
    <w:rsid w:val="00C112E7"/>
    <w:rsid w:val="00C11C78"/>
    <w:rsid w:val="00C11CD4"/>
    <w:rsid w:val="00C15061"/>
    <w:rsid w:val="00C1713D"/>
    <w:rsid w:val="00C20D9D"/>
    <w:rsid w:val="00C2134F"/>
    <w:rsid w:val="00C24718"/>
    <w:rsid w:val="00C2675D"/>
    <w:rsid w:val="00C30AEE"/>
    <w:rsid w:val="00C33362"/>
    <w:rsid w:val="00C353AE"/>
    <w:rsid w:val="00C4194E"/>
    <w:rsid w:val="00C516B1"/>
    <w:rsid w:val="00C5350C"/>
    <w:rsid w:val="00C56E09"/>
    <w:rsid w:val="00C61B1B"/>
    <w:rsid w:val="00C66AB7"/>
    <w:rsid w:val="00C673D1"/>
    <w:rsid w:val="00C746CB"/>
    <w:rsid w:val="00C77BBF"/>
    <w:rsid w:val="00C77D64"/>
    <w:rsid w:val="00C81564"/>
    <w:rsid w:val="00C9080C"/>
    <w:rsid w:val="00C94429"/>
    <w:rsid w:val="00CA18FD"/>
    <w:rsid w:val="00CA27E5"/>
    <w:rsid w:val="00CA4897"/>
    <w:rsid w:val="00CA6928"/>
    <w:rsid w:val="00CB3D3F"/>
    <w:rsid w:val="00CB5A1A"/>
    <w:rsid w:val="00CC59E6"/>
    <w:rsid w:val="00CD5BDD"/>
    <w:rsid w:val="00CF096B"/>
    <w:rsid w:val="00CF10F7"/>
    <w:rsid w:val="00CF5EE3"/>
    <w:rsid w:val="00CF691F"/>
    <w:rsid w:val="00D00D99"/>
    <w:rsid w:val="00D013A4"/>
    <w:rsid w:val="00D026DC"/>
    <w:rsid w:val="00D15595"/>
    <w:rsid w:val="00D343A8"/>
    <w:rsid w:val="00D37832"/>
    <w:rsid w:val="00D44860"/>
    <w:rsid w:val="00D47689"/>
    <w:rsid w:val="00D50C42"/>
    <w:rsid w:val="00D57CF5"/>
    <w:rsid w:val="00D612BC"/>
    <w:rsid w:val="00D62F98"/>
    <w:rsid w:val="00D66FD6"/>
    <w:rsid w:val="00D8285B"/>
    <w:rsid w:val="00D862EB"/>
    <w:rsid w:val="00D86619"/>
    <w:rsid w:val="00D93E7C"/>
    <w:rsid w:val="00DB2BE6"/>
    <w:rsid w:val="00DB76B3"/>
    <w:rsid w:val="00DD1052"/>
    <w:rsid w:val="00DD3C7B"/>
    <w:rsid w:val="00DE2B21"/>
    <w:rsid w:val="00DE48DE"/>
    <w:rsid w:val="00DF25F2"/>
    <w:rsid w:val="00DF4166"/>
    <w:rsid w:val="00E000F4"/>
    <w:rsid w:val="00E01231"/>
    <w:rsid w:val="00E04279"/>
    <w:rsid w:val="00E11393"/>
    <w:rsid w:val="00E125D9"/>
    <w:rsid w:val="00E16D30"/>
    <w:rsid w:val="00E31E69"/>
    <w:rsid w:val="00E33169"/>
    <w:rsid w:val="00E34A7B"/>
    <w:rsid w:val="00E40973"/>
    <w:rsid w:val="00E545FF"/>
    <w:rsid w:val="00E6080E"/>
    <w:rsid w:val="00E64168"/>
    <w:rsid w:val="00E655B3"/>
    <w:rsid w:val="00E7081D"/>
    <w:rsid w:val="00E70904"/>
    <w:rsid w:val="00E71319"/>
    <w:rsid w:val="00E75171"/>
    <w:rsid w:val="00E804B0"/>
    <w:rsid w:val="00E86772"/>
    <w:rsid w:val="00E90B8B"/>
    <w:rsid w:val="00E93ADD"/>
    <w:rsid w:val="00E952D8"/>
    <w:rsid w:val="00EB00E4"/>
    <w:rsid w:val="00EB28DA"/>
    <w:rsid w:val="00EB3812"/>
    <w:rsid w:val="00EB44EB"/>
    <w:rsid w:val="00EB66B8"/>
    <w:rsid w:val="00EB791E"/>
    <w:rsid w:val="00EC70A9"/>
    <w:rsid w:val="00ED4C3A"/>
    <w:rsid w:val="00EE1C85"/>
    <w:rsid w:val="00EF21D9"/>
    <w:rsid w:val="00EF2A94"/>
    <w:rsid w:val="00EF32FB"/>
    <w:rsid w:val="00EF44B1"/>
    <w:rsid w:val="00EF4865"/>
    <w:rsid w:val="00EF5954"/>
    <w:rsid w:val="00F100D2"/>
    <w:rsid w:val="00F12942"/>
    <w:rsid w:val="00F13C41"/>
    <w:rsid w:val="00F14886"/>
    <w:rsid w:val="00F16421"/>
    <w:rsid w:val="00F201EE"/>
    <w:rsid w:val="00F35AA0"/>
    <w:rsid w:val="00F43C49"/>
    <w:rsid w:val="00F45C12"/>
    <w:rsid w:val="00F544A2"/>
    <w:rsid w:val="00F73D03"/>
    <w:rsid w:val="00F76CB9"/>
    <w:rsid w:val="00F77A73"/>
    <w:rsid w:val="00F80E46"/>
    <w:rsid w:val="00F96236"/>
    <w:rsid w:val="00FA10CE"/>
    <w:rsid w:val="00FA222F"/>
    <w:rsid w:val="00FA2891"/>
    <w:rsid w:val="00FB693D"/>
    <w:rsid w:val="00FB7768"/>
    <w:rsid w:val="00FC7489"/>
    <w:rsid w:val="00FD1BA8"/>
    <w:rsid w:val="00FD218F"/>
    <w:rsid w:val="00FD5663"/>
    <w:rsid w:val="00FD56C6"/>
    <w:rsid w:val="00FE3221"/>
    <w:rsid w:val="00FE48EA"/>
    <w:rsid w:val="00FE571F"/>
    <w:rsid w:val="00FF47F6"/>
    <w:rsid w:val="016E63C2"/>
    <w:rsid w:val="024B0C39"/>
    <w:rsid w:val="027D0372"/>
    <w:rsid w:val="036D035E"/>
    <w:rsid w:val="0A8128A6"/>
    <w:rsid w:val="0BF32A1B"/>
    <w:rsid w:val="0C747AF0"/>
    <w:rsid w:val="10BD2C22"/>
    <w:rsid w:val="12345D7B"/>
    <w:rsid w:val="125D72E8"/>
    <w:rsid w:val="129E7A97"/>
    <w:rsid w:val="1F3C4E81"/>
    <w:rsid w:val="213D28E2"/>
    <w:rsid w:val="22987C80"/>
    <w:rsid w:val="236773C3"/>
    <w:rsid w:val="24021AA8"/>
    <w:rsid w:val="24192CCC"/>
    <w:rsid w:val="24874793"/>
    <w:rsid w:val="28583E4D"/>
    <w:rsid w:val="2A1B63F2"/>
    <w:rsid w:val="2E1D7542"/>
    <w:rsid w:val="3061701B"/>
    <w:rsid w:val="320478DA"/>
    <w:rsid w:val="39404978"/>
    <w:rsid w:val="39A66CD4"/>
    <w:rsid w:val="3A111922"/>
    <w:rsid w:val="3BBA52A8"/>
    <w:rsid w:val="3C331B88"/>
    <w:rsid w:val="3C442294"/>
    <w:rsid w:val="3CD52CE1"/>
    <w:rsid w:val="410F2E6A"/>
    <w:rsid w:val="4430136C"/>
    <w:rsid w:val="45480B20"/>
    <w:rsid w:val="499476F8"/>
    <w:rsid w:val="4AB0382B"/>
    <w:rsid w:val="50DB3D9F"/>
    <w:rsid w:val="569868B5"/>
    <w:rsid w:val="5C7B084D"/>
    <w:rsid w:val="6071407C"/>
    <w:rsid w:val="60D659F2"/>
    <w:rsid w:val="611F6817"/>
    <w:rsid w:val="64E71501"/>
    <w:rsid w:val="66CA1754"/>
    <w:rsid w:val="680B2F59"/>
    <w:rsid w:val="6B1E4B6C"/>
    <w:rsid w:val="6B6D244C"/>
    <w:rsid w:val="6CCD41D3"/>
    <w:rsid w:val="6DAD27AA"/>
    <w:rsid w:val="6DFA6436"/>
    <w:rsid w:val="6F1E65D4"/>
    <w:rsid w:val="6F266C86"/>
    <w:rsid w:val="6F5042C2"/>
    <w:rsid w:val="74316312"/>
    <w:rsid w:val="75885216"/>
    <w:rsid w:val="7614190F"/>
    <w:rsid w:val="761D0DE5"/>
    <w:rsid w:val="780F13C8"/>
    <w:rsid w:val="786D6A2C"/>
    <w:rsid w:val="7C385448"/>
    <w:rsid w:val="7CB3663D"/>
    <w:rsid w:val="7F471308"/>
    <w:rsid w:val="7FEB0A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qFormat="1" w:uiPriority="99" w:semiHidden="0"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19"/>
    <w:autoRedefine/>
    <w:qFormat/>
    <w:uiPriority w:val="9"/>
    <w:pPr>
      <w:keepNext/>
      <w:keepLines/>
      <w:spacing w:before="340" w:after="330" w:line="578" w:lineRule="auto"/>
      <w:outlineLvl w:val="0"/>
    </w:pPr>
    <w:rPr>
      <w:b/>
      <w:bCs/>
      <w:kern w:val="44"/>
      <w:sz w:val="44"/>
      <w:szCs w:val="44"/>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3">
    <w:name w:val="annotation text"/>
    <w:basedOn w:val="1"/>
    <w:link w:val="20"/>
    <w:autoRedefine/>
    <w:qFormat/>
    <w:uiPriority w:val="99"/>
    <w:pPr>
      <w:widowControl w:val="0"/>
    </w:pPr>
    <w:rPr>
      <w:rFonts w:ascii="Times New Roman" w:hAnsi="Times New Roman" w:cs="Times New Roman"/>
      <w:kern w:val="2"/>
      <w:sz w:val="21"/>
    </w:rPr>
  </w:style>
  <w:style w:type="paragraph" w:styleId="4">
    <w:name w:val="footer"/>
    <w:basedOn w:val="1"/>
    <w:link w:val="12"/>
    <w:autoRedefine/>
    <w:unhideWhenUsed/>
    <w:qFormat/>
    <w:uiPriority w:val="99"/>
    <w:pPr>
      <w:tabs>
        <w:tab w:val="center" w:pos="4153"/>
        <w:tab w:val="right" w:pos="8306"/>
      </w:tabs>
      <w:snapToGrid w:val="0"/>
    </w:pPr>
    <w:rPr>
      <w:rFonts w:asciiTheme="minorHAnsi" w:hAnsiTheme="minorHAnsi" w:eastAsiaTheme="minorEastAsia" w:cstheme="minorBidi"/>
      <w:sz w:val="18"/>
      <w:szCs w:val="18"/>
    </w:rPr>
  </w:style>
  <w:style w:type="paragraph" w:styleId="5">
    <w:name w:val="header"/>
    <w:basedOn w:val="1"/>
    <w:link w:val="11"/>
    <w:autoRedefine/>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6">
    <w:name w:val="Normal (Web)"/>
    <w:basedOn w:val="1"/>
    <w:autoRedefine/>
    <w:unhideWhenUsed/>
    <w:qFormat/>
    <w:uiPriority w:val="99"/>
    <w:pPr>
      <w:spacing w:before="100" w:beforeAutospacing="1" w:after="100" w:afterAutospacing="1"/>
    </w:pPr>
  </w:style>
  <w:style w:type="table" w:styleId="8">
    <w:name w:val="Table Grid"/>
    <w:basedOn w:val="7"/>
    <w:autoRedefine/>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autoRedefine/>
    <w:qFormat/>
    <w:uiPriority w:val="22"/>
    <w:rPr>
      <w:b/>
      <w:bCs/>
    </w:rPr>
  </w:style>
  <w:style w:type="character" w:customStyle="1" w:styleId="11">
    <w:name w:val="页眉 字符"/>
    <w:basedOn w:val="9"/>
    <w:link w:val="5"/>
    <w:autoRedefine/>
    <w:semiHidden/>
    <w:qFormat/>
    <w:uiPriority w:val="99"/>
    <w:rPr>
      <w:sz w:val="18"/>
      <w:szCs w:val="18"/>
    </w:rPr>
  </w:style>
  <w:style w:type="character" w:customStyle="1" w:styleId="12">
    <w:name w:val="页脚 字符"/>
    <w:basedOn w:val="9"/>
    <w:link w:val="4"/>
    <w:autoRedefine/>
    <w:semiHidden/>
    <w:qFormat/>
    <w:uiPriority w:val="99"/>
    <w:rPr>
      <w:sz w:val="18"/>
      <w:szCs w:val="18"/>
    </w:rPr>
  </w:style>
  <w:style w:type="paragraph" w:customStyle="1" w:styleId="13">
    <w:name w:val="表格标题DG"/>
    <w:basedOn w:val="1"/>
    <w:autoRedefine/>
    <w:qFormat/>
    <w:uiPriority w:val="0"/>
    <w:pPr>
      <w:snapToGrid w:val="0"/>
      <w:jc w:val="center"/>
    </w:pPr>
    <w:rPr>
      <w:rFonts w:ascii="Arial" w:hAnsi="Arial" w:eastAsia="黑体"/>
      <w:bCs/>
      <w:color w:val="000000"/>
      <w:sz w:val="21"/>
      <w:szCs w:val="20"/>
    </w:rPr>
  </w:style>
  <w:style w:type="paragraph" w:customStyle="1" w:styleId="14">
    <w:name w:val="表格正文DG"/>
    <w:basedOn w:val="1"/>
    <w:autoRedefine/>
    <w:qFormat/>
    <w:uiPriority w:val="0"/>
    <w:pPr>
      <w:jc w:val="center"/>
    </w:pPr>
    <w:rPr>
      <w:rFonts w:ascii="Times New Roman" w:hAnsi="Times New Roman"/>
      <w:color w:val="000000"/>
      <w:sz w:val="21"/>
      <w:szCs w:val="21"/>
    </w:rPr>
  </w:style>
  <w:style w:type="paragraph" w:styleId="15">
    <w:name w:val="List Paragraph"/>
    <w:basedOn w:val="1"/>
    <w:autoRedefine/>
    <w:unhideWhenUsed/>
    <w:qFormat/>
    <w:uiPriority w:val="99"/>
    <w:pPr>
      <w:ind w:firstLine="420" w:firstLineChars="200"/>
    </w:pPr>
  </w:style>
  <w:style w:type="paragraph" w:customStyle="1" w:styleId="16">
    <w:name w:val="一级标题DG"/>
    <w:basedOn w:val="1"/>
    <w:autoRedefine/>
    <w:qFormat/>
    <w:uiPriority w:val="0"/>
    <w:pPr>
      <w:spacing w:line="480" w:lineRule="auto"/>
      <w:outlineLvl w:val="0"/>
    </w:pPr>
    <w:rPr>
      <w:rFonts w:ascii="Arial" w:hAnsi="Arial" w:eastAsia="黑体"/>
      <w:sz w:val="28"/>
    </w:rPr>
  </w:style>
  <w:style w:type="paragraph" w:customStyle="1" w:styleId="17">
    <w:name w:val="二级标题DG"/>
    <w:basedOn w:val="6"/>
    <w:autoRedefine/>
    <w:qFormat/>
    <w:uiPriority w:val="0"/>
    <w:pPr>
      <w:spacing w:before="25" w:beforeLines="25" w:beforeAutospacing="0" w:after="50" w:afterLines="50" w:afterAutospacing="0" w:line="440" w:lineRule="exact"/>
      <w:outlineLvl w:val="1"/>
    </w:pPr>
    <w:rPr>
      <w:rFonts w:ascii="Times New Roman" w:hAnsi="Times New Roman"/>
      <w:b/>
    </w:rPr>
  </w:style>
  <w:style w:type="paragraph" w:customStyle="1" w:styleId="18">
    <w:name w:val="正文DG"/>
    <w:basedOn w:val="1"/>
    <w:autoRedefine/>
    <w:qFormat/>
    <w:uiPriority w:val="0"/>
    <w:pPr>
      <w:snapToGrid w:val="0"/>
      <w:spacing w:line="440" w:lineRule="exact"/>
      <w:ind w:firstLine="480" w:firstLineChars="200"/>
    </w:pPr>
    <w:rPr>
      <w:rFonts w:ascii="Times New Roman" w:hAnsi="Times New Roman" w:cs="Times New Roman"/>
      <w:color w:val="000000"/>
    </w:rPr>
  </w:style>
  <w:style w:type="character" w:customStyle="1" w:styleId="19">
    <w:name w:val="标题 1 字符"/>
    <w:basedOn w:val="9"/>
    <w:link w:val="2"/>
    <w:autoRedefine/>
    <w:qFormat/>
    <w:uiPriority w:val="9"/>
    <w:rPr>
      <w:rFonts w:ascii="Calibri" w:hAnsi="Calibri" w:eastAsia="宋体" w:cs="Times New Roman"/>
      <w:b/>
      <w:bCs/>
      <w:kern w:val="44"/>
      <w:sz w:val="44"/>
      <w:szCs w:val="44"/>
    </w:rPr>
  </w:style>
  <w:style w:type="character" w:customStyle="1" w:styleId="20">
    <w:name w:val="批注文字 字符"/>
    <w:basedOn w:val="9"/>
    <w:link w:val="3"/>
    <w:autoRedefine/>
    <w:qFormat/>
    <w:uiPriority w:val="99"/>
    <w:rPr>
      <w:rFonts w:ascii="Times New Roman" w:hAnsi="Times New Roman" w:eastAsia="宋体" w:cs="Times New Roman"/>
      <w:kern w:val="2"/>
      <w:sz w:val="21"/>
      <w:szCs w:val="24"/>
    </w:rPr>
  </w:style>
  <w:style w:type="character" w:customStyle="1" w:styleId="21">
    <w:name w:val="editor-text-node"/>
    <w:basedOn w:val="9"/>
    <w:autoRedefine/>
    <w:qFormat/>
    <w:uiPriority w:val="0"/>
  </w:style>
  <w:style w:type="character" w:styleId="22">
    <w:name w:val="Placeholder Text"/>
    <w:basedOn w:val="9"/>
    <w:autoRedefine/>
    <w:unhideWhenUsed/>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AC9532-FBF0-B244-81AA-2A685C2152E4}">
  <ds:schemaRefs/>
</ds:datastoreItem>
</file>

<file path=docProps/app.xml><?xml version="1.0" encoding="utf-8"?>
<Properties xmlns="http://schemas.openxmlformats.org/officeDocument/2006/extended-properties" xmlns:vt="http://schemas.openxmlformats.org/officeDocument/2006/docPropsVTypes">
  <Template>Normal.dotm</Template>
  <Pages>7</Pages>
  <Words>4361</Words>
  <Characters>4533</Characters>
  <Lines>6</Lines>
  <Paragraphs>1</Paragraphs>
  <TotalTime>7</TotalTime>
  <ScaleCrop>false</ScaleCrop>
  <LinksUpToDate>false</LinksUpToDate>
  <CharactersWithSpaces>4654</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2023-11-21T02:39:00Z</dcterms:created>
  <dc:creator>juvg</dc:creator>
  <cp:lastModifiedBy>xw119</cp:lastModifiedBy>
  <cp:lastPrinted>2024-03-17T03:54:00Z</cp:lastPrinted>
  <dcterms:modified xsi:type="dcterms:W3CDTF">2024-09-10T06:28:38Z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FF6E2744D1504A6ABE2816739CA1FC21_13</vt:lpwstr>
  </property>
</Properties>
</file>