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88" w:lineRule="auto"/>
        <w:jc w:val="center"/>
        <w:rPr>
          <w:rFonts w:ascii="方正小标宋简体" w:hAnsi="宋体"/>
          <w:bCs/>
          <w:kern w:val="0"/>
          <w:szCs w:val="21"/>
        </w:rPr>
      </w:pP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530860</wp:posOffset>
                </wp:positionH>
                <wp:positionV relativeFrom="page">
                  <wp:posOffset>349885</wp:posOffset>
                </wp:positionV>
                <wp:extent cx="2635250" cy="287020"/>
                <wp:effectExtent l="0" t="0" r="6350" b="508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540385" y="359410"/>
                          <a:ext cx="2635250" cy="287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left"/>
                              <w:rPr>
                                <w:rFonts w:ascii="宋体" w:hAnsi="宋体" w:eastAsia="宋体"/>
                                <w:spacing w:val="2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宋体" w:hAnsi="宋体" w:eastAsia="宋体"/>
                                <w:spacing w:val="20"/>
                                <w:sz w:val="24"/>
                                <w:szCs w:val="24"/>
                              </w:rPr>
                              <w:t>SJQU-</w:t>
                            </w:r>
                            <w:r>
                              <w:rPr>
                                <w:rFonts w:ascii="宋体" w:hAnsi="宋体" w:eastAsia="宋体"/>
                                <w:spacing w:val="20"/>
                                <w:sz w:val="24"/>
                                <w:szCs w:val="24"/>
                              </w:rPr>
                              <w:t>Q</w:t>
                            </w:r>
                            <w:r>
                              <w:rPr>
                                <w:rFonts w:hint="eastAsia" w:ascii="宋体" w:hAnsi="宋体"/>
                                <w:spacing w:val="20"/>
                                <w:sz w:val="24"/>
                                <w:szCs w:val="24"/>
                                <w:lang w:val="en-US" w:eastAsia="zh-CN"/>
                              </w:rPr>
                              <w:t>R</w:t>
                            </w:r>
                            <w:r>
                              <w:rPr>
                                <w:rFonts w:hint="eastAsia" w:ascii="宋体" w:hAnsi="宋体" w:eastAsia="宋体"/>
                                <w:spacing w:val="20"/>
                                <w:sz w:val="24"/>
                                <w:szCs w:val="24"/>
                              </w:rPr>
                              <w:t>-</w:t>
                            </w:r>
                            <w:r>
                              <w:rPr>
                                <w:rFonts w:hint="eastAsia" w:ascii="宋体" w:hAnsi="宋体" w:eastAsia="宋体"/>
                                <w:spacing w:val="20"/>
                                <w:sz w:val="24"/>
                                <w:szCs w:val="24"/>
                                <w:lang w:val="en-US" w:eastAsia="zh-CN"/>
                              </w:rPr>
                              <w:t>JW</w:t>
                            </w:r>
                            <w:r>
                              <w:rPr>
                                <w:rFonts w:hint="eastAsia" w:ascii="宋体" w:hAnsi="宋体" w:eastAsia="宋体"/>
                                <w:spacing w:val="20"/>
                                <w:sz w:val="24"/>
                                <w:szCs w:val="24"/>
                              </w:rPr>
                              <w:t>-</w:t>
                            </w:r>
                            <w:r>
                              <w:rPr>
                                <w:rFonts w:ascii="宋体" w:hAnsi="宋体" w:eastAsia="宋体"/>
                                <w:spacing w:val="20"/>
                                <w:sz w:val="24"/>
                                <w:szCs w:val="24"/>
                              </w:rPr>
                              <w:t>0</w:t>
                            </w:r>
                            <w:r>
                              <w:rPr>
                                <w:rFonts w:hint="eastAsia" w:ascii="宋体" w:hAnsi="宋体"/>
                                <w:spacing w:val="20"/>
                                <w:sz w:val="24"/>
                                <w:szCs w:val="24"/>
                                <w:lang w:val="en-US" w:eastAsia="zh-CN"/>
                              </w:rPr>
                              <w:t>33</w:t>
                            </w:r>
                            <w:r>
                              <w:rPr>
                                <w:rFonts w:hint="eastAsia" w:ascii="宋体" w:hAnsi="宋体" w:eastAsia="宋体"/>
                                <w:spacing w:val="20"/>
                                <w:sz w:val="24"/>
                                <w:szCs w:val="24"/>
                              </w:rPr>
                              <w:t>（A</w:t>
                            </w:r>
                            <w:r>
                              <w:rPr>
                                <w:rFonts w:ascii="宋体" w:hAnsi="宋体" w:eastAsia="宋体"/>
                                <w:spacing w:val="20"/>
                                <w:sz w:val="24"/>
                                <w:szCs w:val="24"/>
                              </w:rPr>
                              <w:t>0）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1.8pt;margin-top:27.55pt;height:22.6pt;width:207.5pt;mso-position-horizontal-relative:page;mso-position-vertical-relative:page;z-index:251659264;mso-width-relative:page;mso-height-relative:page;" fillcolor="#FFFFFF" filled="t" stroked="f" coordsize="21600,21600" o:gfxdata="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Bn&#10;yecb1AAAAAkBAAAPAAAAAAAAAAEAIAAAACIAAABkcnMvZG93bnJldi54bWxQSwECFAAUAAAACACH&#10;TuJA7zPz+GECAACnBAAADgAAAAAAAAABACAAAAAjAQAAZHJzL2Uyb0RvYy54bWxQSwUGAAAAAAYA&#10;BgBZAQAA9g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left"/>
                        <w:rPr>
                          <w:rFonts w:ascii="宋体" w:hAnsi="宋体" w:eastAsia="宋体"/>
                          <w:spacing w:val="20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宋体" w:hAnsi="宋体" w:eastAsia="宋体"/>
                          <w:spacing w:val="20"/>
                          <w:sz w:val="24"/>
                          <w:szCs w:val="24"/>
                        </w:rPr>
                        <w:t>SJQU-</w:t>
                      </w:r>
                      <w:r>
                        <w:rPr>
                          <w:rFonts w:ascii="宋体" w:hAnsi="宋体" w:eastAsia="宋体"/>
                          <w:spacing w:val="20"/>
                          <w:sz w:val="24"/>
                          <w:szCs w:val="24"/>
                        </w:rPr>
                        <w:t>Q</w:t>
                      </w:r>
                      <w:r>
                        <w:rPr>
                          <w:rFonts w:hint="eastAsia" w:ascii="宋体" w:hAnsi="宋体"/>
                          <w:spacing w:val="20"/>
                          <w:sz w:val="24"/>
                          <w:szCs w:val="24"/>
                          <w:lang w:val="en-US" w:eastAsia="zh-CN"/>
                        </w:rPr>
                        <w:t>R</w:t>
                      </w:r>
                      <w:r>
                        <w:rPr>
                          <w:rFonts w:hint="eastAsia" w:ascii="宋体" w:hAnsi="宋体" w:eastAsia="宋体"/>
                          <w:spacing w:val="20"/>
                          <w:sz w:val="24"/>
                          <w:szCs w:val="24"/>
                        </w:rPr>
                        <w:t>-</w:t>
                      </w:r>
                      <w:r>
                        <w:rPr>
                          <w:rFonts w:hint="eastAsia" w:ascii="宋体" w:hAnsi="宋体" w:eastAsia="宋体"/>
                          <w:spacing w:val="20"/>
                          <w:sz w:val="24"/>
                          <w:szCs w:val="24"/>
                          <w:lang w:val="en-US" w:eastAsia="zh-CN"/>
                        </w:rPr>
                        <w:t>JW</w:t>
                      </w:r>
                      <w:r>
                        <w:rPr>
                          <w:rFonts w:hint="eastAsia" w:ascii="宋体" w:hAnsi="宋体" w:eastAsia="宋体"/>
                          <w:spacing w:val="20"/>
                          <w:sz w:val="24"/>
                          <w:szCs w:val="24"/>
                        </w:rPr>
                        <w:t>-</w:t>
                      </w:r>
                      <w:r>
                        <w:rPr>
                          <w:rFonts w:ascii="宋体" w:hAnsi="宋体" w:eastAsia="宋体"/>
                          <w:spacing w:val="20"/>
                          <w:sz w:val="24"/>
                          <w:szCs w:val="24"/>
                        </w:rPr>
                        <w:t>0</w:t>
                      </w:r>
                      <w:r>
                        <w:rPr>
                          <w:rFonts w:hint="eastAsia" w:ascii="宋体" w:hAnsi="宋体"/>
                          <w:spacing w:val="20"/>
                          <w:sz w:val="24"/>
                          <w:szCs w:val="24"/>
                          <w:lang w:val="en-US" w:eastAsia="zh-CN"/>
                        </w:rPr>
                        <w:t>33</w:t>
                      </w:r>
                      <w:r>
                        <w:rPr>
                          <w:rFonts w:hint="eastAsia" w:ascii="宋体" w:hAnsi="宋体" w:eastAsia="宋体"/>
                          <w:spacing w:val="20"/>
                          <w:sz w:val="24"/>
                          <w:szCs w:val="24"/>
                        </w:rPr>
                        <w:t>（A</w:t>
                      </w:r>
                      <w:r>
                        <w:rPr>
                          <w:rFonts w:ascii="宋体" w:hAnsi="宋体" w:eastAsia="宋体"/>
                          <w:spacing w:val="20"/>
                          <w:sz w:val="24"/>
                          <w:szCs w:val="24"/>
                        </w:rPr>
                        <w:t>0）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/>
          <w:bCs/>
          <w:kern w:val="0"/>
          <w:sz w:val="40"/>
          <w:szCs w:val="40"/>
        </w:rPr>
        <w:t>专业课课程</w:t>
      </w:r>
      <w:r>
        <w:rPr>
          <w:rFonts w:hint="eastAsia" w:ascii="方正小标宋简体" w:hAnsi="宋体" w:eastAsia="方正小标宋简体"/>
          <w:bCs/>
          <w:kern w:val="0"/>
          <w:sz w:val="40"/>
          <w:szCs w:val="40"/>
        </w:rPr>
        <w:t>教学大纲</w:t>
      </w:r>
    </w:p>
    <w:p>
      <w:pPr>
        <w:spacing w:line="288" w:lineRule="auto"/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【</w:t>
      </w:r>
      <w:r>
        <w:rPr>
          <w:rFonts w:hint="eastAsia"/>
          <w:b/>
          <w:sz w:val="32"/>
          <w:szCs w:val="32"/>
          <w:lang w:val="en-US" w:eastAsia="zh-CN"/>
        </w:rPr>
        <w:t>儿童文学</w:t>
      </w:r>
      <w:r>
        <w:rPr>
          <w:rFonts w:hint="eastAsia"/>
          <w:b/>
          <w:sz w:val="32"/>
          <w:szCs w:val="32"/>
        </w:rPr>
        <w:t>】</w:t>
      </w:r>
    </w:p>
    <w:p>
      <w:pPr>
        <w:shd w:val="clear" w:color="auto" w:fill="F5F5F5"/>
        <w:jc w:val="center"/>
        <w:textAlignment w:val="top"/>
        <w:rPr>
          <w:rFonts w:ascii="Arial" w:hAnsi="Arial" w:cs="Arial"/>
          <w:color w:val="888888"/>
          <w:kern w:val="0"/>
          <w:sz w:val="20"/>
          <w:szCs w:val="20"/>
        </w:rPr>
      </w:pPr>
      <w:r>
        <w:rPr>
          <w:rFonts w:hint="eastAsia"/>
          <w:b/>
          <w:sz w:val="28"/>
          <w:szCs w:val="30"/>
        </w:rPr>
        <w:t>【children literature】</w:t>
      </w:r>
      <w:bookmarkStart w:id="0" w:name="a2"/>
      <w:bookmarkEnd w:id="0"/>
    </w:p>
    <w:p>
      <w:pPr>
        <w:spacing w:beforeLines="50" w:afterLines="50" w:line="288" w:lineRule="auto"/>
        <w:ind w:firstLine="360" w:firstLineChars="150"/>
        <w:rPr>
          <w:b/>
          <w:color w:val="008080"/>
          <w:sz w:val="30"/>
          <w:szCs w:val="30"/>
        </w:rPr>
      </w:pPr>
      <w:r>
        <w:rPr>
          <w:rFonts w:ascii="黑体" w:hAnsi="宋体" w:eastAsia="黑体"/>
          <w:sz w:val="24"/>
        </w:rPr>
        <w:t>一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基本信息</w:t>
      </w:r>
    </w:p>
    <w:p>
      <w:pPr>
        <w:snapToGrid w:val="0"/>
        <w:spacing w:line="288" w:lineRule="auto"/>
        <w:ind w:firstLine="394" w:firstLineChars="196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课程代码：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2130005</w:t>
      </w:r>
      <w:r>
        <w:rPr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ind w:firstLine="394" w:firstLineChars="196"/>
        <w:rPr>
          <w:color w:val="000000"/>
          <w:szCs w:val="21"/>
        </w:rPr>
      </w:pPr>
      <w:r>
        <w:rPr>
          <w:b/>
          <w:bCs/>
          <w:color w:val="000000"/>
          <w:sz w:val="20"/>
          <w:szCs w:val="20"/>
        </w:rPr>
        <w:t>课程学分：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  <w:lang w:val="en-US" w:eastAsia="zh-CN"/>
        </w:rPr>
        <w:t>2</w:t>
      </w:r>
      <w:r>
        <w:rPr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ind w:firstLine="394" w:firstLineChars="196"/>
        <w:rPr>
          <w:color w:val="000000"/>
          <w:szCs w:val="21"/>
        </w:rPr>
      </w:pPr>
      <w:r>
        <w:rPr>
          <w:b/>
          <w:bCs/>
          <w:color w:val="000000"/>
          <w:sz w:val="20"/>
          <w:szCs w:val="20"/>
        </w:rPr>
        <w:t>面向专业：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  <w:lang w:val="en-US" w:eastAsia="zh-CN"/>
        </w:rPr>
        <w:t>学前教育</w:t>
      </w:r>
      <w:r>
        <w:rPr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ind w:firstLine="394" w:firstLineChars="196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课程性质：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  <w:lang w:val="en-US" w:eastAsia="zh-CN"/>
        </w:rPr>
        <w:t>院级必修课</w:t>
      </w:r>
      <w:r>
        <w:rPr>
          <w:rFonts w:hint="eastAsia" w:ascii="宋体" w:hAnsi="宋体" w:eastAsia="宋体" w:cs="宋体"/>
          <w:color w:val="000000"/>
          <w:sz w:val="20"/>
          <w:szCs w:val="20"/>
          <w:lang w:val="en-US" w:eastAsia="zh-CN"/>
        </w:rPr>
        <w:t>◎</w:t>
      </w:r>
      <w:r>
        <w:rPr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ind w:firstLine="394" w:firstLineChars="196"/>
        <w:rPr>
          <w:rFonts w:hint="eastAsia" w:eastAsia="宋体"/>
          <w:b/>
          <w:bCs/>
          <w:color w:val="000000"/>
          <w:szCs w:val="21"/>
          <w:lang w:val="en-US" w:eastAsia="zh-CN"/>
        </w:rPr>
      </w:pPr>
      <w:r>
        <w:rPr>
          <w:b/>
          <w:bCs/>
          <w:color w:val="000000"/>
          <w:sz w:val="20"/>
          <w:szCs w:val="20"/>
        </w:rPr>
        <w:t>开课院系：</w:t>
      </w:r>
      <w:r>
        <w:rPr>
          <w:rFonts w:hint="eastAsia"/>
          <w:b/>
          <w:bCs/>
          <w:color w:val="000000"/>
          <w:sz w:val="20"/>
          <w:szCs w:val="20"/>
          <w:lang w:val="en-US" w:eastAsia="zh-CN"/>
        </w:rPr>
        <w:t>学前教育系</w:t>
      </w:r>
    </w:p>
    <w:p>
      <w:pPr>
        <w:snapToGrid w:val="0"/>
        <w:spacing w:line="288" w:lineRule="auto"/>
        <w:ind w:firstLine="394" w:firstLineChars="196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使用教材：</w:t>
      </w:r>
    </w:p>
    <w:p>
      <w:pPr>
        <w:snapToGrid w:val="0"/>
        <w:spacing w:line="288" w:lineRule="auto"/>
        <w:ind w:left="806" w:leftChars="380" w:hanging="8" w:hangingChars="4"/>
        <w:rPr>
          <w:color w:val="000000"/>
          <w:szCs w:val="21"/>
          <w:lang w:val="en-US"/>
        </w:rPr>
      </w:pPr>
      <w:r>
        <w:rPr>
          <w:color w:val="000000"/>
          <w:sz w:val="20"/>
          <w:szCs w:val="20"/>
        </w:rPr>
        <w:t>教材【</w:t>
      </w:r>
      <w:r>
        <w:rPr>
          <w:rFonts w:hint="eastAsia"/>
          <w:color w:val="000000"/>
          <w:sz w:val="20"/>
          <w:szCs w:val="20"/>
          <w:lang w:val="en-US" w:eastAsia="zh-CN"/>
        </w:rPr>
        <w:t>书名：儿童文学欣赏与导读，作者：石英、周明刚，出版社：上海交通大学出版社，版本信息：</w:t>
      </w:r>
      <w:r>
        <w:rPr>
          <w:rFonts w:hint="eastAsia"/>
          <w:color w:val="000000"/>
          <w:sz w:val="20"/>
          <w:szCs w:val="20"/>
        </w:rPr>
        <w:t>201</w:t>
      </w:r>
      <w:r>
        <w:rPr>
          <w:rFonts w:hint="eastAsia"/>
          <w:color w:val="000000"/>
          <w:sz w:val="20"/>
          <w:szCs w:val="20"/>
          <w:lang w:val="en-US" w:eastAsia="zh-CN"/>
        </w:rPr>
        <w:t>8</w:t>
      </w:r>
      <w:r>
        <w:rPr>
          <w:rFonts w:hint="eastAsia"/>
          <w:color w:val="000000"/>
          <w:sz w:val="20"/>
          <w:szCs w:val="20"/>
        </w:rPr>
        <w:t>-</w:t>
      </w:r>
      <w:r>
        <w:rPr>
          <w:rFonts w:hint="eastAsia"/>
          <w:color w:val="000000"/>
          <w:sz w:val="20"/>
          <w:szCs w:val="20"/>
          <w:lang w:val="en-US" w:eastAsia="zh-CN"/>
        </w:rPr>
        <w:t>08</w:t>
      </w:r>
      <w:r>
        <w:rPr>
          <w:rFonts w:hint="eastAsia"/>
          <w:color w:val="000000"/>
          <w:sz w:val="20"/>
          <w:szCs w:val="20"/>
        </w:rPr>
        <w:t>-</w:t>
      </w:r>
      <w:r>
        <w:rPr>
          <w:rFonts w:hint="eastAsia"/>
          <w:color w:val="000000"/>
          <w:sz w:val="20"/>
          <w:szCs w:val="20"/>
          <w:lang w:val="en-US" w:eastAsia="zh-CN"/>
        </w:rPr>
        <w:t>0</w:t>
      </w:r>
      <w:r>
        <w:rPr>
          <w:rFonts w:hint="eastAsia"/>
          <w:color w:val="000000"/>
          <w:sz w:val="20"/>
          <w:szCs w:val="20"/>
        </w:rPr>
        <w:t>1（出版时间），版次：第</w:t>
      </w:r>
      <w:r>
        <w:rPr>
          <w:rFonts w:hint="eastAsia"/>
          <w:color w:val="000000"/>
          <w:sz w:val="20"/>
          <w:szCs w:val="20"/>
          <w:lang w:val="en-US" w:eastAsia="zh-CN"/>
        </w:rPr>
        <w:t>1</w:t>
      </w:r>
      <w:r>
        <w:rPr>
          <w:rFonts w:hint="eastAsia"/>
          <w:color w:val="000000"/>
          <w:sz w:val="20"/>
          <w:szCs w:val="20"/>
        </w:rPr>
        <w:t>版，书号（ISBN）：</w:t>
      </w:r>
      <w:r>
        <w:rPr>
          <w:rFonts w:hint="eastAsia"/>
          <w:color w:val="000000"/>
          <w:sz w:val="20"/>
          <w:szCs w:val="20"/>
          <w:lang w:val="en-US" w:eastAsia="zh-CN"/>
        </w:rPr>
        <w:t>9787313199041</w:t>
      </w:r>
    </w:p>
    <w:p>
      <w:pPr>
        <w:snapToGrid w:val="0"/>
        <w:spacing w:line="288" w:lineRule="auto"/>
        <w:ind w:left="718" w:leftChars="342" w:firstLine="100" w:firstLineChars="50"/>
        <w:rPr>
          <w:rFonts w:hint="eastAsia"/>
          <w:color w:val="000000"/>
          <w:sz w:val="20"/>
          <w:szCs w:val="20"/>
          <w:highlight w:val="none"/>
          <w:lang w:val="en-US" w:eastAsia="zh-CN"/>
        </w:rPr>
      </w:pPr>
      <w:r>
        <w:rPr>
          <w:color w:val="000000"/>
          <w:sz w:val="20"/>
          <w:szCs w:val="20"/>
          <w:highlight w:val="none"/>
        </w:rPr>
        <w:t>参考</w:t>
      </w:r>
      <w:r>
        <w:rPr>
          <w:rFonts w:hint="eastAsia"/>
          <w:color w:val="000000"/>
          <w:sz w:val="20"/>
          <w:szCs w:val="20"/>
          <w:highlight w:val="none"/>
        </w:rPr>
        <w:t>书目</w:t>
      </w:r>
      <w:r>
        <w:rPr>
          <w:color w:val="000000"/>
          <w:sz w:val="20"/>
          <w:szCs w:val="20"/>
          <w:highlight w:val="none"/>
        </w:rPr>
        <w:t>【</w:t>
      </w:r>
      <w:r>
        <w:rPr>
          <w:rFonts w:hint="eastAsia"/>
          <w:color w:val="000000"/>
          <w:sz w:val="20"/>
          <w:szCs w:val="20"/>
          <w:highlight w:val="none"/>
          <w:lang w:val="en-US" w:eastAsia="zh-CN"/>
        </w:rPr>
        <w:t>1.书名：儿童文学教程，作者：方卫平，出版社：复旦大学出版社，版本信息：2015-03-01（出版时间），版次：第1版，书号</w:t>
      </w:r>
      <w:r>
        <w:rPr>
          <w:rFonts w:hint="eastAsia"/>
          <w:color w:val="000000"/>
          <w:sz w:val="20"/>
          <w:szCs w:val="20"/>
        </w:rPr>
        <w:t>（ISBN）：</w:t>
      </w:r>
      <w:r>
        <w:rPr>
          <w:rFonts w:hint="eastAsia"/>
          <w:color w:val="000000"/>
          <w:sz w:val="20"/>
          <w:szCs w:val="20"/>
          <w:highlight w:val="none"/>
          <w:lang w:val="en-US" w:eastAsia="zh-CN"/>
        </w:rPr>
        <w:t>9787309112122；</w:t>
      </w:r>
    </w:p>
    <w:p>
      <w:pPr>
        <w:numPr>
          <w:ilvl w:val="0"/>
          <w:numId w:val="1"/>
        </w:numPr>
        <w:snapToGrid w:val="0"/>
        <w:spacing w:line="288" w:lineRule="auto"/>
        <w:ind w:left="718" w:leftChars="342" w:firstLine="100" w:firstLineChars="50"/>
        <w:rPr>
          <w:rFonts w:hint="eastAsia"/>
          <w:color w:val="000000"/>
          <w:sz w:val="20"/>
          <w:szCs w:val="20"/>
        </w:rPr>
      </w:pPr>
      <w:r>
        <w:rPr>
          <w:rFonts w:hint="eastAsia"/>
          <w:color w:val="000000"/>
          <w:sz w:val="20"/>
          <w:szCs w:val="20"/>
          <w:highlight w:val="none"/>
          <w:lang w:val="en-US" w:eastAsia="zh-CN"/>
        </w:rPr>
        <w:t>书名：教育事业中的幼儿文学，作者：郑荔，出版社：江苏教育出版社，版本信息：2005-12-01（出版时间），版次：第1版，</w:t>
      </w:r>
      <w:r>
        <w:rPr>
          <w:rFonts w:hint="eastAsia"/>
          <w:color w:val="000000"/>
          <w:sz w:val="20"/>
          <w:szCs w:val="20"/>
        </w:rPr>
        <w:t>书号（ISBN）：</w:t>
      </w:r>
      <w:r>
        <w:rPr>
          <w:rFonts w:hint="eastAsia"/>
          <w:color w:val="000000"/>
          <w:sz w:val="20"/>
          <w:szCs w:val="20"/>
          <w:highlight w:val="none"/>
          <w:lang w:val="en-US" w:eastAsia="zh-CN"/>
        </w:rPr>
        <w:t>9787534371912</w:t>
      </w:r>
      <w:r>
        <w:rPr>
          <w:rFonts w:hint="eastAsia"/>
          <w:color w:val="000000"/>
          <w:sz w:val="20"/>
          <w:szCs w:val="20"/>
          <w:lang w:eastAsia="zh-CN"/>
        </w:rPr>
        <w:t>；</w:t>
      </w:r>
    </w:p>
    <w:p>
      <w:pPr>
        <w:numPr>
          <w:ilvl w:val="0"/>
          <w:numId w:val="1"/>
        </w:numPr>
        <w:snapToGrid w:val="0"/>
        <w:spacing w:line="288" w:lineRule="auto"/>
        <w:ind w:left="718" w:leftChars="342" w:firstLine="100" w:firstLineChars="50"/>
        <w:rPr>
          <w:color w:val="000000"/>
          <w:szCs w:val="21"/>
          <w:highlight w:val="none"/>
        </w:rPr>
      </w:pPr>
      <w:r>
        <w:rPr>
          <w:rFonts w:hint="eastAsia"/>
          <w:color w:val="000000"/>
          <w:sz w:val="20"/>
          <w:szCs w:val="20"/>
          <w:highlight w:val="none"/>
          <w:lang w:val="en-US" w:eastAsia="zh-CN"/>
        </w:rPr>
        <w:t>书名：学前儿童文学，作者：李莹，出版社：复旦大学出版社，版本信息：2008-09-01（出版时间），版次：第2版，书号</w:t>
      </w:r>
      <w:r>
        <w:rPr>
          <w:rFonts w:hint="eastAsia"/>
          <w:color w:val="000000"/>
          <w:sz w:val="20"/>
          <w:szCs w:val="20"/>
        </w:rPr>
        <w:t>（ISBN）：</w:t>
      </w:r>
      <w:r>
        <w:rPr>
          <w:rFonts w:hint="eastAsia"/>
          <w:color w:val="000000"/>
          <w:sz w:val="20"/>
          <w:szCs w:val="20"/>
          <w:highlight w:val="none"/>
          <w:lang w:val="en-US" w:eastAsia="zh-CN"/>
        </w:rPr>
        <w:t>9787309061147；</w:t>
      </w:r>
    </w:p>
    <w:p>
      <w:pPr>
        <w:numPr>
          <w:ilvl w:val="0"/>
          <w:numId w:val="1"/>
        </w:numPr>
        <w:snapToGrid w:val="0"/>
        <w:spacing w:line="288" w:lineRule="auto"/>
        <w:ind w:left="718" w:leftChars="342" w:firstLine="100" w:firstLineChars="50"/>
        <w:rPr>
          <w:color w:val="000000"/>
          <w:szCs w:val="21"/>
          <w:highlight w:val="none"/>
        </w:rPr>
      </w:pPr>
      <w:r>
        <w:rPr>
          <w:rFonts w:hint="eastAsia"/>
          <w:color w:val="000000"/>
          <w:sz w:val="20"/>
          <w:szCs w:val="20"/>
          <w:highlight w:val="none"/>
          <w:lang w:val="en-US" w:eastAsia="zh-CN"/>
        </w:rPr>
        <w:t>书名：儿童文学教程，作者：王泉根，出版社：北京师范大学出版社，版本信息：2009-09（出版时间），版次：第2版，</w:t>
      </w:r>
      <w:r>
        <w:rPr>
          <w:rFonts w:hint="eastAsia"/>
          <w:color w:val="000000"/>
          <w:sz w:val="20"/>
          <w:szCs w:val="20"/>
        </w:rPr>
        <w:t>书号（ISBN）：</w:t>
      </w:r>
      <w:r>
        <w:rPr>
          <w:rFonts w:hint="eastAsia"/>
          <w:color w:val="000000"/>
          <w:sz w:val="20"/>
          <w:szCs w:val="20"/>
          <w:highlight w:val="none"/>
          <w:lang w:val="en-US" w:eastAsia="zh-CN"/>
        </w:rPr>
        <w:t>9787303099955</w:t>
      </w:r>
      <w:r>
        <w:rPr>
          <w:color w:val="000000"/>
          <w:sz w:val="20"/>
          <w:szCs w:val="20"/>
          <w:highlight w:val="none"/>
        </w:rPr>
        <w:t>】</w:t>
      </w:r>
    </w:p>
    <w:p>
      <w:pPr>
        <w:snapToGrid w:val="0"/>
        <w:spacing w:line="288" w:lineRule="auto"/>
        <w:ind w:firstLine="394" w:firstLineChars="196"/>
        <w:rPr>
          <w:color w:val="000000"/>
          <w:sz w:val="20"/>
          <w:szCs w:val="20"/>
          <w:highlight w:val="none"/>
        </w:rPr>
      </w:pPr>
      <w:r>
        <w:rPr>
          <w:rFonts w:hint="eastAsia"/>
          <w:b/>
          <w:bCs/>
          <w:color w:val="000000"/>
          <w:sz w:val="20"/>
          <w:szCs w:val="20"/>
          <w:highlight w:val="none"/>
        </w:rPr>
        <w:t>课程网站网址：https://www.istaoke.com/teacher/editcourse/3726/course</w:t>
      </w:r>
    </w:p>
    <w:p>
      <w:pPr>
        <w:adjustRightInd w:val="0"/>
        <w:snapToGrid w:val="0"/>
        <w:spacing w:line="288" w:lineRule="auto"/>
        <w:ind w:firstLine="394" w:firstLineChars="196"/>
        <w:rPr>
          <w:rFonts w:hint="default" w:eastAsia="宋体"/>
          <w:color w:val="000000"/>
          <w:sz w:val="20"/>
          <w:szCs w:val="20"/>
          <w:lang w:val="en-US" w:eastAsia="zh-CN"/>
        </w:rPr>
      </w:pPr>
      <w:r>
        <w:rPr>
          <w:b/>
          <w:bCs/>
          <w:color w:val="000000"/>
          <w:sz w:val="20"/>
          <w:szCs w:val="20"/>
        </w:rPr>
        <w:t>先修课程：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  <w:lang w:val="en-US" w:eastAsia="zh-CN"/>
        </w:rPr>
        <w:t>心理学基础</w:t>
      </w:r>
      <w:r>
        <w:rPr>
          <w:color w:val="000000"/>
          <w:sz w:val="20"/>
          <w:szCs w:val="20"/>
        </w:rPr>
        <w:t>】</w:t>
      </w:r>
    </w:p>
    <w:p>
      <w:pPr>
        <w:adjustRightInd w:val="0"/>
        <w:snapToGrid w:val="0"/>
        <w:spacing w:beforeLines="50" w:afterLines="50" w:line="288" w:lineRule="auto"/>
        <w:ind w:firstLine="348" w:firstLineChars="145"/>
        <w:rPr>
          <w:b/>
          <w:color w:val="000000"/>
          <w:sz w:val="24"/>
          <w:szCs w:val="20"/>
        </w:rPr>
      </w:pPr>
      <w:r>
        <w:rPr>
          <w:rFonts w:ascii="黑体" w:hAnsi="宋体" w:eastAsia="黑体"/>
          <w:sz w:val="24"/>
        </w:rPr>
        <w:t>二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课程简介</w:t>
      </w:r>
    </w:p>
    <w:p>
      <w:pPr>
        <w:snapToGrid w:val="0"/>
        <w:spacing w:line="288" w:lineRule="auto"/>
        <w:ind w:firstLine="400" w:firstLineChars="200"/>
        <w:rPr>
          <w:rFonts w:hint="eastAsia"/>
          <w:color w:val="000000"/>
          <w:sz w:val="20"/>
          <w:szCs w:val="20"/>
          <w:lang w:val="en-US" w:eastAsia="zh-CN"/>
        </w:rPr>
      </w:pPr>
      <w:r>
        <w:rPr>
          <w:rFonts w:hint="eastAsia"/>
          <w:color w:val="000000"/>
          <w:sz w:val="20"/>
          <w:szCs w:val="20"/>
          <w:lang w:val="en-US" w:eastAsia="zh-CN"/>
        </w:rPr>
        <w:t>《儿童文学》作为学科平台必修课程，是学前教育专业的一门基础课程。本课程旨在拓展学生的阅读视野，建立并深化其现代、科学的儿童观和儿童文学观，提升其儿童文学的审美素养和研究能力，为他们日后职业生涯的顺利展开做准备。本课程在现有的普适性、有共识的儿童文学理论框架下，针对学前教育专业重点进行儿童文学作品的欣赏与导读。力求通过作品赏读的引领与示范，打开学生的文学视野，磨砺其文字敏锐度，加深其对于童年的理解，最终提升他们对儿童文学作品体悟与分析的能力。</w:t>
      </w:r>
    </w:p>
    <w:p>
      <w:pPr>
        <w:snapToGrid w:val="0"/>
        <w:spacing w:line="288" w:lineRule="auto"/>
        <w:ind w:firstLine="400" w:firstLineChars="200"/>
        <w:rPr>
          <w:rFonts w:hint="eastAsia"/>
          <w:color w:val="000000"/>
          <w:sz w:val="20"/>
          <w:szCs w:val="20"/>
          <w:lang w:val="en-US" w:eastAsia="zh-CN"/>
        </w:rPr>
      </w:pPr>
      <w:r>
        <w:rPr>
          <w:rFonts w:hint="eastAsia"/>
          <w:color w:val="000000"/>
          <w:sz w:val="20"/>
          <w:szCs w:val="20"/>
          <w:lang w:val="en-US" w:eastAsia="zh-CN"/>
        </w:rPr>
        <w:t>本课程将儿童文学作品按文体区分后进行赏析和导读，选取了儿童文学韵文体文学中的儿歌、儿童诗，幻想体文学中的童话、儿童寓言，叙事体文学中的儿童故事、儿童小说，散文体文学中的儿童散文，多媒体文学中的图画书、儿童戏剧和儿童影视来进行赏析导读。以文本细读为基本思路，兼顾作家作品相关背景介绍和理论引导，使学生以作品为基础了解儿童文学的基本文体知识、认识部分著名作家并以此为起点进一步拓展阅读。</w:t>
      </w:r>
    </w:p>
    <w:p>
      <w:pPr>
        <w:widowControl/>
        <w:spacing w:beforeLines="50" w:afterLines="50" w:line="288" w:lineRule="auto"/>
        <w:ind w:firstLine="360" w:firstLineChars="150"/>
        <w:jc w:val="left"/>
        <w:rPr>
          <w:rFonts w:hint="eastAsia" w:ascii="黑体" w:hAnsi="宋体" w:eastAsia="黑体"/>
          <w:sz w:val="24"/>
          <w:lang w:val="en-US" w:eastAsia="zh-CN"/>
        </w:rPr>
      </w:pPr>
      <w:r>
        <w:rPr>
          <w:rFonts w:ascii="黑体" w:hAnsi="宋体" w:eastAsia="黑体"/>
          <w:sz w:val="24"/>
        </w:rPr>
        <w:t>三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选课建议</w:t>
      </w:r>
      <w:r>
        <w:rPr>
          <w:rFonts w:hint="eastAsia" w:ascii="黑体" w:hAnsi="宋体" w:eastAsia="黑体"/>
          <w:sz w:val="24"/>
          <w:lang w:val="en-US" w:eastAsia="zh-CN"/>
        </w:rPr>
        <w:t xml:space="preserve">                                                       </w:t>
      </w:r>
    </w:p>
    <w:p>
      <w:pPr>
        <w:snapToGrid w:val="0"/>
        <w:spacing w:line="288" w:lineRule="auto"/>
        <w:ind w:firstLine="400" w:firstLineChars="200"/>
        <w:rPr>
          <w:color w:val="000000"/>
          <w:sz w:val="20"/>
          <w:szCs w:val="20"/>
        </w:rPr>
      </w:pPr>
      <w:r>
        <w:rPr>
          <w:rFonts w:hint="eastAsia"/>
          <w:color w:val="000000"/>
          <w:sz w:val="20"/>
          <w:szCs w:val="20"/>
        </w:rPr>
        <w:t xml:space="preserve"> 本课程建议学前教育专业的</w:t>
      </w:r>
      <w:r>
        <w:rPr>
          <w:rFonts w:hint="eastAsia"/>
          <w:color w:val="000000"/>
          <w:sz w:val="20"/>
          <w:szCs w:val="20"/>
          <w:lang w:val="en-US" w:eastAsia="zh-CN"/>
        </w:rPr>
        <w:t>二</w:t>
      </w:r>
      <w:r>
        <w:rPr>
          <w:rFonts w:hint="eastAsia"/>
          <w:color w:val="000000"/>
          <w:sz w:val="20"/>
          <w:szCs w:val="20"/>
        </w:rPr>
        <w:t>年级学生选课，学生应</w:t>
      </w:r>
      <w:r>
        <w:rPr>
          <w:rFonts w:hint="eastAsia"/>
          <w:color w:val="000000"/>
          <w:sz w:val="20"/>
          <w:szCs w:val="20"/>
          <w:lang w:val="en-US" w:eastAsia="zh-CN"/>
        </w:rPr>
        <w:t>对于教育学、心理学基础知识有一定的了解，</w:t>
      </w:r>
      <w:r>
        <w:rPr>
          <w:rFonts w:hint="eastAsia"/>
          <w:color w:val="000000"/>
          <w:sz w:val="20"/>
          <w:szCs w:val="20"/>
        </w:rPr>
        <w:t>具有一定的阅读能力、辩证的思维方法，同时学生应具备一定的自主学习能力。</w:t>
      </w:r>
    </w:p>
    <w:p>
      <w:pPr>
        <w:widowControl/>
        <w:numPr>
          <w:ilvl w:val="0"/>
          <w:numId w:val="2"/>
        </w:numPr>
        <w:spacing w:beforeLines="50" w:afterLines="50" w:line="288" w:lineRule="auto"/>
        <w:ind w:firstLine="360" w:firstLineChars="150"/>
        <w:jc w:val="left"/>
        <w:rPr>
          <w:rFonts w:ascii="黑体" w:hAnsi="宋体" w:eastAsia="黑体"/>
          <w:sz w:val="24"/>
        </w:rPr>
      </w:pPr>
      <w:r>
        <w:rPr>
          <w:rFonts w:ascii="黑体" w:hAnsi="宋体" w:eastAsia="黑体"/>
          <w:sz w:val="24"/>
        </w:rPr>
        <w:t>课程与</w:t>
      </w:r>
      <w:r>
        <w:rPr>
          <w:rFonts w:hint="eastAsia" w:ascii="黑体" w:hAnsi="宋体" w:eastAsia="黑体"/>
          <w:sz w:val="24"/>
          <w:highlight w:val="none"/>
        </w:rPr>
        <w:t>专业毕业要求</w:t>
      </w:r>
      <w:r>
        <w:rPr>
          <w:rFonts w:ascii="黑体" w:hAnsi="宋体" w:eastAsia="黑体"/>
          <w:sz w:val="24"/>
        </w:rPr>
        <w:t>的关联性</w:t>
      </w:r>
    </w:p>
    <w:tbl>
      <w:tblPr>
        <w:tblStyle w:val="5"/>
        <w:tblpPr w:leftFromText="180" w:rightFromText="180" w:vertAnchor="text" w:horzAnchor="page" w:tblpX="2232" w:tblpY="242"/>
        <w:tblOverlap w:val="never"/>
        <w:tblW w:w="805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46"/>
        <w:gridCol w:w="11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46" w:type="dxa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0"/>
              </w:rPr>
              <w:t>专业毕业要求</w:t>
            </w:r>
          </w:p>
        </w:tc>
        <w:tc>
          <w:tcPr>
            <w:tcW w:w="1104" w:type="dxa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0"/>
              </w:rPr>
              <w:t>关联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46" w:type="dxa"/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XQ11专业伦理：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认同社会主义核心价值观；理解与践行学前教育核心价值；明确与践行幼儿园教师保教行为规范。</w:t>
            </w:r>
          </w:p>
        </w:tc>
        <w:tc>
          <w:tcPr>
            <w:tcW w:w="1104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46" w:type="dxa"/>
            <w:vAlign w:val="center"/>
          </w:tcPr>
          <w:p>
            <w:pPr>
              <w:widowControl/>
              <w:rPr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XQ12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教育情怀: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增强专业认同感和使命感；具有人文底蕴、生命关怀和科学精神；践行幼儿为本和爱与自由理念。</w:t>
            </w:r>
          </w:p>
        </w:tc>
        <w:tc>
          <w:tcPr>
            <w:tcW w:w="1104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46" w:type="dxa"/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XQ21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儿童研究：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掌握儿童发展、儿童研究的基本理论；具备现场观察、记录、分析幼儿的意识和能力；具备评价幼儿园教育活动的能力。</w:t>
            </w:r>
          </w:p>
        </w:tc>
        <w:tc>
          <w:tcPr>
            <w:tcW w:w="1104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46" w:type="dxa"/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XQ2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2保教能力：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把握幼儿生理、心理特点；掌握幼儿园保育和教育的基本知识和方法；熟悉五大领域知识并能合理运用于综合活动中。</w:t>
            </w:r>
          </w:p>
        </w:tc>
        <w:tc>
          <w:tcPr>
            <w:tcW w:w="1104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46" w:type="dxa"/>
            <w:vAlign w:val="center"/>
          </w:tcPr>
          <w:p>
            <w:pPr>
              <w:widowControl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XQ23环境创设：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充分认识大自然、大社会对幼儿发展的价值；具备创设有准备的环境的知识和能力；具备幼儿与环境互动质量的评价能力。</w:t>
            </w:r>
          </w:p>
        </w:tc>
        <w:tc>
          <w:tcPr>
            <w:tcW w:w="1104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46" w:type="dxa"/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3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班级管理:能引导幼儿建立班级的秩序与规则；能营造愉悦、尊重、平等、积极的班级氛围；有以班级为纽带调动家庭和社区资源的意识和能力。</w:t>
            </w:r>
          </w:p>
        </w:tc>
        <w:tc>
          <w:tcPr>
            <w:tcW w:w="1104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46" w:type="dxa"/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楷体_GB2312" w:hAnsi="楷体" w:eastAsia="楷体_GB2312"/>
                <w:bCs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32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综合活动:充分认识一日生活的课程价值；具备以游戏为幼儿园基本活动的意识和能力；具有整合幼儿园、家庭与社区资源的能力。</w:t>
            </w:r>
          </w:p>
        </w:tc>
        <w:tc>
          <w:tcPr>
            <w:tcW w:w="1104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46" w:type="dxa"/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楷体_GB2312" w:hAnsi="楷体" w:eastAsia="楷体_GB2312"/>
                <w:bCs/>
                <w:sz w:val="24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XQ41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反思精神:养成主动学习、批判性思考的习惯和品格；具有自我反思和引导幼儿反思的意识和能力；具有创造性解决问题的意识与能力。</w:t>
            </w:r>
          </w:p>
        </w:tc>
        <w:tc>
          <w:tcPr>
            <w:tcW w:w="1104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46" w:type="dxa"/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XQ42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国际视野:有参与国际教育交流的意识和能力；把握学前教育改革发展趋势和前沿动态；有分析和借鉴国际教育理念与实践的能力。</w:t>
            </w:r>
          </w:p>
        </w:tc>
        <w:tc>
          <w:tcPr>
            <w:tcW w:w="1104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46" w:type="dxa"/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XQ43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交流合作：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具有团队协作精神，认同学习共同体的价值；掌握沟通合作的技能；有参与、组织专业团队开展合作学习的意识和能力。</w:t>
            </w:r>
          </w:p>
        </w:tc>
        <w:tc>
          <w:tcPr>
            <w:tcW w:w="1104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</w:tbl>
    <w:p>
      <w:pPr>
        <w:widowControl/>
        <w:numPr>
          <w:ilvl w:val="0"/>
          <w:numId w:val="0"/>
        </w:numPr>
        <w:spacing w:beforeLines="50" w:afterLines="50" w:line="288" w:lineRule="auto"/>
        <w:jc w:val="left"/>
        <w:rPr>
          <w:rFonts w:ascii="黑体" w:hAnsi="宋体" w:eastAsia="黑体"/>
          <w:sz w:val="24"/>
        </w:rPr>
      </w:pPr>
    </w:p>
    <w:p>
      <w:pPr>
        <w:ind w:firstLine="420" w:firstLineChars="200"/>
      </w:pPr>
      <w:r>
        <w:rPr>
          <w:rFonts w:hint="eastAsia"/>
        </w:rPr>
        <w:t>备注：XQ</w:t>
      </w:r>
      <w:r>
        <w:t xml:space="preserve"> </w:t>
      </w:r>
      <w:r>
        <w:rPr>
          <w:rFonts w:hint="eastAsia"/>
        </w:rPr>
        <w:t>=</w:t>
      </w:r>
      <w:r>
        <w:t xml:space="preserve"> </w:t>
      </w:r>
      <w:r>
        <w:rPr>
          <w:rFonts w:hint="eastAsia"/>
        </w:rPr>
        <w:t>学前教育.</w:t>
      </w:r>
    </w:p>
    <w:p>
      <w:pPr>
        <w:widowControl/>
        <w:spacing w:beforeLines="50" w:afterLines="50" w:line="288" w:lineRule="auto"/>
        <w:ind w:firstLine="240" w:firstLineChars="100"/>
        <w:jc w:val="left"/>
        <w:rPr>
          <w:rFonts w:ascii="黑体" w:hAnsi="宋体" w:eastAsia="黑体"/>
          <w:sz w:val="24"/>
          <w:highlight w:val="none"/>
        </w:rPr>
      </w:pPr>
      <w:r>
        <w:rPr>
          <w:rFonts w:hint="eastAsia" w:ascii="黑体" w:hAnsi="宋体" w:eastAsia="黑体"/>
          <w:sz w:val="24"/>
          <w:highlight w:val="none"/>
        </w:rPr>
        <w:t>五、</w:t>
      </w:r>
      <w:r>
        <w:rPr>
          <w:rFonts w:ascii="黑体" w:hAnsi="宋体" w:eastAsia="黑体"/>
          <w:sz w:val="24"/>
          <w:highlight w:val="none"/>
        </w:rPr>
        <w:t>课程</w:t>
      </w:r>
      <w:r>
        <w:rPr>
          <w:rFonts w:hint="eastAsia" w:ascii="黑体" w:hAnsi="宋体" w:eastAsia="黑体"/>
          <w:sz w:val="24"/>
          <w:highlight w:val="none"/>
        </w:rPr>
        <w:t>目标/课程预期学习成果</w:t>
      </w:r>
    </w:p>
    <w:tbl>
      <w:tblPr>
        <w:tblStyle w:val="4"/>
        <w:tblpPr w:leftFromText="180" w:rightFromText="180" w:vertAnchor="text" w:horzAnchor="page" w:tblpX="2232" w:tblpY="152"/>
        <w:tblOverlap w:val="never"/>
        <w:tblW w:w="86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0"/>
        <w:gridCol w:w="1240"/>
        <w:gridCol w:w="2880"/>
        <w:gridCol w:w="1470"/>
        <w:gridCol w:w="24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0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序号</w:t>
            </w:r>
          </w:p>
        </w:tc>
        <w:tc>
          <w:tcPr>
            <w:tcW w:w="1240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课程预期</w:t>
            </w:r>
          </w:p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学习成果</w:t>
            </w:r>
          </w:p>
        </w:tc>
        <w:tc>
          <w:tcPr>
            <w:tcW w:w="2880" w:type="dxa"/>
            <w:shd w:val="clear" w:color="auto" w:fill="auto"/>
            <w:vAlign w:val="center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  <w:highlight w:val="yellow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课程目标</w:t>
            </w:r>
          </w:p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  <w:highlight w:val="none"/>
                <w:shd w:val="clear"/>
              </w:rPr>
              <w:t>（细化的预期学习成果</w:t>
            </w:r>
            <w:r>
              <w:rPr>
                <w:rFonts w:hint="eastAsia"/>
                <w:b/>
                <w:color w:val="000000"/>
                <w:sz w:val="20"/>
                <w:szCs w:val="20"/>
              </w:rPr>
              <w:t>）</w:t>
            </w:r>
          </w:p>
        </w:tc>
        <w:tc>
          <w:tcPr>
            <w:tcW w:w="1470" w:type="dxa"/>
            <w:shd w:val="clear" w:color="auto" w:fill="auto"/>
            <w:vAlign w:val="center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教与学方式</w:t>
            </w:r>
          </w:p>
        </w:tc>
        <w:tc>
          <w:tcPr>
            <w:tcW w:w="2440" w:type="dxa"/>
            <w:shd w:val="clear" w:color="auto" w:fill="auto"/>
            <w:vAlign w:val="center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评价方式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90" w:type="dxa"/>
            <w:shd w:val="clear" w:color="auto" w:fill="auto"/>
          </w:tcPr>
          <w:p>
            <w:pPr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240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  <w:t>XQ121</w:t>
            </w:r>
          </w:p>
        </w:tc>
        <w:tc>
          <w:tcPr>
            <w:tcW w:w="2880" w:type="dxa"/>
            <w:shd w:val="clear" w:color="auto" w:fill="auto"/>
          </w:tcPr>
          <w:p>
            <w:pPr>
              <w:numPr>
                <w:ilvl w:val="0"/>
                <w:numId w:val="3"/>
              </w:numP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  <w:t>知道儿童文学基本理论和文本特征</w:t>
            </w:r>
          </w:p>
          <w:p>
            <w:pPr>
              <w:numPr>
                <w:ilvl w:val="0"/>
                <w:numId w:val="0"/>
              </w:numP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  <w:t xml:space="preserve">2.分析儿童文学发展史  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  <w:t xml:space="preserve">3.运用儿童文学作家和读者，阅读一定量的儿童文学作品。 </w:t>
            </w:r>
          </w:p>
        </w:tc>
        <w:tc>
          <w:tcPr>
            <w:tcW w:w="1470" w:type="dxa"/>
            <w:shd w:val="clear" w:color="auto" w:fill="auto"/>
          </w:tcPr>
          <w:p>
            <w:pP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  <w:t>课堂讲授；</w:t>
            </w:r>
          </w:p>
          <w:p>
            <w:pP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  <w:t>小组讨论；</w:t>
            </w:r>
          </w:p>
          <w:p>
            <w:pP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  <w:t>学生自主阅读</w:t>
            </w:r>
          </w:p>
        </w:tc>
        <w:tc>
          <w:tcPr>
            <w:tcW w:w="2440" w:type="dxa"/>
            <w:shd w:val="clear" w:color="auto" w:fill="auto"/>
          </w:tcPr>
          <w:p>
            <w:pPr>
              <w:snapToGrid w:val="0"/>
              <w:spacing w:line="288" w:lineRule="auto"/>
              <w:jc w:val="both"/>
              <w:rPr>
                <w:rFonts w:hint="eastAsia" w:ascii="黑体" w:hAnsi="宋体" w:eastAsia="黑体"/>
                <w:sz w:val="24"/>
                <w:lang w:val="en-US" w:eastAsia="zh-CN"/>
              </w:rPr>
            </w:pPr>
            <w:r>
              <w:rPr>
                <w:rFonts w:hint="eastAsia" w:ascii="黑体" w:hAnsi="宋体" w:eastAsia="黑体"/>
                <w:sz w:val="24"/>
                <w:lang w:val="en-US" w:eastAsia="zh-CN"/>
              </w:rPr>
              <w:t>课后作业；</w:t>
            </w:r>
          </w:p>
          <w:p>
            <w:pPr>
              <w:snapToGrid w:val="0"/>
              <w:spacing w:line="288" w:lineRule="auto"/>
              <w:jc w:val="both"/>
              <w:rPr>
                <w:rFonts w:hint="eastAsia" w:ascii="黑体" w:hAnsi="宋体" w:eastAsia="黑体"/>
                <w:sz w:val="24"/>
                <w:lang w:val="en-US" w:eastAsia="zh-CN"/>
              </w:rPr>
            </w:pPr>
            <w:r>
              <w:rPr>
                <w:rFonts w:hint="eastAsia" w:ascii="黑体" w:hAnsi="宋体" w:eastAsia="黑体"/>
                <w:sz w:val="24"/>
                <w:lang w:val="en-US" w:eastAsia="zh-CN"/>
              </w:rPr>
              <w:t>平时表现</w:t>
            </w:r>
          </w:p>
          <w:p>
            <w:pPr>
              <w:snapToGrid w:val="0"/>
              <w:spacing w:line="288" w:lineRule="auto"/>
              <w:jc w:val="both"/>
              <w:rPr>
                <w:rFonts w:hint="eastAsia" w:ascii="黑体" w:hAnsi="宋体" w:eastAsia="黑体"/>
                <w:sz w:val="24"/>
                <w:lang w:val="en-US" w:eastAsia="zh-CN"/>
              </w:rPr>
            </w:pPr>
            <w:r>
              <w:rPr>
                <w:rFonts w:hint="eastAsia" w:ascii="黑体" w:hAnsi="宋体" w:eastAsia="黑体"/>
                <w:sz w:val="24"/>
                <w:lang w:val="en-US" w:eastAsia="zh-CN"/>
              </w:rPr>
              <w:t>读书报告；</w:t>
            </w:r>
          </w:p>
          <w:p>
            <w:pPr>
              <w:snapToGrid w:val="0"/>
              <w:spacing w:line="288" w:lineRule="auto"/>
              <w:jc w:val="both"/>
              <w:rPr>
                <w:rFonts w:hint="eastAsia" w:ascii="黑体" w:hAnsi="宋体" w:eastAsia="黑体"/>
                <w:sz w:val="24"/>
                <w:lang w:val="en-US" w:eastAsia="zh-CN"/>
              </w:rPr>
            </w:pPr>
            <w:r>
              <w:rPr>
                <w:rFonts w:hint="eastAsia" w:ascii="黑体" w:hAnsi="宋体" w:eastAsia="黑体"/>
                <w:sz w:val="24"/>
                <w:lang w:val="en-US" w:eastAsia="zh-CN"/>
              </w:rPr>
              <w:t>作品展示</w:t>
            </w:r>
          </w:p>
          <w:p>
            <w:pPr>
              <w:snapToGrid w:val="0"/>
              <w:spacing w:line="288" w:lineRule="auto"/>
              <w:jc w:val="both"/>
              <w:rPr>
                <w:rFonts w:hint="eastAsia" w:ascii="黑体" w:hAnsi="宋体" w:eastAsia="黑体"/>
                <w:sz w:val="24"/>
                <w:lang w:val="en-US" w:eastAsia="zh-CN"/>
              </w:rPr>
            </w:pPr>
            <w:r>
              <w:rPr>
                <w:rFonts w:hint="eastAsia" w:ascii="黑体" w:hAnsi="宋体" w:eastAsia="黑体"/>
                <w:sz w:val="24"/>
                <w:lang w:val="en-US" w:eastAsia="zh-CN"/>
              </w:rPr>
              <w:t>期末闭卷考试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</w:trPr>
        <w:tc>
          <w:tcPr>
            <w:tcW w:w="590" w:type="dxa"/>
            <w:shd w:val="clear" w:color="auto" w:fill="auto"/>
          </w:tcPr>
          <w:p>
            <w:pP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240" w:type="dxa"/>
            <w:shd w:val="clear" w:color="auto" w:fill="auto"/>
          </w:tcPr>
          <w:p>
            <w:pP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  <w:t>XQ122</w:t>
            </w:r>
          </w:p>
        </w:tc>
        <w:tc>
          <w:tcPr>
            <w:tcW w:w="2880" w:type="dxa"/>
            <w:shd w:val="clear" w:color="auto" w:fill="auto"/>
          </w:tcPr>
          <w:p>
            <w:pPr>
              <w:numPr>
                <w:ilvl w:val="0"/>
                <w:numId w:val="4"/>
              </w:numPr>
              <w:tabs>
                <w:tab w:val="clear" w:pos="312"/>
              </w:tabs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  <w:t>知道拓展阅读视野，建立并深化现代、科学的儿童观和儿童文学观</w:t>
            </w:r>
          </w:p>
          <w:p>
            <w:pPr>
              <w:numPr>
                <w:ilvl w:val="0"/>
                <w:numId w:val="4"/>
              </w:numPr>
              <w:tabs>
                <w:tab w:val="clear" w:pos="312"/>
              </w:tabs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  <w:t>理解儿童文学重要体裁的艺术特征和审美风格，能够运用所学知识对各类儿童文学作品进行分析评论，初步学会改编、创作儿童文学作品。</w:t>
            </w:r>
          </w:p>
        </w:tc>
        <w:tc>
          <w:tcPr>
            <w:tcW w:w="1470" w:type="dxa"/>
            <w:shd w:val="clear" w:color="auto" w:fill="auto"/>
          </w:tcPr>
          <w:p>
            <w:pPr>
              <w:snapToGrid w:val="0"/>
              <w:spacing w:line="288" w:lineRule="auto"/>
              <w:jc w:val="both"/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  <w:t>课堂讲授；</w:t>
            </w:r>
          </w:p>
          <w:p>
            <w:pPr>
              <w:snapToGrid w:val="0"/>
              <w:spacing w:line="288" w:lineRule="auto"/>
              <w:jc w:val="both"/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  <w:t>翻转课堂；</w:t>
            </w:r>
          </w:p>
          <w:p>
            <w:pPr>
              <w:snapToGrid w:val="0"/>
              <w:spacing w:line="288" w:lineRule="auto"/>
              <w:jc w:val="both"/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  <w:t>小组讨论；</w:t>
            </w:r>
          </w:p>
          <w:p>
            <w:pPr>
              <w:snapToGrid w:val="0"/>
              <w:spacing w:line="288" w:lineRule="auto"/>
              <w:jc w:val="both"/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  <w:t>自主阅读；</w:t>
            </w:r>
          </w:p>
          <w:p>
            <w:pPr>
              <w:snapToGrid w:val="0"/>
              <w:spacing w:line="288" w:lineRule="auto"/>
              <w:jc w:val="both"/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  <w:t>学生自我反思与总结</w:t>
            </w:r>
          </w:p>
        </w:tc>
        <w:tc>
          <w:tcPr>
            <w:tcW w:w="2440" w:type="dxa"/>
            <w:shd w:val="clear" w:color="auto" w:fill="auto"/>
          </w:tcPr>
          <w:p>
            <w:pPr>
              <w:snapToGrid w:val="0"/>
              <w:spacing w:line="288" w:lineRule="auto"/>
              <w:jc w:val="both"/>
              <w:rPr>
                <w:rFonts w:hint="eastAsia" w:ascii="黑体" w:hAnsi="宋体" w:eastAsia="黑体"/>
                <w:sz w:val="24"/>
                <w:lang w:val="en-US" w:eastAsia="zh-CN"/>
              </w:rPr>
            </w:pPr>
            <w:r>
              <w:rPr>
                <w:rFonts w:hint="eastAsia" w:ascii="黑体" w:hAnsi="宋体" w:eastAsia="黑体"/>
                <w:sz w:val="24"/>
                <w:lang w:val="en-US" w:eastAsia="zh-CN"/>
              </w:rPr>
              <w:t>课后作业；</w:t>
            </w:r>
          </w:p>
          <w:p>
            <w:pPr>
              <w:snapToGrid w:val="0"/>
              <w:spacing w:line="288" w:lineRule="auto"/>
              <w:jc w:val="both"/>
              <w:rPr>
                <w:rFonts w:hint="eastAsia" w:ascii="黑体" w:hAnsi="宋体" w:eastAsia="黑体"/>
                <w:sz w:val="24"/>
                <w:lang w:val="en-US" w:eastAsia="zh-CN"/>
              </w:rPr>
            </w:pPr>
            <w:r>
              <w:rPr>
                <w:rFonts w:hint="eastAsia" w:ascii="黑体" w:hAnsi="宋体" w:eastAsia="黑体"/>
                <w:sz w:val="24"/>
                <w:lang w:val="en-US" w:eastAsia="zh-CN"/>
              </w:rPr>
              <w:t>平时表现</w:t>
            </w:r>
          </w:p>
          <w:p>
            <w:pPr>
              <w:snapToGrid w:val="0"/>
              <w:spacing w:line="288" w:lineRule="auto"/>
              <w:jc w:val="both"/>
              <w:rPr>
                <w:rFonts w:hint="eastAsia" w:ascii="黑体" w:hAnsi="宋体" w:eastAsia="黑体"/>
                <w:sz w:val="24"/>
                <w:lang w:val="en-US" w:eastAsia="zh-CN"/>
              </w:rPr>
            </w:pPr>
            <w:r>
              <w:rPr>
                <w:rFonts w:hint="eastAsia" w:ascii="黑体" w:hAnsi="宋体" w:eastAsia="黑体"/>
                <w:sz w:val="24"/>
                <w:lang w:val="en-US" w:eastAsia="zh-CN"/>
              </w:rPr>
              <w:t>读书报告；</w:t>
            </w:r>
          </w:p>
          <w:p>
            <w:pPr>
              <w:snapToGrid w:val="0"/>
              <w:spacing w:line="288" w:lineRule="auto"/>
              <w:jc w:val="both"/>
              <w:rPr>
                <w:rFonts w:hint="eastAsia" w:ascii="黑体" w:hAnsi="宋体" w:eastAsia="黑体"/>
                <w:sz w:val="24"/>
                <w:lang w:val="en-US" w:eastAsia="zh-CN"/>
              </w:rPr>
            </w:pPr>
            <w:r>
              <w:rPr>
                <w:rFonts w:hint="eastAsia" w:ascii="黑体" w:hAnsi="宋体" w:eastAsia="黑体"/>
                <w:sz w:val="24"/>
                <w:lang w:val="en-US" w:eastAsia="zh-CN"/>
              </w:rPr>
              <w:t>作品展示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</w:trPr>
        <w:tc>
          <w:tcPr>
            <w:tcW w:w="590" w:type="dxa"/>
            <w:shd w:val="clear" w:color="auto" w:fill="auto"/>
          </w:tcPr>
          <w:p>
            <w:pP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  <w:t>3</w:t>
            </w:r>
          </w:p>
        </w:tc>
        <w:tc>
          <w:tcPr>
            <w:tcW w:w="1240" w:type="dxa"/>
            <w:shd w:val="clear" w:color="auto" w:fill="auto"/>
          </w:tcPr>
          <w:p>
            <w:pP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  <w:t>XQ123</w:t>
            </w:r>
          </w:p>
        </w:tc>
        <w:tc>
          <w:tcPr>
            <w:tcW w:w="2880" w:type="dxa"/>
            <w:shd w:val="clear" w:color="auto" w:fill="auto"/>
          </w:tcPr>
          <w:p>
            <w:pPr>
              <w:numPr>
                <w:ilvl w:val="0"/>
                <w:numId w:val="0"/>
              </w:numP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  <w:t>能够提升儿童文学的审美素养和研究能力</w:t>
            </w:r>
          </w:p>
        </w:tc>
        <w:tc>
          <w:tcPr>
            <w:tcW w:w="1470" w:type="dxa"/>
            <w:shd w:val="clear" w:color="auto" w:fill="auto"/>
          </w:tcPr>
          <w:p>
            <w:pPr>
              <w:snapToGrid w:val="0"/>
              <w:spacing w:line="288" w:lineRule="auto"/>
              <w:jc w:val="both"/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  <w:t>翻转课堂；</w:t>
            </w:r>
          </w:p>
          <w:p>
            <w:pPr>
              <w:snapToGrid w:val="0"/>
              <w:spacing w:line="288" w:lineRule="auto"/>
              <w:jc w:val="both"/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  <w:t>小组讨论；</w:t>
            </w:r>
          </w:p>
          <w:p>
            <w:pPr>
              <w:snapToGrid w:val="0"/>
              <w:spacing w:line="288" w:lineRule="auto"/>
              <w:jc w:val="both"/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  <w:t>自主阅读；</w:t>
            </w:r>
          </w:p>
          <w:p>
            <w:pPr>
              <w:snapToGrid w:val="0"/>
              <w:spacing w:line="288" w:lineRule="auto"/>
              <w:jc w:val="both"/>
              <w:rPr>
                <w:rFonts w:hint="eastAsia" w:ascii="仿宋" w:hAnsi="仿宋" w:eastAsia="仿宋" w:cs="宋体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2440" w:type="dxa"/>
            <w:shd w:val="clear" w:color="auto" w:fill="auto"/>
          </w:tcPr>
          <w:p>
            <w:pPr>
              <w:snapToGrid w:val="0"/>
              <w:spacing w:line="288" w:lineRule="auto"/>
              <w:jc w:val="both"/>
              <w:rPr>
                <w:rFonts w:hint="eastAsia" w:ascii="黑体" w:hAnsi="宋体" w:eastAsia="黑体"/>
                <w:sz w:val="24"/>
                <w:lang w:val="en-US" w:eastAsia="zh-CN"/>
              </w:rPr>
            </w:pPr>
            <w:r>
              <w:rPr>
                <w:rFonts w:hint="eastAsia" w:ascii="黑体" w:hAnsi="宋体" w:eastAsia="黑体"/>
                <w:sz w:val="24"/>
                <w:lang w:val="en-US" w:eastAsia="zh-CN"/>
              </w:rPr>
              <w:t>课后作业；</w:t>
            </w:r>
          </w:p>
          <w:p>
            <w:pPr>
              <w:snapToGrid w:val="0"/>
              <w:spacing w:line="288" w:lineRule="auto"/>
              <w:jc w:val="both"/>
              <w:rPr>
                <w:rFonts w:hint="eastAsia" w:ascii="黑体" w:hAnsi="宋体" w:eastAsia="黑体"/>
                <w:sz w:val="24"/>
                <w:lang w:val="en-US" w:eastAsia="zh-CN"/>
              </w:rPr>
            </w:pPr>
            <w:r>
              <w:rPr>
                <w:rFonts w:hint="eastAsia" w:ascii="黑体" w:hAnsi="宋体" w:eastAsia="黑体"/>
                <w:sz w:val="24"/>
                <w:lang w:val="en-US" w:eastAsia="zh-CN"/>
              </w:rPr>
              <w:t>读书报告；</w:t>
            </w:r>
          </w:p>
          <w:p>
            <w:pPr>
              <w:snapToGrid w:val="0"/>
              <w:spacing w:line="288" w:lineRule="auto"/>
              <w:jc w:val="both"/>
              <w:rPr>
                <w:rFonts w:hint="eastAsia" w:ascii="黑体" w:hAnsi="宋体" w:eastAsia="黑体"/>
                <w:sz w:val="24"/>
                <w:lang w:val="en-US" w:eastAsia="zh-CN"/>
              </w:rPr>
            </w:pPr>
            <w:r>
              <w:rPr>
                <w:rFonts w:hint="eastAsia" w:ascii="黑体" w:hAnsi="宋体" w:eastAsia="黑体"/>
                <w:sz w:val="24"/>
                <w:lang w:val="en-US" w:eastAsia="zh-CN"/>
              </w:rPr>
              <w:t>作品展示</w:t>
            </w:r>
          </w:p>
        </w:tc>
      </w:tr>
    </w:tbl>
    <w:p>
      <w:pPr>
        <w:widowControl/>
        <w:spacing w:beforeLines="50" w:afterLines="50" w:line="288" w:lineRule="auto"/>
        <w:ind w:firstLine="240" w:firstLineChars="100"/>
        <w:jc w:val="left"/>
        <w:rPr>
          <w:rFonts w:ascii="宋体" w:hAnsi="宋体"/>
          <w:sz w:val="20"/>
          <w:szCs w:val="20"/>
        </w:rPr>
      </w:pPr>
      <w:r>
        <w:rPr>
          <w:rFonts w:hint="eastAsia" w:ascii="黑体" w:hAnsi="宋体" w:eastAsia="黑体"/>
          <w:sz w:val="24"/>
          <w:highlight w:val="none"/>
        </w:rPr>
        <w:t>六、</w:t>
      </w:r>
      <w:r>
        <w:rPr>
          <w:rFonts w:ascii="黑体" w:hAnsi="宋体" w:eastAsia="黑体"/>
          <w:sz w:val="24"/>
          <w:highlight w:val="none"/>
        </w:rPr>
        <w:t>课程内容</w:t>
      </w:r>
    </w:p>
    <w:tbl>
      <w:tblPr>
        <w:tblStyle w:val="5"/>
        <w:tblpPr w:leftFromText="180" w:rightFromText="180" w:vertAnchor="text" w:horzAnchor="page" w:tblpX="2172" w:tblpY="167"/>
        <w:tblOverlap w:val="never"/>
        <w:tblW w:w="87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0"/>
        <w:gridCol w:w="990"/>
        <w:gridCol w:w="1610"/>
        <w:gridCol w:w="2100"/>
        <w:gridCol w:w="1530"/>
        <w:gridCol w:w="20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0" w:type="dxa"/>
            <w:vAlign w:val="top"/>
          </w:tcPr>
          <w:p>
            <w:pPr>
              <w:snapToGrid w:val="0"/>
              <w:spacing w:line="288" w:lineRule="auto"/>
              <w:jc w:val="left"/>
              <w:rPr>
                <w:rFonts w:hint="default" w:eastAsia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序号</w:t>
            </w:r>
          </w:p>
        </w:tc>
        <w:tc>
          <w:tcPr>
            <w:tcW w:w="990" w:type="dxa"/>
            <w:vAlign w:val="top"/>
          </w:tcPr>
          <w:p>
            <w:pPr>
              <w:snapToGrid w:val="0"/>
              <w:spacing w:line="288" w:lineRule="auto"/>
              <w:jc w:val="left"/>
              <w:rPr>
                <w:rFonts w:hint="eastAsia" w:ascii="Calibri" w:hAnsi="Calibri" w:eastAsia="宋体" w:cs="Times New Roman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sz w:val="20"/>
                <w:szCs w:val="20"/>
                <w:lang w:val="en-US" w:eastAsia="zh-CN"/>
              </w:rPr>
              <w:t>单元</w:t>
            </w:r>
          </w:p>
        </w:tc>
        <w:tc>
          <w:tcPr>
            <w:tcW w:w="1610" w:type="dxa"/>
            <w:vAlign w:val="top"/>
          </w:tcPr>
          <w:p>
            <w:pPr>
              <w:snapToGrid w:val="0"/>
              <w:spacing w:line="288" w:lineRule="auto"/>
              <w:ind w:firstLine="402" w:firstLineChars="200"/>
              <w:jc w:val="left"/>
              <w:rPr>
                <w:rFonts w:hint="default"/>
                <w:sz w:val="20"/>
                <w:szCs w:val="20"/>
                <w:vertAlign w:val="baseline"/>
                <w:lang w:val="en-US"/>
              </w:rPr>
            </w:pPr>
            <w:r>
              <w:rPr>
                <w:rFonts w:hint="eastAsia" w:ascii="宋体" w:hAnsi="宋体"/>
                <w:b/>
                <w:bCs/>
                <w:sz w:val="20"/>
                <w:szCs w:val="20"/>
                <w:lang w:val="en-US" w:eastAsia="zh-CN"/>
              </w:rPr>
              <w:t>知识目标</w:t>
            </w:r>
          </w:p>
        </w:tc>
        <w:tc>
          <w:tcPr>
            <w:tcW w:w="2100" w:type="dxa"/>
            <w:vAlign w:val="top"/>
          </w:tcPr>
          <w:p>
            <w:pPr>
              <w:snapToGrid w:val="0"/>
              <w:spacing w:line="288" w:lineRule="auto"/>
              <w:ind w:firstLine="402" w:firstLineChars="200"/>
              <w:jc w:val="left"/>
              <w:rPr>
                <w:rFonts w:hint="default"/>
                <w:sz w:val="20"/>
                <w:szCs w:val="20"/>
                <w:vertAlign w:val="baseline"/>
                <w:lang w:val="en-US"/>
              </w:rPr>
            </w:pPr>
            <w:r>
              <w:rPr>
                <w:rFonts w:hint="eastAsia" w:ascii="宋体" w:hAnsi="宋体"/>
                <w:b/>
                <w:bCs/>
                <w:sz w:val="20"/>
                <w:szCs w:val="20"/>
                <w:lang w:val="en-US" w:eastAsia="zh-CN"/>
              </w:rPr>
              <w:t>能力目标</w:t>
            </w:r>
          </w:p>
        </w:tc>
        <w:tc>
          <w:tcPr>
            <w:tcW w:w="1530" w:type="dxa"/>
            <w:vAlign w:val="top"/>
          </w:tcPr>
          <w:p>
            <w:pPr>
              <w:snapToGrid w:val="0"/>
              <w:spacing w:line="288" w:lineRule="auto"/>
              <w:ind w:firstLine="402" w:firstLineChars="200"/>
              <w:jc w:val="left"/>
              <w:rPr>
                <w:rFonts w:hint="default" w:ascii="宋体" w:hAnsi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0"/>
                <w:szCs w:val="20"/>
                <w:lang w:val="en-US" w:eastAsia="zh-CN"/>
              </w:rPr>
              <w:t>情感目标</w:t>
            </w:r>
          </w:p>
        </w:tc>
        <w:tc>
          <w:tcPr>
            <w:tcW w:w="2010" w:type="dxa"/>
            <w:vAlign w:val="top"/>
          </w:tcPr>
          <w:p>
            <w:pPr>
              <w:snapToGrid w:val="0"/>
              <w:spacing w:line="288" w:lineRule="auto"/>
              <w:ind w:firstLine="402" w:firstLineChars="200"/>
              <w:jc w:val="left"/>
              <w:rPr>
                <w:sz w:val="20"/>
                <w:szCs w:val="20"/>
                <w:vertAlign w:val="baseline"/>
              </w:rPr>
            </w:pPr>
            <w:r>
              <w:rPr>
                <w:rFonts w:hint="eastAsia" w:ascii="宋体" w:hAnsi="宋体"/>
                <w:b/>
                <w:bCs/>
                <w:sz w:val="20"/>
                <w:szCs w:val="20"/>
                <w:lang w:val="en-US" w:eastAsia="zh-CN"/>
              </w:rPr>
              <w:t>教学难点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20" w:type="dxa"/>
          </w:tcPr>
          <w:p>
            <w:pPr>
              <w:snapToGrid w:val="0"/>
              <w:spacing w:line="288" w:lineRule="auto"/>
              <w:ind w:right="26"/>
              <w:jc w:val="both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1</w:t>
            </w:r>
          </w:p>
        </w:tc>
        <w:tc>
          <w:tcPr>
            <w:tcW w:w="990" w:type="dxa"/>
            <w:vAlign w:val="top"/>
          </w:tcPr>
          <w:p>
            <w:pPr>
              <w:snapToGrid w:val="0"/>
              <w:spacing w:line="288" w:lineRule="auto"/>
              <w:ind w:right="26"/>
              <w:jc w:val="both"/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导论</w:t>
            </w:r>
          </w:p>
          <w:p>
            <w:pPr>
              <w:snapToGrid w:val="0"/>
              <w:spacing w:line="288" w:lineRule="auto"/>
              <w:ind w:right="26" w:rightChars="0"/>
              <w:jc w:val="both"/>
              <w:rPr>
                <w:rFonts w:hint="eastAsia" w:ascii="Calibri" w:hAnsi="Calibri" w:eastAsia="宋体" w:cs="Times New Roman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（理论1课时+实践1课时）</w:t>
            </w:r>
          </w:p>
        </w:tc>
        <w:tc>
          <w:tcPr>
            <w:tcW w:w="1610" w:type="dxa"/>
          </w:tcPr>
          <w:p>
            <w:pPr>
              <w:numPr>
                <w:ilvl w:val="0"/>
                <w:numId w:val="5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理解儿童文学的概念</w:t>
            </w:r>
          </w:p>
          <w:p>
            <w:pPr>
              <w:numPr>
                <w:ilvl w:val="0"/>
                <w:numId w:val="5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知道儿童文学的文体分类</w:t>
            </w:r>
          </w:p>
          <w:p>
            <w:pPr>
              <w:numPr>
                <w:ilvl w:val="0"/>
                <w:numId w:val="5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分析儿童文学阅读中的互动</w:t>
            </w:r>
          </w:p>
        </w:tc>
        <w:tc>
          <w:tcPr>
            <w:tcW w:w="2100" w:type="dxa"/>
          </w:tcPr>
          <w:p>
            <w:pPr>
              <w:numPr>
                <w:ilvl w:val="0"/>
                <w:numId w:val="6"/>
              </w:numPr>
              <w:snapToGrid w:val="0"/>
              <w:spacing w:line="288" w:lineRule="auto"/>
              <w:ind w:left="0" w:leftChars="0" w:right="26" w:firstLine="0" w:firstLine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能够说明对儿童文学概念中的“儿童”和“文学”的理解</w:t>
            </w:r>
          </w:p>
          <w:p>
            <w:pPr>
              <w:numPr>
                <w:ilvl w:val="0"/>
                <w:numId w:val="6"/>
              </w:numPr>
              <w:snapToGrid w:val="0"/>
              <w:spacing w:line="288" w:lineRule="auto"/>
              <w:ind w:left="0" w:leftChars="0" w:right="26" w:firstLine="0" w:firstLine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能够结合自己的经验和观察，为3个不同年龄段的儿童制作一份包含不低于15部儿童文学作品的分级书单，并说明理由</w:t>
            </w:r>
          </w:p>
        </w:tc>
        <w:tc>
          <w:tcPr>
            <w:tcW w:w="1530" w:type="dxa"/>
          </w:tcPr>
          <w:p>
            <w:pPr>
              <w:numPr>
                <w:ilvl w:val="0"/>
                <w:numId w:val="7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激发对儿童文学产生学习兴趣</w:t>
            </w:r>
          </w:p>
          <w:p>
            <w:pPr>
              <w:numPr>
                <w:ilvl w:val="0"/>
                <w:numId w:val="7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增强专业认同感</w:t>
            </w:r>
          </w:p>
        </w:tc>
        <w:tc>
          <w:tcPr>
            <w:tcW w:w="2010" w:type="dxa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1.理解儿童文学与儿童年龄特征的关系</w:t>
            </w:r>
          </w:p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2.理解并分析儿童文学的美学特质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0" w:type="dxa"/>
          </w:tcPr>
          <w:p>
            <w:pPr>
              <w:snapToGrid w:val="0"/>
              <w:spacing w:line="288" w:lineRule="auto"/>
              <w:ind w:right="26"/>
              <w:jc w:val="both"/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2</w:t>
            </w:r>
          </w:p>
        </w:tc>
        <w:tc>
          <w:tcPr>
            <w:tcW w:w="990" w:type="dxa"/>
            <w:vAlign w:val="top"/>
          </w:tcPr>
          <w:p>
            <w:pPr>
              <w:snapToGrid w:val="0"/>
              <w:spacing w:line="288" w:lineRule="auto"/>
              <w:ind w:right="26"/>
              <w:jc w:val="both"/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儿歌</w:t>
            </w:r>
          </w:p>
          <w:p>
            <w:pPr>
              <w:snapToGrid w:val="0"/>
              <w:spacing w:line="288" w:lineRule="auto"/>
              <w:ind w:right="26" w:rightChars="0"/>
              <w:jc w:val="both"/>
              <w:rPr>
                <w:rFonts w:hint="eastAsia" w:ascii="宋体" w:hAnsi="宋体" w:eastAsia="宋体" w:cs="Times New Roman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（理论2课时+实践1课时）</w:t>
            </w:r>
          </w:p>
        </w:tc>
        <w:tc>
          <w:tcPr>
            <w:tcW w:w="1610" w:type="dxa"/>
            <w:vAlign w:val="top"/>
          </w:tcPr>
          <w:p>
            <w:pPr>
              <w:numPr>
                <w:ilvl w:val="0"/>
                <w:numId w:val="8"/>
              </w:numPr>
              <w:snapToGrid w:val="0"/>
              <w:spacing w:line="288" w:lineRule="auto"/>
              <w:ind w:right="26" w:rightChars="0"/>
              <w:rPr>
                <w:rFonts w:hint="eastAsia" w:eastAsia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知道儿歌的含义和功能</w:t>
            </w:r>
          </w:p>
          <w:p>
            <w:pPr>
              <w:numPr>
                <w:ilvl w:val="0"/>
                <w:numId w:val="8"/>
              </w:numPr>
              <w:snapToGrid w:val="0"/>
              <w:spacing w:line="288" w:lineRule="auto"/>
              <w:ind w:right="26" w:rightChars="0"/>
              <w:rPr>
                <w:rFonts w:hint="eastAsia" w:eastAsia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了解儿歌的历史演变</w:t>
            </w:r>
          </w:p>
          <w:p>
            <w:pPr>
              <w:numPr>
                <w:ilvl w:val="0"/>
                <w:numId w:val="8"/>
              </w:numPr>
              <w:snapToGrid w:val="0"/>
              <w:spacing w:line="288" w:lineRule="auto"/>
              <w:ind w:right="26" w:rightChars="0"/>
              <w:rPr>
                <w:rFonts w:hint="eastAsia" w:eastAsia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理解儿歌的特点</w:t>
            </w:r>
          </w:p>
          <w:p>
            <w:pPr>
              <w:numPr>
                <w:ilvl w:val="0"/>
                <w:numId w:val="8"/>
              </w:numPr>
              <w:snapToGrid w:val="0"/>
              <w:spacing w:line="288" w:lineRule="auto"/>
              <w:ind w:right="26" w:rightChars="0"/>
              <w:rPr>
                <w:rFonts w:hint="eastAsia" w:eastAsia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理解并分析儿歌的艺术表现形式</w:t>
            </w:r>
          </w:p>
        </w:tc>
        <w:tc>
          <w:tcPr>
            <w:tcW w:w="2100" w:type="dxa"/>
          </w:tcPr>
          <w:p>
            <w:pPr>
              <w:numPr>
                <w:ilvl w:val="0"/>
                <w:numId w:val="9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阅读《砍蚊子》这首字头歌，能够从情节、韵律、物象等方面入手进行分析</w:t>
            </w:r>
          </w:p>
          <w:p>
            <w:pPr>
              <w:numPr>
                <w:ilvl w:val="0"/>
                <w:numId w:val="9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能根据对《砍蚊子》的分析，完成一份赏析</w:t>
            </w:r>
          </w:p>
        </w:tc>
        <w:tc>
          <w:tcPr>
            <w:tcW w:w="1530" w:type="dxa"/>
          </w:tcPr>
          <w:p>
            <w:pPr>
              <w:numPr>
                <w:ilvl w:val="0"/>
                <w:numId w:val="10"/>
              </w:numPr>
              <w:tabs>
                <w:tab w:val="clear" w:pos="312"/>
              </w:tabs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积极投入到儿童的学习中，并通过自我理解的方式表现出来</w:t>
            </w:r>
          </w:p>
          <w:p>
            <w:pPr>
              <w:numPr>
                <w:ilvl w:val="0"/>
                <w:numId w:val="10"/>
              </w:numPr>
              <w:tabs>
                <w:tab w:val="clear" w:pos="312"/>
              </w:tabs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树立专业自信</w:t>
            </w:r>
          </w:p>
        </w:tc>
        <w:tc>
          <w:tcPr>
            <w:tcW w:w="2010" w:type="dxa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1.理解儿歌的概念和特征</w:t>
            </w:r>
          </w:p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2.了解儿歌的几种特殊形式</w:t>
            </w:r>
          </w:p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3.理解儿歌欣赏中既需要关注内容，也需要关注形式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0" w:type="dxa"/>
          </w:tcPr>
          <w:p>
            <w:pPr>
              <w:snapToGrid w:val="0"/>
              <w:spacing w:line="288" w:lineRule="auto"/>
              <w:ind w:right="26"/>
              <w:jc w:val="both"/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3</w:t>
            </w:r>
          </w:p>
        </w:tc>
        <w:tc>
          <w:tcPr>
            <w:tcW w:w="990" w:type="dxa"/>
            <w:vAlign w:val="top"/>
          </w:tcPr>
          <w:p>
            <w:pPr>
              <w:snapToGrid w:val="0"/>
              <w:spacing w:line="288" w:lineRule="auto"/>
              <w:ind w:right="26"/>
              <w:jc w:val="both"/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儿童诗</w:t>
            </w:r>
          </w:p>
          <w:p>
            <w:pPr>
              <w:snapToGrid w:val="0"/>
              <w:spacing w:line="288" w:lineRule="auto"/>
              <w:ind w:right="26" w:rightChars="0"/>
              <w:jc w:val="both"/>
              <w:rPr>
                <w:rFonts w:hint="eastAsia" w:ascii="宋体" w:hAnsi="宋体" w:eastAsia="宋体" w:cs="Times New Roman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（理论2课时+实践1课时）</w:t>
            </w:r>
          </w:p>
        </w:tc>
        <w:tc>
          <w:tcPr>
            <w:tcW w:w="1610" w:type="dxa"/>
            <w:vAlign w:val="top"/>
          </w:tcPr>
          <w:p>
            <w:pPr>
              <w:numPr>
                <w:ilvl w:val="0"/>
                <w:numId w:val="11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知道儿童诗的含义</w:t>
            </w:r>
          </w:p>
          <w:p>
            <w:pPr>
              <w:numPr>
                <w:ilvl w:val="0"/>
                <w:numId w:val="11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理解儿童诗与儿歌的区别与联系</w:t>
            </w:r>
          </w:p>
          <w:p>
            <w:pPr>
              <w:numPr>
                <w:ilvl w:val="0"/>
                <w:numId w:val="11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理解并分析儿童诗的艺术特点</w:t>
            </w:r>
          </w:p>
          <w:p>
            <w:pPr>
              <w:numPr>
                <w:ilvl w:val="0"/>
                <w:numId w:val="11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了解儿童诗的名家名著</w:t>
            </w:r>
          </w:p>
        </w:tc>
        <w:tc>
          <w:tcPr>
            <w:tcW w:w="2100" w:type="dxa"/>
          </w:tcPr>
          <w:p>
            <w:pPr>
              <w:widowControl w:val="0"/>
              <w:numPr>
                <w:ilvl w:val="0"/>
                <w:numId w:val="12"/>
              </w:numPr>
              <w:snapToGrid w:val="0"/>
              <w:spacing w:line="288" w:lineRule="auto"/>
              <w:ind w:left="0" w:leftChars="0" w:right="26" w:rightChars="0" w:firstLine="0" w:firstLineChars="0"/>
              <w:jc w:val="both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阅读《能开出花朵来吗》，能够通过意象把握诗歌的情感意境</w:t>
            </w:r>
          </w:p>
          <w:p>
            <w:pPr>
              <w:widowControl w:val="0"/>
              <w:numPr>
                <w:ilvl w:val="0"/>
                <w:numId w:val="12"/>
              </w:numPr>
              <w:snapToGrid w:val="0"/>
              <w:spacing w:line="288" w:lineRule="auto"/>
              <w:ind w:left="0" w:leftChars="0" w:right="26" w:rightChars="0" w:firstLine="0" w:firstLineChars="0"/>
              <w:jc w:val="both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能根据《能开出花朵吗》完成一份赏析</w:t>
            </w:r>
          </w:p>
        </w:tc>
        <w:tc>
          <w:tcPr>
            <w:tcW w:w="1530" w:type="dxa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1.积极投入到儿童诗的学习中，并通过自我理解的方式表现出来</w:t>
            </w:r>
          </w:p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2.树立专业自信</w:t>
            </w:r>
          </w:p>
        </w:tc>
        <w:tc>
          <w:tcPr>
            <w:tcW w:w="2010" w:type="dxa"/>
          </w:tcPr>
          <w:p>
            <w:pPr>
              <w:numPr>
                <w:ilvl w:val="0"/>
                <w:numId w:val="13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理解儿童诗的概念</w:t>
            </w:r>
          </w:p>
          <w:p>
            <w:pPr>
              <w:numPr>
                <w:ilvl w:val="0"/>
                <w:numId w:val="13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理解并分析儿童诗与儿歌的区别</w:t>
            </w:r>
          </w:p>
          <w:p>
            <w:pPr>
              <w:numPr>
                <w:ilvl w:val="0"/>
                <w:numId w:val="13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理解并分析儿童诗的欣赏方式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0" w:type="dxa"/>
          </w:tcPr>
          <w:p>
            <w:pPr>
              <w:snapToGrid w:val="0"/>
              <w:spacing w:line="288" w:lineRule="auto"/>
              <w:ind w:right="26"/>
              <w:jc w:val="both"/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4</w:t>
            </w:r>
          </w:p>
        </w:tc>
        <w:tc>
          <w:tcPr>
            <w:tcW w:w="990" w:type="dxa"/>
            <w:vAlign w:val="top"/>
          </w:tcPr>
          <w:p>
            <w:pPr>
              <w:snapToGrid w:val="0"/>
              <w:spacing w:line="288" w:lineRule="auto"/>
              <w:ind w:right="26"/>
              <w:jc w:val="both"/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童话</w:t>
            </w:r>
          </w:p>
          <w:p>
            <w:pPr>
              <w:snapToGrid w:val="0"/>
              <w:spacing w:line="288" w:lineRule="auto"/>
              <w:ind w:right="26" w:rightChars="0"/>
              <w:jc w:val="both"/>
              <w:rPr>
                <w:rFonts w:hint="eastAsia" w:ascii="宋体" w:hAnsi="宋体" w:eastAsia="宋体" w:cs="Times New Roman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（理论2课时+实践1课时）</w:t>
            </w:r>
          </w:p>
        </w:tc>
        <w:tc>
          <w:tcPr>
            <w:tcW w:w="1610" w:type="dxa"/>
          </w:tcPr>
          <w:p>
            <w:pPr>
              <w:numPr>
                <w:ilvl w:val="0"/>
                <w:numId w:val="14"/>
              </w:numPr>
              <w:tabs>
                <w:tab w:val="clear" w:pos="312"/>
              </w:tabs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了解童话的起源和发展</w:t>
            </w:r>
          </w:p>
          <w:p>
            <w:pPr>
              <w:numPr>
                <w:ilvl w:val="0"/>
                <w:numId w:val="14"/>
              </w:numPr>
              <w:tabs>
                <w:tab w:val="clear" w:pos="312"/>
              </w:tabs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知道童话的分类</w:t>
            </w:r>
          </w:p>
          <w:p>
            <w:pPr>
              <w:numPr>
                <w:ilvl w:val="0"/>
                <w:numId w:val="14"/>
              </w:numPr>
              <w:tabs>
                <w:tab w:val="clear" w:pos="312"/>
              </w:tabs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理解童话的特征及其艺术变现手法</w:t>
            </w:r>
          </w:p>
          <w:p>
            <w:pPr>
              <w:numPr>
                <w:ilvl w:val="0"/>
                <w:numId w:val="14"/>
              </w:numPr>
              <w:tabs>
                <w:tab w:val="clear" w:pos="312"/>
              </w:tabs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了解童话的名家名著</w:t>
            </w:r>
          </w:p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</w:p>
        </w:tc>
        <w:tc>
          <w:tcPr>
            <w:tcW w:w="2100" w:type="dxa"/>
          </w:tcPr>
          <w:p>
            <w:pPr>
              <w:numPr>
                <w:ilvl w:val="0"/>
                <w:numId w:val="15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阅读《面包狼打喷嚏》，能够表述对于童话幻想的逻辑和趣味性的理解</w:t>
            </w:r>
          </w:p>
          <w:p>
            <w:pPr>
              <w:numPr>
                <w:ilvl w:val="0"/>
                <w:numId w:val="15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能够根据《面包狼打喷嚏》，完成一份赏析</w:t>
            </w:r>
          </w:p>
        </w:tc>
        <w:tc>
          <w:tcPr>
            <w:tcW w:w="1530" w:type="dxa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1.积极投入到童话的学习中，并通过自我理解的方式表现出来</w:t>
            </w:r>
          </w:p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2.增强专业认同感</w:t>
            </w:r>
          </w:p>
        </w:tc>
        <w:tc>
          <w:tcPr>
            <w:tcW w:w="2010" w:type="dxa"/>
          </w:tcPr>
          <w:p>
            <w:pPr>
              <w:numPr>
                <w:ilvl w:val="0"/>
                <w:numId w:val="16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理解童话的概念和特点</w:t>
            </w:r>
          </w:p>
          <w:p>
            <w:pPr>
              <w:numPr>
                <w:ilvl w:val="0"/>
                <w:numId w:val="16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了解童话的发展阶段</w:t>
            </w:r>
          </w:p>
          <w:p>
            <w:pPr>
              <w:numPr>
                <w:ilvl w:val="0"/>
                <w:numId w:val="16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理解并分析童话的赏析方式，对童话进行赏析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0" w:type="dxa"/>
          </w:tcPr>
          <w:p>
            <w:pPr>
              <w:snapToGrid w:val="0"/>
              <w:spacing w:line="288" w:lineRule="auto"/>
              <w:ind w:right="26"/>
              <w:jc w:val="both"/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5</w:t>
            </w:r>
          </w:p>
        </w:tc>
        <w:tc>
          <w:tcPr>
            <w:tcW w:w="990" w:type="dxa"/>
            <w:vAlign w:val="top"/>
          </w:tcPr>
          <w:p>
            <w:pPr>
              <w:snapToGrid w:val="0"/>
              <w:spacing w:line="288" w:lineRule="auto"/>
              <w:ind w:right="26"/>
              <w:jc w:val="both"/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寓言</w:t>
            </w:r>
          </w:p>
          <w:p>
            <w:pPr>
              <w:snapToGrid w:val="0"/>
              <w:spacing w:line="288" w:lineRule="auto"/>
              <w:ind w:right="26" w:rightChars="0"/>
              <w:jc w:val="both"/>
              <w:rPr>
                <w:rFonts w:hint="eastAsia" w:ascii="宋体" w:hAnsi="宋体" w:eastAsia="宋体" w:cs="Times New Roman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（理论2课时+实践1课时）</w:t>
            </w:r>
          </w:p>
        </w:tc>
        <w:tc>
          <w:tcPr>
            <w:tcW w:w="1610" w:type="dxa"/>
          </w:tcPr>
          <w:p>
            <w:pPr>
              <w:numPr>
                <w:ilvl w:val="0"/>
                <w:numId w:val="17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知道寓言的含义和历史形成</w:t>
            </w:r>
          </w:p>
          <w:p>
            <w:pPr>
              <w:numPr>
                <w:ilvl w:val="0"/>
                <w:numId w:val="17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了解寓言的特征</w:t>
            </w:r>
          </w:p>
          <w:p>
            <w:pPr>
              <w:numPr>
                <w:ilvl w:val="0"/>
                <w:numId w:val="17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理解寓言和童话的联系和区别</w:t>
            </w:r>
          </w:p>
          <w:p>
            <w:pPr>
              <w:numPr>
                <w:ilvl w:val="0"/>
                <w:numId w:val="17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了解寓言的名家名著</w:t>
            </w:r>
          </w:p>
        </w:tc>
        <w:tc>
          <w:tcPr>
            <w:tcW w:w="2100" w:type="dxa"/>
          </w:tcPr>
          <w:p>
            <w:pPr>
              <w:numPr>
                <w:ilvl w:val="0"/>
                <w:numId w:val="18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能够分析概括《寓言两则》中两则作品中的寓意</w:t>
            </w:r>
          </w:p>
          <w:p>
            <w:pPr>
              <w:numPr>
                <w:ilvl w:val="0"/>
                <w:numId w:val="18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能够思考寓言中的事物与生活现象是如何构成对应关系的</w:t>
            </w:r>
          </w:p>
        </w:tc>
        <w:tc>
          <w:tcPr>
            <w:tcW w:w="1530" w:type="dxa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1.积极投入到寓言的学习中，并通过自我理解的方式表现出来</w:t>
            </w:r>
          </w:p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2.增强文化自信</w:t>
            </w:r>
          </w:p>
        </w:tc>
        <w:tc>
          <w:tcPr>
            <w:tcW w:w="2010" w:type="dxa"/>
          </w:tcPr>
          <w:p>
            <w:pPr>
              <w:numPr>
                <w:ilvl w:val="0"/>
                <w:numId w:val="19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理解并分析寓言与童话的区别和联系</w:t>
            </w:r>
          </w:p>
          <w:p>
            <w:pPr>
              <w:numPr>
                <w:ilvl w:val="0"/>
                <w:numId w:val="19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理解寓言的赏析方式</w:t>
            </w:r>
          </w:p>
          <w:p>
            <w:pPr>
              <w:numPr>
                <w:ilvl w:val="0"/>
                <w:numId w:val="19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分析如何提炼、概括寓意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0" w:type="dxa"/>
          </w:tcPr>
          <w:p>
            <w:pPr>
              <w:snapToGrid w:val="0"/>
              <w:spacing w:line="288" w:lineRule="auto"/>
              <w:ind w:right="26"/>
              <w:jc w:val="both"/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6</w:t>
            </w:r>
          </w:p>
        </w:tc>
        <w:tc>
          <w:tcPr>
            <w:tcW w:w="990" w:type="dxa"/>
            <w:vAlign w:val="top"/>
          </w:tcPr>
          <w:p>
            <w:pPr>
              <w:snapToGrid w:val="0"/>
              <w:spacing w:line="288" w:lineRule="auto"/>
              <w:ind w:right="26"/>
              <w:jc w:val="both"/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儿童故事</w:t>
            </w:r>
          </w:p>
          <w:p>
            <w:pPr>
              <w:snapToGrid w:val="0"/>
              <w:spacing w:line="288" w:lineRule="auto"/>
              <w:ind w:right="26" w:rightChars="0"/>
              <w:jc w:val="both"/>
              <w:rPr>
                <w:rFonts w:hint="eastAsia" w:ascii="宋体" w:hAnsi="宋体" w:eastAsia="宋体" w:cs="Times New Roman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（理论2课时+实践2课时）</w:t>
            </w:r>
          </w:p>
        </w:tc>
        <w:tc>
          <w:tcPr>
            <w:tcW w:w="1610" w:type="dxa"/>
          </w:tcPr>
          <w:p>
            <w:pPr>
              <w:numPr>
                <w:ilvl w:val="0"/>
                <w:numId w:val="20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知道儿童故事的基本含义</w:t>
            </w:r>
          </w:p>
          <w:p>
            <w:pPr>
              <w:numPr>
                <w:ilvl w:val="0"/>
                <w:numId w:val="20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理解儿童故事的特征和种类</w:t>
            </w:r>
          </w:p>
          <w:p>
            <w:pPr>
              <w:numPr>
                <w:ilvl w:val="0"/>
                <w:numId w:val="20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了解儿童故事的名家名著</w:t>
            </w:r>
          </w:p>
        </w:tc>
        <w:tc>
          <w:tcPr>
            <w:tcW w:w="2100" w:type="dxa"/>
          </w:tcPr>
          <w:p>
            <w:pPr>
              <w:numPr>
                <w:ilvl w:val="0"/>
                <w:numId w:val="21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阅读《一个有魔力的字》，能够欣赏故事中的人物形象以及童趣的呈现方式</w:t>
            </w:r>
          </w:p>
          <w:p>
            <w:pPr>
              <w:numPr>
                <w:ilvl w:val="0"/>
                <w:numId w:val="21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能够根据对《一个有魔力的字》的分析，完成一份赏析</w:t>
            </w:r>
          </w:p>
        </w:tc>
        <w:tc>
          <w:tcPr>
            <w:tcW w:w="1530" w:type="dxa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1.积极投入到儿童故事的学习中，并通过自我理解的方式表现出来</w:t>
            </w:r>
          </w:p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2.增强文化自信</w:t>
            </w:r>
          </w:p>
        </w:tc>
        <w:tc>
          <w:tcPr>
            <w:tcW w:w="2010" w:type="dxa"/>
          </w:tcPr>
          <w:p>
            <w:pPr>
              <w:numPr>
                <w:ilvl w:val="0"/>
                <w:numId w:val="22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理解儿童文学的概念与分类</w:t>
            </w:r>
          </w:p>
          <w:p>
            <w:pPr>
              <w:numPr>
                <w:ilvl w:val="0"/>
                <w:numId w:val="22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理解并分析儿童故事的特点</w:t>
            </w:r>
          </w:p>
          <w:p>
            <w:pPr>
              <w:numPr>
                <w:ilvl w:val="0"/>
                <w:numId w:val="22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理解欣赏儿童故事，需要把握情节、人物，同时谨慎处理教育意义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0" w:type="dxa"/>
          </w:tcPr>
          <w:p>
            <w:pPr>
              <w:snapToGrid w:val="0"/>
              <w:spacing w:line="288" w:lineRule="auto"/>
              <w:ind w:right="26"/>
              <w:jc w:val="both"/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7</w:t>
            </w:r>
          </w:p>
        </w:tc>
        <w:tc>
          <w:tcPr>
            <w:tcW w:w="990" w:type="dxa"/>
            <w:vAlign w:val="top"/>
          </w:tcPr>
          <w:p>
            <w:pPr>
              <w:snapToGrid w:val="0"/>
              <w:spacing w:line="288" w:lineRule="auto"/>
              <w:ind w:right="26"/>
              <w:jc w:val="both"/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儿童小说</w:t>
            </w:r>
          </w:p>
          <w:p>
            <w:pPr>
              <w:snapToGrid w:val="0"/>
              <w:spacing w:line="288" w:lineRule="auto"/>
              <w:ind w:right="26" w:rightChars="0"/>
              <w:jc w:val="both"/>
              <w:rPr>
                <w:rFonts w:hint="eastAsia" w:ascii="宋体" w:hAnsi="宋体" w:eastAsia="宋体" w:cs="Times New Roman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（理论2课时+实践2课时）</w:t>
            </w:r>
          </w:p>
        </w:tc>
        <w:tc>
          <w:tcPr>
            <w:tcW w:w="1610" w:type="dxa"/>
          </w:tcPr>
          <w:p>
            <w:pPr>
              <w:numPr>
                <w:ilvl w:val="0"/>
                <w:numId w:val="23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知道儿童小说的含义和特征</w:t>
            </w:r>
          </w:p>
          <w:p>
            <w:pPr>
              <w:numPr>
                <w:ilvl w:val="0"/>
                <w:numId w:val="23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理解儿童小说的构成要素</w:t>
            </w:r>
          </w:p>
          <w:p>
            <w:pPr>
              <w:numPr>
                <w:ilvl w:val="0"/>
                <w:numId w:val="23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了解儿童小说的分类</w:t>
            </w:r>
          </w:p>
          <w:p>
            <w:pPr>
              <w:numPr>
                <w:ilvl w:val="0"/>
                <w:numId w:val="23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分析儿童小说的赏析方式</w:t>
            </w:r>
          </w:p>
          <w:p>
            <w:pPr>
              <w:numPr>
                <w:ilvl w:val="0"/>
                <w:numId w:val="23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了解儿童小说的名家名著</w:t>
            </w:r>
          </w:p>
        </w:tc>
        <w:tc>
          <w:tcPr>
            <w:tcW w:w="2100" w:type="dxa"/>
          </w:tcPr>
          <w:p>
            <w:pPr>
              <w:numPr>
                <w:ilvl w:val="0"/>
                <w:numId w:val="24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阅读儿童小说《戴小桥和他的哥们儿》（节选），能够分析其塑造儿童的主要手法及人物性格</w:t>
            </w:r>
          </w:p>
          <w:p>
            <w:pPr>
              <w:numPr>
                <w:ilvl w:val="0"/>
                <w:numId w:val="24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能够针对问题“明朗积极是否意味着儿童小说绝对不能出现负面或丑恶的内容”，表达自己的看法</w:t>
            </w:r>
          </w:p>
        </w:tc>
        <w:tc>
          <w:tcPr>
            <w:tcW w:w="1530" w:type="dxa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1.积极投入到儿童小说的学习中，并通过自我理解的方式表现出来</w:t>
            </w:r>
          </w:p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default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2.增强专业认同感</w:t>
            </w:r>
          </w:p>
        </w:tc>
        <w:tc>
          <w:tcPr>
            <w:tcW w:w="2010" w:type="dxa"/>
          </w:tcPr>
          <w:p>
            <w:pPr>
              <w:numPr>
                <w:ilvl w:val="0"/>
                <w:numId w:val="25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理解儿童小说的赏析方式，针对儿童小说进行阅读指导</w:t>
            </w:r>
          </w:p>
          <w:p>
            <w:pPr>
              <w:numPr>
                <w:ilvl w:val="0"/>
                <w:numId w:val="25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理解儿童小说与儿童故事的区别与联系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0" w:type="dxa"/>
          </w:tcPr>
          <w:p>
            <w:pPr>
              <w:snapToGrid w:val="0"/>
              <w:spacing w:line="288" w:lineRule="auto"/>
              <w:ind w:right="26"/>
              <w:jc w:val="both"/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8</w:t>
            </w:r>
          </w:p>
        </w:tc>
        <w:tc>
          <w:tcPr>
            <w:tcW w:w="990" w:type="dxa"/>
            <w:vAlign w:val="top"/>
          </w:tcPr>
          <w:p>
            <w:pPr>
              <w:snapToGrid w:val="0"/>
              <w:spacing w:line="288" w:lineRule="auto"/>
              <w:ind w:right="26"/>
              <w:jc w:val="both"/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儿童散文</w:t>
            </w:r>
          </w:p>
          <w:p>
            <w:pPr>
              <w:snapToGrid w:val="0"/>
              <w:spacing w:line="288" w:lineRule="auto"/>
              <w:ind w:right="26" w:rightChars="0"/>
              <w:jc w:val="both"/>
              <w:rPr>
                <w:rFonts w:hint="eastAsia" w:ascii="宋体" w:hAnsi="宋体" w:eastAsia="宋体" w:cs="Times New Roman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（理论2课时+实践1课时）</w:t>
            </w:r>
          </w:p>
        </w:tc>
        <w:tc>
          <w:tcPr>
            <w:tcW w:w="1610" w:type="dxa"/>
          </w:tcPr>
          <w:p>
            <w:pPr>
              <w:numPr>
                <w:ilvl w:val="0"/>
                <w:numId w:val="26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知道儿童散文的基本理论、艺术特征及其类型</w:t>
            </w:r>
          </w:p>
          <w:p>
            <w:pPr>
              <w:numPr>
                <w:ilvl w:val="0"/>
                <w:numId w:val="26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了解儿童文学的名家名著</w:t>
            </w:r>
          </w:p>
        </w:tc>
        <w:tc>
          <w:tcPr>
            <w:tcW w:w="2100" w:type="dxa"/>
          </w:tcPr>
          <w:p>
            <w:pPr>
              <w:numPr>
                <w:ilvl w:val="0"/>
                <w:numId w:val="27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阅读儿童散文《我和妈妈的粥》，能够分析其主要的艺术手法，并思考“粥”在作品中的内涵</w:t>
            </w:r>
          </w:p>
          <w:p>
            <w:pPr>
              <w:numPr>
                <w:ilvl w:val="0"/>
                <w:numId w:val="27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能够侧重不同的年龄分层与表达方式，覆盖多种主题的儿童散文进行赏析</w:t>
            </w:r>
          </w:p>
        </w:tc>
        <w:tc>
          <w:tcPr>
            <w:tcW w:w="1530" w:type="dxa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1.积极投入到儿童散文的学习中，并通过自我理解的方式表现出来</w:t>
            </w:r>
          </w:p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2.增强专业认同感</w:t>
            </w:r>
          </w:p>
        </w:tc>
        <w:tc>
          <w:tcPr>
            <w:tcW w:w="2010" w:type="dxa"/>
          </w:tcPr>
          <w:p>
            <w:pPr>
              <w:numPr>
                <w:ilvl w:val="0"/>
                <w:numId w:val="28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理解儿童散文的基本特征与类型</w:t>
            </w:r>
          </w:p>
          <w:p>
            <w:pPr>
              <w:numPr>
                <w:ilvl w:val="0"/>
                <w:numId w:val="28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理解儿童散文的赏析方式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20" w:type="dxa"/>
          </w:tcPr>
          <w:p>
            <w:pPr>
              <w:snapToGrid w:val="0"/>
              <w:spacing w:line="288" w:lineRule="auto"/>
              <w:ind w:right="26"/>
              <w:jc w:val="both"/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9</w:t>
            </w:r>
          </w:p>
        </w:tc>
        <w:tc>
          <w:tcPr>
            <w:tcW w:w="990" w:type="dxa"/>
            <w:vAlign w:val="top"/>
          </w:tcPr>
          <w:p>
            <w:pPr>
              <w:snapToGrid w:val="0"/>
              <w:spacing w:line="288" w:lineRule="auto"/>
              <w:ind w:right="26"/>
              <w:jc w:val="both"/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图画书</w:t>
            </w:r>
          </w:p>
          <w:p>
            <w:pPr>
              <w:snapToGrid w:val="0"/>
              <w:spacing w:line="288" w:lineRule="auto"/>
              <w:ind w:right="26" w:rightChars="0"/>
              <w:jc w:val="both"/>
              <w:rPr>
                <w:rFonts w:hint="eastAsia" w:ascii="宋体" w:hAnsi="宋体" w:eastAsia="宋体" w:cs="Times New Roman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（理论1课时+实践2课时）</w:t>
            </w:r>
          </w:p>
        </w:tc>
        <w:tc>
          <w:tcPr>
            <w:tcW w:w="1610" w:type="dxa"/>
          </w:tcPr>
          <w:p>
            <w:pPr>
              <w:numPr>
                <w:ilvl w:val="0"/>
                <w:numId w:val="29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知道图画书的含义和作用</w:t>
            </w:r>
          </w:p>
          <w:p>
            <w:pPr>
              <w:numPr>
                <w:ilvl w:val="0"/>
                <w:numId w:val="29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了解图画书的历史和发展</w:t>
            </w:r>
          </w:p>
          <w:p>
            <w:pPr>
              <w:numPr>
                <w:ilvl w:val="0"/>
                <w:numId w:val="29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分析图画书的艺术特征</w:t>
            </w:r>
          </w:p>
          <w:p>
            <w:pPr>
              <w:numPr>
                <w:ilvl w:val="0"/>
                <w:numId w:val="29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知道图画书的基本形式</w:t>
            </w:r>
          </w:p>
          <w:p>
            <w:pPr>
              <w:numPr>
                <w:ilvl w:val="0"/>
                <w:numId w:val="29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了解图画书的名家名著</w:t>
            </w:r>
          </w:p>
        </w:tc>
        <w:tc>
          <w:tcPr>
            <w:tcW w:w="2100" w:type="dxa"/>
          </w:tcPr>
          <w:p>
            <w:pPr>
              <w:numPr>
                <w:ilvl w:val="0"/>
                <w:numId w:val="3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阅读图画书《好饿的小蛇》，分析其使用的图画语言与叙事方式</w:t>
            </w:r>
          </w:p>
          <w:p>
            <w:pPr>
              <w:numPr>
                <w:ilvl w:val="0"/>
                <w:numId w:val="3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能够解读部分家长或教师把图画书看作图画欣赏、道德行为教育或识字手册的现象，并表达自己的观点</w:t>
            </w:r>
          </w:p>
        </w:tc>
        <w:tc>
          <w:tcPr>
            <w:tcW w:w="1530" w:type="dxa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1.积极投入到图画书的学习中，并通过自我理解的方式表现出来</w:t>
            </w:r>
          </w:p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default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2.树立专业自信</w:t>
            </w:r>
          </w:p>
        </w:tc>
        <w:tc>
          <w:tcPr>
            <w:tcW w:w="2010" w:type="dxa"/>
          </w:tcPr>
          <w:p>
            <w:pPr>
              <w:numPr>
                <w:ilvl w:val="0"/>
                <w:numId w:val="31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理解图画书的实体构成、基本语言或叙事方式</w:t>
            </w:r>
          </w:p>
          <w:p>
            <w:pPr>
              <w:numPr>
                <w:ilvl w:val="0"/>
                <w:numId w:val="31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分析图画书的常见主题与功能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0" w:type="dxa"/>
          </w:tcPr>
          <w:p>
            <w:pPr>
              <w:snapToGrid w:val="0"/>
              <w:spacing w:line="288" w:lineRule="auto"/>
              <w:ind w:right="26"/>
              <w:jc w:val="both"/>
              <w:rPr>
                <w:rFonts w:hint="default" w:ascii="宋体" w:hAnsi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10</w:t>
            </w:r>
          </w:p>
          <w:p>
            <w:pPr>
              <w:snapToGrid w:val="0"/>
              <w:spacing w:line="288" w:lineRule="auto"/>
              <w:ind w:right="26"/>
              <w:jc w:val="both"/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</w:pPr>
          </w:p>
        </w:tc>
        <w:tc>
          <w:tcPr>
            <w:tcW w:w="990" w:type="dxa"/>
            <w:vAlign w:val="top"/>
          </w:tcPr>
          <w:p>
            <w:pPr>
              <w:snapToGrid w:val="0"/>
              <w:spacing w:line="288" w:lineRule="auto"/>
              <w:ind w:right="26"/>
              <w:jc w:val="both"/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儿童戏剧和影视</w:t>
            </w:r>
          </w:p>
          <w:p>
            <w:pPr>
              <w:snapToGrid w:val="0"/>
              <w:spacing w:line="288" w:lineRule="auto"/>
              <w:ind w:right="26"/>
              <w:jc w:val="both"/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vertAlign w:val="baseline"/>
                <w:lang w:val="en-US" w:eastAsia="zh-CN"/>
              </w:rPr>
              <w:t>（实践4课时）</w:t>
            </w:r>
          </w:p>
          <w:p>
            <w:pPr>
              <w:snapToGrid w:val="0"/>
              <w:spacing w:line="288" w:lineRule="auto"/>
              <w:ind w:right="26" w:rightChars="0"/>
              <w:jc w:val="both"/>
              <w:rPr>
                <w:rFonts w:hint="eastAsia" w:ascii="宋体" w:hAnsi="宋体" w:eastAsia="宋体" w:cs="Times New Roman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</w:p>
        </w:tc>
        <w:tc>
          <w:tcPr>
            <w:tcW w:w="1610" w:type="dxa"/>
          </w:tcPr>
          <w:p>
            <w:pPr>
              <w:numPr>
                <w:ilvl w:val="0"/>
                <w:numId w:val="32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理解儿童戏剧的改编原则与方式</w:t>
            </w:r>
          </w:p>
          <w:p>
            <w:pPr>
              <w:numPr>
                <w:ilvl w:val="0"/>
                <w:numId w:val="32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理解并分析儿童戏剧与影视两种文体的类型特征和赏析方式</w:t>
            </w:r>
          </w:p>
          <w:p>
            <w:pPr>
              <w:numPr>
                <w:ilvl w:val="0"/>
                <w:numId w:val="32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了解儿童戏剧和影视的名家名作</w:t>
            </w:r>
          </w:p>
        </w:tc>
        <w:tc>
          <w:tcPr>
            <w:tcW w:w="2100" w:type="dxa"/>
          </w:tcPr>
          <w:p>
            <w:pPr>
              <w:numPr>
                <w:ilvl w:val="0"/>
                <w:numId w:val="33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能够选择一部熟悉的短篇童话或儿童小说，试将其改编成儿童戏剧（注意剧本格式的规范）</w:t>
            </w:r>
          </w:p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2.观看儿童电影《鬼妈妈》，并能够分析其情节设置特色、象征性特色与童年的呈现方式</w:t>
            </w:r>
          </w:p>
        </w:tc>
        <w:tc>
          <w:tcPr>
            <w:tcW w:w="1530" w:type="dxa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1.积极投入到儿童戏剧与影视的学习中，并通过自我理解的方式表现出来</w:t>
            </w:r>
          </w:p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2.增强专业认同感</w:t>
            </w:r>
          </w:p>
        </w:tc>
        <w:tc>
          <w:tcPr>
            <w:tcW w:w="2010" w:type="dxa"/>
          </w:tcPr>
          <w:p>
            <w:pPr>
              <w:numPr>
                <w:ilvl w:val="0"/>
                <w:numId w:val="34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以《我知道》、《回声》为例，对儿童戏剧进行赏析</w:t>
            </w:r>
          </w:p>
          <w:p>
            <w:pPr>
              <w:numPr>
                <w:ilvl w:val="0"/>
                <w:numId w:val="34"/>
              </w:num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以《小淘气尼古拉》、《小鞋子》为例，对儿童影视进行赏析</w:t>
            </w:r>
          </w:p>
        </w:tc>
      </w:tr>
    </w:tbl>
    <w:p>
      <w:pPr>
        <w:snapToGrid w:val="0"/>
        <w:spacing w:line="288" w:lineRule="auto"/>
        <w:rPr>
          <w:rFonts w:ascii="宋体" w:hAnsi="宋体"/>
          <w:sz w:val="20"/>
          <w:szCs w:val="20"/>
        </w:rPr>
      </w:pPr>
    </w:p>
    <w:p>
      <w:pPr>
        <w:snapToGrid w:val="0"/>
        <w:spacing w:line="288" w:lineRule="auto"/>
        <w:ind w:right="26"/>
        <w:rPr>
          <w:sz w:val="20"/>
          <w:szCs w:val="20"/>
        </w:rPr>
      </w:pPr>
    </w:p>
    <w:p>
      <w:pPr>
        <w:widowControl/>
        <w:spacing w:beforeLines="50" w:afterLines="50" w:line="288" w:lineRule="auto"/>
        <w:ind w:firstLine="360" w:firstLineChars="150"/>
        <w:jc w:val="left"/>
        <w:rPr>
          <w:rFonts w:ascii="黑体" w:hAnsi="宋体" w:eastAsia="黑体"/>
          <w:sz w:val="24"/>
        </w:rPr>
      </w:pPr>
      <w:r>
        <w:rPr>
          <w:rFonts w:hint="eastAsia" w:ascii="黑体" w:hAnsi="宋体" w:eastAsia="黑体"/>
          <w:sz w:val="24"/>
          <w:lang w:val="en-US" w:eastAsia="zh-CN"/>
        </w:rPr>
        <w:t>七</w:t>
      </w:r>
      <w:r>
        <w:rPr>
          <w:rFonts w:hint="eastAsia" w:ascii="黑体" w:hAnsi="宋体" w:eastAsia="黑体"/>
          <w:sz w:val="24"/>
        </w:rPr>
        <w:t>、课内实验名称及基本要求（选填，适用于课内实验）</w:t>
      </w:r>
    </w:p>
    <w:tbl>
      <w:tblPr>
        <w:tblStyle w:val="4"/>
        <w:tblW w:w="8190" w:type="dxa"/>
        <w:tblInd w:w="34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0"/>
        <w:gridCol w:w="1367"/>
        <w:gridCol w:w="3240"/>
        <w:gridCol w:w="900"/>
        <w:gridCol w:w="1057"/>
        <w:gridCol w:w="10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序号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实验名称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主要内容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实验</w:t>
            </w:r>
          </w:p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时数</w:t>
            </w: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/>
                <w:sz w:val="20"/>
                <w:szCs w:val="20"/>
              </w:rPr>
              <w:t>实验类型</w:t>
            </w:r>
          </w:p>
        </w:tc>
        <w:tc>
          <w:tcPr>
            <w:tcW w:w="106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4" w:hRule="exact"/>
        </w:trPr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儿童文学书单的设计与制作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ascii="宋体"/>
                <w:sz w:val="16"/>
                <w:szCs w:val="16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结合自己的经验和观察，为3个不同年龄段的儿童制作一份包含不低于15部儿童文学作品的分级书单，并说明理由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ascii="宋体"/>
                <w:sz w:val="16"/>
                <w:szCs w:val="16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1</w:t>
            </w:r>
            <w:r>
              <w:rPr>
                <w:rFonts w:hint="eastAsia"/>
                <w:kern w:val="0"/>
                <w:sz w:val="20"/>
                <w:szCs w:val="20"/>
              </w:rPr>
              <w:t>课时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综合型</w:t>
            </w:r>
          </w:p>
        </w:tc>
        <w:tc>
          <w:tcPr>
            <w:tcW w:w="106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0" w:hRule="exact"/>
        </w:trPr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ascii="宋体"/>
                <w:sz w:val="16"/>
                <w:szCs w:val="16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儿歌赏析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ascii="宋体"/>
                <w:sz w:val="16"/>
                <w:szCs w:val="16"/>
                <w:lang w:val="en-US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阅读《砍蚊子》这首字头歌，从情节、韵律、物象等方面入手进行分析，完成一份赏析，并进行展示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ascii="宋体"/>
                <w:sz w:val="16"/>
                <w:szCs w:val="16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1</w:t>
            </w:r>
            <w:r>
              <w:rPr>
                <w:rFonts w:hint="eastAsia"/>
                <w:kern w:val="0"/>
                <w:sz w:val="20"/>
                <w:szCs w:val="20"/>
              </w:rPr>
              <w:t>课时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ascii="宋体"/>
                <w:sz w:val="16"/>
                <w:szCs w:val="16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综合</w:t>
            </w:r>
            <w:r>
              <w:rPr>
                <w:rFonts w:hint="eastAsia"/>
                <w:kern w:val="0"/>
                <w:sz w:val="20"/>
                <w:szCs w:val="20"/>
              </w:rPr>
              <w:t>型</w:t>
            </w:r>
          </w:p>
        </w:tc>
        <w:tc>
          <w:tcPr>
            <w:tcW w:w="106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4" w:hRule="exact"/>
        </w:trPr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ascii="宋体"/>
                <w:sz w:val="16"/>
                <w:szCs w:val="16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儿童诗赏析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widowControl w:val="0"/>
              <w:numPr>
                <w:ilvl w:val="0"/>
                <w:numId w:val="0"/>
              </w:numPr>
              <w:snapToGrid w:val="0"/>
              <w:spacing w:line="288" w:lineRule="auto"/>
              <w:ind w:leftChars="0" w:right="26" w:rightChars="0"/>
              <w:jc w:val="both"/>
              <w:rPr>
                <w:rFonts w:ascii="宋体"/>
                <w:sz w:val="16"/>
                <w:szCs w:val="16"/>
                <w:lang w:val="en-US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阅读《能开出花朵来吗》，通过意象把握诗歌的情感意境，完成一份赏析，并进行展示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ascii="宋体"/>
                <w:sz w:val="16"/>
                <w:szCs w:val="16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1</w:t>
            </w:r>
            <w:r>
              <w:rPr>
                <w:rFonts w:hint="eastAsia"/>
                <w:kern w:val="0"/>
                <w:sz w:val="20"/>
                <w:szCs w:val="20"/>
              </w:rPr>
              <w:t>课时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ascii="宋体"/>
                <w:sz w:val="16"/>
                <w:szCs w:val="16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综合</w:t>
            </w:r>
            <w:r>
              <w:rPr>
                <w:rFonts w:hint="eastAsia"/>
                <w:kern w:val="0"/>
                <w:sz w:val="20"/>
                <w:szCs w:val="20"/>
              </w:rPr>
              <w:t>型</w:t>
            </w:r>
          </w:p>
        </w:tc>
        <w:tc>
          <w:tcPr>
            <w:tcW w:w="106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exact"/>
        </w:trPr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ascii="宋体"/>
                <w:sz w:val="16"/>
                <w:szCs w:val="16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童话赏析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ascii="宋体"/>
                <w:sz w:val="16"/>
                <w:szCs w:val="16"/>
                <w:lang w:val="en-US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阅读《面包狼打喷嚏》，表达对于童话幻想的逻辑和趣味性的理解，完成一份赏析，并进行展示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ascii="宋体"/>
                <w:sz w:val="16"/>
                <w:szCs w:val="16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1</w:t>
            </w:r>
            <w:r>
              <w:rPr>
                <w:rFonts w:hint="eastAsia"/>
                <w:kern w:val="0"/>
                <w:sz w:val="20"/>
                <w:szCs w:val="20"/>
              </w:rPr>
              <w:t>课时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ascii="宋体"/>
                <w:sz w:val="16"/>
                <w:szCs w:val="16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综合</w:t>
            </w:r>
            <w:r>
              <w:rPr>
                <w:rFonts w:hint="eastAsia"/>
                <w:kern w:val="0"/>
                <w:sz w:val="20"/>
                <w:szCs w:val="20"/>
              </w:rPr>
              <w:t>型</w:t>
            </w:r>
          </w:p>
        </w:tc>
        <w:tc>
          <w:tcPr>
            <w:tcW w:w="106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4" w:hRule="exact"/>
        </w:trPr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hint="eastAsia" w:eastAsia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寓言赏析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分析概括《寓言两则》中两则作品中的寓意，思考寓言中的事物与生活现象是如何构成对应关系的，并进行分享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hint="eastAsia" w:eastAsia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1</w:t>
            </w:r>
            <w:r>
              <w:rPr>
                <w:rFonts w:hint="eastAsia"/>
                <w:kern w:val="0"/>
                <w:sz w:val="20"/>
                <w:szCs w:val="20"/>
              </w:rPr>
              <w:t>课时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综合型</w:t>
            </w:r>
          </w:p>
        </w:tc>
        <w:tc>
          <w:tcPr>
            <w:tcW w:w="106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4" w:hRule="exact"/>
        </w:trPr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hint="eastAsia" w:eastAsia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儿童故事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阅读《一个有魔力的字》，能够欣赏故事中的人物形象以及童趣的呈现方式，完成一份赏析，并进行展示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2</w:t>
            </w:r>
            <w:r>
              <w:rPr>
                <w:rFonts w:hint="eastAsia"/>
                <w:kern w:val="0"/>
                <w:sz w:val="20"/>
                <w:szCs w:val="20"/>
              </w:rPr>
              <w:t>课时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综合型</w:t>
            </w:r>
          </w:p>
        </w:tc>
        <w:tc>
          <w:tcPr>
            <w:tcW w:w="106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snapToGrid w:val="0"/>
              <w:spacing w:line="288" w:lineRule="auto"/>
              <w:ind w:right="26" w:rightChars="0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4" w:hRule="exact"/>
        </w:trPr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7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儿童小说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阅读儿童小说《戴小桥和他的哥们儿》（节选），分析其塑造儿童的主要手法及人物性格，完成一份赏析，并进行展示</w:t>
            </w:r>
          </w:p>
          <w:p>
            <w:pPr>
              <w:snapToGrid w:val="0"/>
              <w:spacing w:beforeLines="50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2</w:t>
            </w:r>
            <w:r>
              <w:rPr>
                <w:rFonts w:hint="eastAsia"/>
                <w:kern w:val="0"/>
                <w:sz w:val="20"/>
                <w:szCs w:val="20"/>
              </w:rPr>
              <w:t>课时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综合型</w:t>
            </w:r>
          </w:p>
        </w:tc>
        <w:tc>
          <w:tcPr>
            <w:tcW w:w="106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50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4" w:hRule="exact"/>
        </w:trPr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8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儿童散文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ascii="宋体"/>
                <w:sz w:val="16"/>
                <w:szCs w:val="16"/>
                <w:lang w:val="en-US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阅读儿童散文《我和妈妈的粥》，分析其主要的艺术手法，并思考“粥”在作品中的内涵，完成一份赏析，并进行展示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1</w:t>
            </w:r>
            <w:r>
              <w:rPr>
                <w:rFonts w:hint="eastAsia"/>
                <w:kern w:val="0"/>
                <w:sz w:val="20"/>
                <w:szCs w:val="20"/>
              </w:rPr>
              <w:t>课时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综合型</w:t>
            </w:r>
          </w:p>
        </w:tc>
        <w:tc>
          <w:tcPr>
            <w:tcW w:w="106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50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4" w:hRule="exact"/>
        </w:trPr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9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图画书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阅读图画书《好饿的小蛇》，分析其使用的图画语言与叙事方式，完成一份赏析，并进行展示</w:t>
            </w:r>
          </w:p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2</w:t>
            </w:r>
            <w:r>
              <w:rPr>
                <w:rFonts w:hint="eastAsia"/>
                <w:kern w:val="0"/>
                <w:sz w:val="20"/>
                <w:szCs w:val="20"/>
              </w:rPr>
              <w:t>课时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综合型</w:t>
            </w:r>
          </w:p>
        </w:tc>
        <w:tc>
          <w:tcPr>
            <w:tcW w:w="106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50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4" w:hRule="exact"/>
        </w:trPr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10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儿童戏剧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ascii="宋体"/>
                <w:sz w:val="16"/>
                <w:szCs w:val="16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选择一部熟悉的短篇童话或儿童小说，试将其改编成儿童戏剧（注意剧本格式的规范）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2</w:t>
            </w:r>
            <w:r>
              <w:rPr>
                <w:rFonts w:hint="eastAsia"/>
                <w:kern w:val="0"/>
                <w:sz w:val="20"/>
                <w:szCs w:val="20"/>
              </w:rPr>
              <w:t>课时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设计型</w:t>
            </w:r>
          </w:p>
        </w:tc>
        <w:tc>
          <w:tcPr>
            <w:tcW w:w="106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50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4" w:hRule="exact"/>
        </w:trPr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11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儿童影视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left="0" w:leftChars="0" w:right="26" w:rightChars="0" w:firstLine="0" w:firstLine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观看儿童电影《鬼妈妈》，分析其情节设置特色、象征性特色与童年的呈现方式，完成一份赏析，并进行展示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2</w:t>
            </w:r>
            <w:r>
              <w:rPr>
                <w:rFonts w:hint="eastAsia"/>
                <w:kern w:val="0"/>
                <w:sz w:val="20"/>
                <w:szCs w:val="20"/>
              </w:rPr>
              <w:t>课时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综合型</w:t>
            </w:r>
          </w:p>
        </w:tc>
        <w:tc>
          <w:tcPr>
            <w:tcW w:w="106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50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4" w:hRule="exact"/>
        </w:trPr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 w:rightChars="0"/>
              <w:rPr>
                <w:rFonts w:hint="default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合计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left="0" w:leftChars="0" w:right="26" w:rightChars="0" w:firstLine="0" w:firstLineChars="0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 w:rightChars="0"/>
              <w:rPr>
                <w:rFonts w:hint="default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kern w:val="0"/>
                <w:sz w:val="20"/>
                <w:szCs w:val="20"/>
                <w:lang w:val="en-US" w:eastAsia="zh-CN"/>
              </w:rPr>
              <w:t>16课时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 w:rightChars="0"/>
              <w:rPr>
                <w:rFonts w:hint="eastAsia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06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50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</w:tbl>
    <w:p>
      <w:pPr>
        <w:snapToGrid w:val="0"/>
        <w:spacing w:line="288" w:lineRule="auto"/>
        <w:ind w:right="2520"/>
        <w:rPr>
          <w:sz w:val="20"/>
          <w:szCs w:val="20"/>
        </w:rPr>
      </w:pPr>
    </w:p>
    <w:p>
      <w:pPr>
        <w:numPr>
          <w:ilvl w:val="0"/>
          <w:numId w:val="35"/>
        </w:numPr>
        <w:snapToGrid w:val="0"/>
        <w:spacing w:line="288" w:lineRule="auto"/>
        <w:ind w:right="2520" w:firstLine="240" w:firstLineChars="100"/>
        <w:rPr>
          <w:rFonts w:hint="eastAsia" w:ascii="黑体" w:hAnsi="宋体" w:eastAsia="黑体"/>
          <w:sz w:val="24"/>
        </w:rPr>
      </w:pPr>
      <w:r>
        <w:rPr>
          <w:rFonts w:hint="eastAsia" w:ascii="黑体" w:hAnsi="宋体" w:eastAsia="黑体"/>
          <w:sz w:val="24"/>
        </w:rPr>
        <w:t>评价方式与成绩</w:t>
      </w:r>
    </w:p>
    <w:tbl>
      <w:tblPr>
        <w:tblStyle w:val="4"/>
        <w:tblpPr w:leftFromText="180" w:rightFromText="180" w:vertAnchor="text" w:horzAnchor="page" w:tblpX="2182" w:tblpY="717"/>
        <w:tblOverlap w:val="never"/>
        <w:tblW w:w="842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0"/>
        <w:gridCol w:w="5103"/>
        <w:gridCol w:w="18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480" w:type="dxa"/>
            <w:shd w:val="clear" w:color="auto" w:fill="auto"/>
          </w:tcPr>
          <w:p>
            <w:pPr>
              <w:snapToGrid w:val="0"/>
              <w:spacing w:beforeLines="50" w:afterLines="50"/>
              <w:rPr>
                <w:rFonts w:ascii="宋体" w:hAnsi="宋体"/>
                <w:bCs/>
                <w:color w:val="000000"/>
                <w:szCs w:val="20"/>
                <w:highlight w:val="none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highlight w:val="none"/>
              </w:rPr>
              <w:t>总评构成（1+</w:t>
            </w:r>
            <w:r>
              <w:rPr>
                <w:rFonts w:ascii="宋体" w:hAnsi="宋体"/>
                <w:bCs/>
                <w:color w:val="000000"/>
                <w:szCs w:val="20"/>
                <w:highlight w:val="none"/>
              </w:rPr>
              <w:t>X</w:t>
            </w:r>
            <w:r>
              <w:rPr>
                <w:rFonts w:hint="eastAsia" w:ascii="宋体" w:hAnsi="宋体"/>
                <w:bCs/>
                <w:color w:val="000000"/>
                <w:szCs w:val="20"/>
                <w:highlight w:val="none"/>
              </w:rPr>
              <w:t>）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Lines="50" w:afterLines="50"/>
              <w:jc w:val="center"/>
              <w:rPr>
                <w:rFonts w:ascii="宋体" w:hAnsi="宋体"/>
                <w:bCs/>
                <w:color w:val="000000"/>
                <w:szCs w:val="20"/>
                <w:highlight w:val="none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highlight w:val="none"/>
              </w:rPr>
              <w:t>评价方式</w:t>
            </w:r>
          </w:p>
        </w:tc>
        <w:tc>
          <w:tcPr>
            <w:tcW w:w="1843" w:type="dxa"/>
            <w:shd w:val="clear" w:color="auto" w:fill="auto"/>
          </w:tcPr>
          <w:p>
            <w:pPr>
              <w:snapToGrid w:val="0"/>
              <w:spacing w:beforeLines="50" w:afterLines="50"/>
              <w:jc w:val="center"/>
              <w:rPr>
                <w:rFonts w:ascii="宋体" w:hAnsi="宋体"/>
                <w:bCs/>
                <w:color w:val="000000"/>
                <w:szCs w:val="20"/>
                <w:highlight w:val="none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highlight w:val="none"/>
                <w:shd w:val="clear"/>
              </w:rPr>
              <w:t>占比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0" w:type="dxa"/>
            <w:shd w:val="clear" w:color="auto" w:fill="auto"/>
          </w:tcPr>
          <w:p>
            <w:pPr>
              <w:snapToGrid w:val="0"/>
              <w:spacing w:beforeLines="50" w:afterLines="50"/>
              <w:jc w:val="center"/>
              <w:rPr>
                <w:rFonts w:ascii="宋体" w:hAnsi="宋体"/>
                <w:bCs/>
                <w:color w:val="000000"/>
                <w:szCs w:val="20"/>
                <w:highlight w:val="none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highlight w:val="none"/>
              </w:rPr>
              <w:t>1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Lines="50" w:afterLines="50"/>
              <w:jc w:val="center"/>
              <w:rPr>
                <w:rFonts w:hint="default" w:ascii="宋体" w:hAnsi="宋体" w:eastAsia="宋体"/>
                <w:bCs/>
                <w:color w:val="00000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highlight w:val="none"/>
                <w:lang w:val="en-US" w:eastAsia="zh-CN"/>
              </w:rPr>
              <w:t>期末考试</w:t>
            </w:r>
          </w:p>
        </w:tc>
        <w:tc>
          <w:tcPr>
            <w:tcW w:w="1843" w:type="dxa"/>
            <w:shd w:val="clear" w:color="auto" w:fill="auto"/>
          </w:tcPr>
          <w:p>
            <w:pPr>
              <w:snapToGrid w:val="0"/>
              <w:spacing w:beforeLines="50" w:afterLines="50"/>
              <w:jc w:val="center"/>
              <w:rPr>
                <w:rFonts w:hint="eastAsia" w:ascii="宋体" w:hAnsi="宋体" w:eastAsia="宋体"/>
                <w:bCs/>
                <w:color w:val="00000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highlight w:val="none"/>
                <w:lang w:val="en-US" w:eastAsia="zh-CN"/>
              </w:rPr>
              <w:t>45%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0" w:type="dxa"/>
            <w:shd w:val="clear" w:color="auto" w:fill="auto"/>
          </w:tcPr>
          <w:p>
            <w:pPr>
              <w:snapToGrid w:val="0"/>
              <w:spacing w:beforeLines="50" w:afterLines="50"/>
              <w:jc w:val="center"/>
              <w:rPr>
                <w:rFonts w:ascii="宋体" w:hAnsi="宋体"/>
                <w:bCs/>
                <w:color w:val="000000"/>
                <w:szCs w:val="20"/>
                <w:highlight w:val="none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highlight w:val="none"/>
              </w:rPr>
              <w:t>X1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Lines="50" w:afterLines="50"/>
              <w:jc w:val="center"/>
              <w:rPr>
                <w:rFonts w:hint="default" w:ascii="宋体" w:hAnsi="宋体" w:eastAsia="宋体"/>
                <w:bCs/>
                <w:color w:val="00000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highlight w:val="none"/>
                <w:lang w:val="en-US" w:eastAsia="zh-CN"/>
              </w:rPr>
              <w:t>课堂</w:t>
            </w:r>
            <w:bookmarkStart w:id="1" w:name="_GoBack"/>
            <w:bookmarkEnd w:id="1"/>
            <w:r>
              <w:rPr>
                <w:rFonts w:hint="eastAsia" w:ascii="宋体" w:hAnsi="宋体"/>
                <w:bCs/>
                <w:color w:val="000000"/>
                <w:szCs w:val="20"/>
                <w:highlight w:val="none"/>
                <w:lang w:val="en-US" w:eastAsia="zh-CN"/>
              </w:rPr>
              <w:t>参与</w:t>
            </w:r>
          </w:p>
        </w:tc>
        <w:tc>
          <w:tcPr>
            <w:tcW w:w="1843" w:type="dxa"/>
            <w:shd w:val="clear" w:color="auto" w:fill="auto"/>
          </w:tcPr>
          <w:p>
            <w:pPr>
              <w:snapToGrid w:val="0"/>
              <w:spacing w:beforeLines="50" w:afterLines="50"/>
              <w:jc w:val="center"/>
              <w:rPr>
                <w:rFonts w:hint="eastAsia" w:ascii="宋体" w:hAnsi="宋体" w:eastAsia="宋体"/>
                <w:bCs/>
                <w:color w:val="00000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highlight w:val="none"/>
                <w:lang w:val="en-US" w:eastAsia="zh-CN"/>
              </w:rPr>
              <w:t>25%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0" w:type="dxa"/>
            <w:shd w:val="clear" w:color="auto" w:fill="auto"/>
          </w:tcPr>
          <w:p>
            <w:pPr>
              <w:snapToGrid w:val="0"/>
              <w:spacing w:beforeLines="50" w:afterLines="50"/>
              <w:jc w:val="center"/>
              <w:rPr>
                <w:rFonts w:ascii="宋体" w:hAnsi="宋体"/>
                <w:bCs/>
                <w:color w:val="000000"/>
                <w:szCs w:val="20"/>
                <w:highlight w:val="none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highlight w:val="none"/>
              </w:rPr>
              <w:t>X2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Lines="50" w:afterLines="50"/>
              <w:jc w:val="center"/>
              <w:rPr>
                <w:rFonts w:hint="default" w:ascii="宋体" w:hAnsi="宋体" w:eastAsia="宋体"/>
                <w:bCs/>
                <w:color w:val="00000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highlight w:val="none"/>
                <w:lang w:val="en-US" w:eastAsia="zh-CN"/>
              </w:rPr>
              <w:t>作业展示</w:t>
            </w:r>
          </w:p>
        </w:tc>
        <w:tc>
          <w:tcPr>
            <w:tcW w:w="1843" w:type="dxa"/>
            <w:shd w:val="clear" w:color="auto" w:fill="auto"/>
          </w:tcPr>
          <w:p>
            <w:pPr>
              <w:snapToGrid w:val="0"/>
              <w:spacing w:beforeLines="50" w:afterLines="50"/>
              <w:jc w:val="center"/>
              <w:rPr>
                <w:rFonts w:hint="eastAsia" w:ascii="宋体" w:hAnsi="宋体" w:eastAsia="宋体"/>
                <w:bCs/>
                <w:color w:val="00000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highlight w:val="none"/>
                <w:lang w:val="en-US" w:eastAsia="zh-CN"/>
              </w:rPr>
              <w:t>15%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0" w:type="dxa"/>
            <w:shd w:val="clear" w:color="auto" w:fill="auto"/>
          </w:tcPr>
          <w:p>
            <w:pPr>
              <w:snapToGrid w:val="0"/>
              <w:spacing w:beforeLines="50" w:afterLines="50"/>
              <w:jc w:val="center"/>
              <w:rPr>
                <w:rFonts w:ascii="宋体" w:hAnsi="宋体"/>
                <w:bCs/>
                <w:color w:val="000000"/>
                <w:szCs w:val="20"/>
                <w:highlight w:val="none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highlight w:val="none"/>
              </w:rPr>
              <w:t>X3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Lines="50" w:afterLines="50"/>
              <w:jc w:val="center"/>
              <w:rPr>
                <w:rFonts w:hint="default" w:ascii="宋体" w:hAnsi="宋体" w:eastAsia="宋体"/>
                <w:bCs/>
                <w:color w:val="00000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highlight w:val="none"/>
                <w:lang w:val="en-US" w:eastAsia="zh-CN"/>
              </w:rPr>
              <w:t>情境表演</w:t>
            </w:r>
          </w:p>
        </w:tc>
        <w:tc>
          <w:tcPr>
            <w:tcW w:w="1843" w:type="dxa"/>
            <w:shd w:val="clear" w:color="auto" w:fill="auto"/>
          </w:tcPr>
          <w:p>
            <w:pPr>
              <w:snapToGrid w:val="0"/>
              <w:spacing w:beforeLines="50" w:afterLines="50"/>
              <w:jc w:val="center"/>
              <w:rPr>
                <w:rFonts w:hint="eastAsia" w:ascii="宋体" w:hAnsi="宋体" w:eastAsia="宋体"/>
                <w:bCs/>
                <w:color w:val="00000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highlight w:val="none"/>
                <w:lang w:val="en-US" w:eastAsia="zh-CN"/>
              </w:rPr>
              <w:t>15%</w:t>
            </w:r>
          </w:p>
        </w:tc>
      </w:tr>
    </w:tbl>
    <w:p>
      <w:pPr>
        <w:numPr>
          <w:ilvl w:val="0"/>
          <w:numId w:val="0"/>
        </w:numPr>
        <w:snapToGrid w:val="0"/>
        <w:spacing w:line="288" w:lineRule="auto"/>
        <w:ind w:right="2520" w:rightChars="0"/>
        <w:rPr>
          <w:rFonts w:hint="eastAsia" w:ascii="黑体" w:hAnsi="宋体" w:eastAsia="黑体"/>
          <w:sz w:val="24"/>
        </w:rPr>
      </w:pPr>
    </w:p>
    <w:p>
      <w:pPr>
        <w:snapToGrid w:val="0"/>
        <w:spacing w:line="288" w:lineRule="auto"/>
      </w:pPr>
      <w:r>
        <w:rPr>
          <w:rFonts w:hint="eastAsia"/>
          <w:sz w:val="28"/>
          <w:szCs w:val="28"/>
        </w:rPr>
        <w:t>撰写人：</w:t>
      </w:r>
      <w:r>
        <w:rPr>
          <w:rFonts w:hint="eastAsia"/>
          <w:sz w:val="28"/>
          <w:szCs w:val="28"/>
          <w:lang w:val="en-US" w:eastAsia="zh-CN"/>
        </w:rPr>
        <w:t xml:space="preserve"> 周桂勋    </w:t>
      </w:r>
      <w:r>
        <w:rPr>
          <w:rFonts w:hint="eastAsia"/>
          <w:sz w:val="28"/>
          <w:szCs w:val="28"/>
        </w:rPr>
        <w:t>系主任审核签名：</w:t>
      </w:r>
      <w:r>
        <w:rPr>
          <w:rFonts w:hint="eastAsia"/>
          <w:sz w:val="28"/>
          <w:szCs w:val="28"/>
        </w:rPr>
        <w:drawing>
          <wp:inline distT="0" distB="0" distL="114300" distR="114300">
            <wp:extent cx="813435" cy="512445"/>
            <wp:effectExtent l="0" t="0" r="12065" b="8255"/>
            <wp:docPr id="2" name="图片 2" descr="步老师签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步老师签名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13435" cy="512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28"/>
          <w:szCs w:val="28"/>
        </w:rPr>
        <w:t>审核时间：</w:t>
      </w:r>
      <w:r>
        <w:rPr>
          <w:rFonts w:hint="eastAsia"/>
          <w:sz w:val="28"/>
          <w:szCs w:val="28"/>
          <w:lang w:val="en-US" w:eastAsia="zh-CN"/>
        </w:rPr>
        <w:t xml:space="preserve">2020-9-4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5E02611"/>
    <w:multiLevelType w:val="singleLevel"/>
    <w:tmpl w:val="95E0261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9BB04CC3"/>
    <w:multiLevelType w:val="singleLevel"/>
    <w:tmpl w:val="9BB04CC3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9C428A81"/>
    <w:multiLevelType w:val="singleLevel"/>
    <w:tmpl w:val="9C428A81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A90E64E4"/>
    <w:multiLevelType w:val="singleLevel"/>
    <w:tmpl w:val="A90E64E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4">
    <w:nsid w:val="A955F3BE"/>
    <w:multiLevelType w:val="singleLevel"/>
    <w:tmpl w:val="A955F3B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5">
    <w:nsid w:val="B2D5DA7B"/>
    <w:multiLevelType w:val="singleLevel"/>
    <w:tmpl w:val="B2D5DA7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6">
    <w:nsid w:val="C0803010"/>
    <w:multiLevelType w:val="singleLevel"/>
    <w:tmpl w:val="C0803010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7">
    <w:nsid w:val="C37378E0"/>
    <w:multiLevelType w:val="singleLevel"/>
    <w:tmpl w:val="C37378E0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8">
    <w:nsid w:val="C7087CE2"/>
    <w:multiLevelType w:val="singleLevel"/>
    <w:tmpl w:val="C7087CE2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9">
    <w:nsid w:val="C7C10C72"/>
    <w:multiLevelType w:val="singleLevel"/>
    <w:tmpl w:val="C7C10C72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0">
    <w:nsid w:val="CA5DACAE"/>
    <w:multiLevelType w:val="singleLevel"/>
    <w:tmpl w:val="CA5DACA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1">
    <w:nsid w:val="CC067A0D"/>
    <w:multiLevelType w:val="singleLevel"/>
    <w:tmpl w:val="CC067A0D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2">
    <w:nsid w:val="CD56B3CD"/>
    <w:multiLevelType w:val="singleLevel"/>
    <w:tmpl w:val="CD56B3CD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3">
    <w:nsid w:val="CDFD0373"/>
    <w:multiLevelType w:val="singleLevel"/>
    <w:tmpl w:val="CDFD0373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4">
    <w:nsid w:val="CE60EB77"/>
    <w:multiLevelType w:val="singleLevel"/>
    <w:tmpl w:val="CE60EB77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5">
    <w:nsid w:val="D1B10162"/>
    <w:multiLevelType w:val="singleLevel"/>
    <w:tmpl w:val="D1B10162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6">
    <w:nsid w:val="DEFBD9A0"/>
    <w:multiLevelType w:val="singleLevel"/>
    <w:tmpl w:val="DEFBD9A0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7">
    <w:nsid w:val="EB1AE4CA"/>
    <w:multiLevelType w:val="singleLevel"/>
    <w:tmpl w:val="EB1AE4CA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8">
    <w:nsid w:val="FC87A262"/>
    <w:multiLevelType w:val="singleLevel"/>
    <w:tmpl w:val="FC87A262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9">
    <w:nsid w:val="FF2894ED"/>
    <w:multiLevelType w:val="singleLevel"/>
    <w:tmpl w:val="FF2894ED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0">
    <w:nsid w:val="039B7231"/>
    <w:multiLevelType w:val="singleLevel"/>
    <w:tmpl w:val="039B723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1">
    <w:nsid w:val="20450650"/>
    <w:multiLevelType w:val="singleLevel"/>
    <w:tmpl w:val="20450650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2">
    <w:nsid w:val="21E23AE5"/>
    <w:multiLevelType w:val="singleLevel"/>
    <w:tmpl w:val="21E23AE5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23">
    <w:nsid w:val="2A41A357"/>
    <w:multiLevelType w:val="singleLevel"/>
    <w:tmpl w:val="2A41A357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4">
    <w:nsid w:val="3D5DF44A"/>
    <w:multiLevelType w:val="singleLevel"/>
    <w:tmpl w:val="3D5DF44A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5">
    <w:nsid w:val="3F0EDA5E"/>
    <w:multiLevelType w:val="singleLevel"/>
    <w:tmpl w:val="3F0EDA5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6">
    <w:nsid w:val="42D34405"/>
    <w:multiLevelType w:val="singleLevel"/>
    <w:tmpl w:val="42D34405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7">
    <w:nsid w:val="47D5D0BD"/>
    <w:multiLevelType w:val="singleLevel"/>
    <w:tmpl w:val="47D5D0BD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8">
    <w:nsid w:val="4B9DAC78"/>
    <w:multiLevelType w:val="singleLevel"/>
    <w:tmpl w:val="4B9DAC78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9">
    <w:nsid w:val="53727B6B"/>
    <w:multiLevelType w:val="singleLevel"/>
    <w:tmpl w:val="53727B6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0">
    <w:nsid w:val="55990F42"/>
    <w:multiLevelType w:val="singleLevel"/>
    <w:tmpl w:val="55990F42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1">
    <w:nsid w:val="61900C4F"/>
    <w:multiLevelType w:val="singleLevel"/>
    <w:tmpl w:val="61900C4F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2">
    <w:nsid w:val="64A83DBB"/>
    <w:multiLevelType w:val="singleLevel"/>
    <w:tmpl w:val="64A83DB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3">
    <w:nsid w:val="6511215C"/>
    <w:multiLevelType w:val="singleLevel"/>
    <w:tmpl w:val="6511215C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4">
    <w:nsid w:val="7856E279"/>
    <w:multiLevelType w:val="singleLevel"/>
    <w:tmpl w:val="7856E279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2"/>
  </w:num>
  <w:num w:numId="2">
    <w:abstractNumId w:val="1"/>
  </w:num>
  <w:num w:numId="3">
    <w:abstractNumId w:val="12"/>
  </w:num>
  <w:num w:numId="4">
    <w:abstractNumId w:val="33"/>
  </w:num>
  <w:num w:numId="5">
    <w:abstractNumId w:val="30"/>
  </w:num>
  <w:num w:numId="6">
    <w:abstractNumId w:val="17"/>
  </w:num>
  <w:num w:numId="7">
    <w:abstractNumId w:val="20"/>
  </w:num>
  <w:num w:numId="8">
    <w:abstractNumId w:val="25"/>
  </w:num>
  <w:num w:numId="9">
    <w:abstractNumId w:val="23"/>
  </w:num>
  <w:num w:numId="10">
    <w:abstractNumId w:val="24"/>
  </w:num>
  <w:num w:numId="11">
    <w:abstractNumId w:val="13"/>
  </w:num>
  <w:num w:numId="12">
    <w:abstractNumId w:val="34"/>
  </w:num>
  <w:num w:numId="13">
    <w:abstractNumId w:val="4"/>
  </w:num>
  <w:num w:numId="14">
    <w:abstractNumId w:val="31"/>
  </w:num>
  <w:num w:numId="15">
    <w:abstractNumId w:val="16"/>
  </w:num>
  <w:num w:numId="16">
    <w:abstractNumId w:val="6"/>
  </w:num>
  <w:num w:numId="17">
    <w:abstractNumId w:val="5"/>
  </w:num>
  <w:num w:numId="18">
    <w:abstractNumId w:val="7"/>
  </w:num>
  <w:num w:numId="19">
    <w:abstractNumId w:val="9"/>
  </w:num>
  <w:num w:numId="20">
    <w:abstractNumId w:val="3"/>
  </w:num>
  <w:num w:numId="21">
    <w:abstractNumId w:val="29"/>
  </w:num>
  <w:num w:numId="22">
    <w:abstractNumId w:val="8"/>
  </w:num>
  <w:num w:numId="23">
    <w:abstractNumId w:val="14"/>
  </w:num>
  <w:num w:numId="24">
    <w:abstractNumId w:val="15"/>
  </w:num>
  <w:num w:numId="25">
    <w:abstractNumId w:val="21"/>
  </w:num>
  <w:num w:numId="26">
    <w:abstractNumId w:val="28"/>
  </w:num>
  <w:num w:numId="27">
    <w:abstractNumId w:val="32"/>
  </w:num>
  <w:num w:numId="28">
    <w:abstractNumId w:val="27"/>
  </w:num>
  <w:num w:numId="29">
    <w:abstractNumId w:val="18"/>
  </w:num>
  <w:num w:numId="30">
    <w:abstractNumId w:val="26"/>
  </w:num>
  <w:num w:numId="31">
    <w:abstractNumId w:val="10"/>
  </w:num>
  <w:num w:numId="32">
    <w:abstractNumId w:val="0"/>
  </w:num>
  <w:num w:numId="33">
    <w:abstractNumId w:val="19"/>
  </w:num>
  <w:num w:numId="34">
    <w:abstractNumId w:val="11"/>
  </w:num>
  <w:num w:numId="3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651F"/>
    <w:rsid w:val="001072BC"/>
    <w:rsid w:val="00256B39"/>
    <w:rsid w:val="0026033C"/>
    <w:rsid w:val="002E3721"/>
    <w:rsid w:val="00313BBA"/>
    <w:rsid w:val="0032602E"/>
    <w:rsid w:val="003367AE"/>
    <w:rsid w:val="003B1258"/>
    <w:rsid w:val="004100B0"/>
    <w:rsid w:val="005467DC"/>
    <w:rsid w:val="00553D03"/>
    <w:rsid w:val="005B2B6D"/>
    <w:rsid w:val="005B4B4E"/>
    <w:rsid w:val="00624FE1"/>
    <w:rsid w:val="007208D6"/>
    <w:rsid w:val="007D7F40"/>
    <w:rsid w:val="008B397C"/>
    <w:rsid w:val="008B47F4"/>
    <w:rsid w:val="00900019"/>
    <w:rsid w:val="0099063E"/>
    <w:rsid w:val="00A769B1"/>
    <w:rsid w:val="00A837D5"/>
    <w:rsid w:val="00AC4C45"/>
    <w:rsid w:val="00B46F21"/>
    <w:rsid w:val="00B511A5"/>
    <w:rsid w:val="00B736A7"/>
    <w:rsid w:val="00B7651F"/>
    <w:rsid w:val="00C56E09"/>
    <w:rsid w:val="00CF096B"/>
    <w:rsid w:val="00E16D30"/>
    <w:rsid w:val="00E33169"/>
    <w:rsid w:val="00E70904"/>
    <w:rsid w:val="00EF44B1"/>
    <w:rsid w:val="00F35AA0"/>
    <w:rsid w:val="01087DD3"/>
    <w:rsid w:val="010F7755"/>
    <w:rsid w:val="016E63C2"/>
    <w:rsid w:val="022A077D"/>
    <w:rsid w:val="02430080"/>
    <w:rsid w:val="024B0C39"/>
    <w:rsid w:val="02AF2D0D"/>
    <w:rsid w:val="03C344E1"/>
    <w:rsid w:val="04142C9C"/>
    <w:rsid w:val="04F13E55"/>
    <w:rsid w:val="06633217"/>
    <w:rsid w:val="068410C9"/>
    <w:rsid w:val="073378B4"/>
    <w:rsid w:val="077408CC"/>
    <w:rsid w:val="08CC4525"/>
    <w:rsid w:val="096228B1"/>
    <w:rsid w:val="09731A6A"/>
    <w:rsid w:val="09C46CAD"/>
    <w:rsid w:val="09CE002C"/>
    <w:rsid w:val="0A0D0503"/>
    <w:rsid w:val="0A8128A6"/>
    <w:rsid w:val="0ABB3925"/>
    <w:rsid w:val="0B5C2C07"/>
    <w:rsid w:val="0BBC2420"/>
    <w:rsid w:val="0BF32A1B"/>
    <w:rsid w:val="0CAD190D"/>
    <w:rsid w:val="0CE968A8"/>
    <w:rsid w:val="0DD5257F"/>
    <w:rsid w:val="10043B90"/>
    <w:rsid w:val="10BD2C22"/>
    <w:rsid w:val="113A09B9"/>
    <w:rsid w:val="11487896"/>
    <w:rsid w:val="13114B5D"/>
    <w:rsid w:val="138F0995"/>
    <w:rsid w:val="13956473"/>
    <w:rsid w:val="13B1635D"/>
    <w:rsid w:val="15911390"/>
    <w:rsid w:val="16184C98"/>
    <w:rsid w:val="1668382B"/>
    <w:rsid w:val="16B4102C"/>
    <w:rsid w:val="17E01CA5"/>
    <w:rsid w:val="19FA007D"/>
    <w:rsid w:val="1CCE050E"/>
    <w:rsid w:val="1D0212BD"/>
    <w:rsid w:val="1E2C3D25"/>
    <w:rsid w:val="1E8B654D"/>
    <w:rsid w:val="1F040537"/>
    <w:rsid w:val="1F5A2606"/>
    <w:rsid w:val="1FEC2FA0"/>
    <w:rsid w:val="200021DE"/>
    <w:rsid w:val="20F71592"/>
    <w:rsid w:val="21087DDF"/>
    <w:rsid w:val="219C4754"/>
    <w:rsid w:val="21A57500"/>
    <w:rsid w:val="22672EF3"/>
    <w:rsid w:val="22987C80"/>
    <w:rsid w:val="2365379F"/>
    <w:rsid w:val="23B50CB7"/>
    <w:rsid w:val="24192CCC"/>
    <w:rsid w:val="257E0C2C"/>
    <w:rsid w:val="28E52CCB"/>
    <w:rsid w:val="29874835"/>
    <w:rsid w:val="29FC517D"/>
    <w:rsid w:val="2A051F27"/>
    <w:rsid w:val="2A5161C1"/>
    <w:rsid w:val="2B2F5F82"/>
    <w:rsid w:val="2C2302B3"/>
    <w:rsid w:val="2DAB6340"/>
    <w:rsid w:val="2F324994"/>
    <w:rsid w:val="2FA10516"/>
    <w:rsid w:val="30F432C5"/>
    <w:rsid w:val="3173663C"/>
    <w:rsid w:val="31A22B04"/>
    <w:rsid w:val="330C163D"/>
    <w:rsid w:val="337C2017"/>
    <w:rsid w:val="33967E43"/>
    <w:rsid w:val="35E77845"/>
    <w:rsid w:val="35F166DB"/>
    <w:rsid w:val="35FC4172"/>
    <w:rsid w:val="364D4495"/>
    <w:rsid w:val="36DA40AA"/>
    <w:rsid w:val="36FA02AA"/>
    <w:rsid w:val="370665D2"/>
    <w:rsid w:val="3739777F"/>
    <w:rsid w:val="37B24DE0"/>
    <w:rsid w:val="37C11FE6"/>
    <w:rsid w:val="38305EAC"/>
    <w:rsid w:val="38323EB9"/>
    <w:rsid w:val="383B4338"/>
    <w:rsid w:val="38A73364"/>
    <w:rsid w:val="392D136B"/>
    <w:rsid w:val="39A176D8"/>
    <w:rsid w:val="39A66CD4"/>
    <w:rsid w:val="39DF01FA"/>
    <w:rsid w:val="39DF4800"/>
    <w:rsid w:val="3A4C305D"/>
    <w:rsid w:val="3B9C7B37"/>
    <w:rsid w:val="3C0172B6"/>
    <w:rsid w:val="3C255FD9"/>
    <w:rsid w:val="3C3C3C95"/>
    <w:rsid w:val="3CD52CE1"/>
    <w:rsid w:val="3D5B52B6"/>
    <w:rsid w:val="3D981F93"/>
    <w:rsid w:val="3DCD4B9D"/>
    <w:rsid w:val="3E7E52EE"/>
    <w:rsid w:val="3E8779F2"/>
    <w:rsid w:val="3ED92BEC"/>
    <w:rsid w:val="3EE460A2"/>
    <w:rsid w:val="3EE662E5"/>
    <w:rsid w:val="3F0A2E4C"/>
    <w:rsid w:val="3FFB621F"/>
    <w:rsid w:val="410F2E6A"/>
    <w:rsid w:val="422B05A6"/>
    <w:rsid w:val="42E1312C"/>
    <w:rsid w:val="4430136C"/>
    <w:rsid w:val="44E51478"/>
    <w:rsid w:val="46422EF1"/>
    <w:rsid w:val="467C0B32"/>
    <w:rsid w:val="46F604E3"/>
    <w:rsid w:val="47031D57"/>
    <w:rsid w:val="48247DA4"/>
    <w:rsid w:val="48F73EC5"/>
    <w:rsid w:val="4A122BE8"/>
    <w:rsid w:val="4A800481"/>
    <w:rsid w:val="4AB0382B"/>
    <w:rsid w:val="4C7960B4"/>
    <w:rsid w:val="4D874091"/>
    <w:rsid w:val="4EBC5FB2"/>
    <w:rsid w:val="4EFD4D0D"/>
    <w:rsid w:val="500B28E1"/>
    <w:rsid w:val="5014373D"/>
    <w:rsid w:val="53630FA0"/>
    <w:rsid w:val="53CA39CC"/>
    <w:rsid w:val="53EC1B8C"/>
    <w:rsid w:val="540A0936"/>
    <w:rsid w:val="543F7E64"/>
    <w:rsid w:val="5476230A"/>
    <w:rsid w:val="54AC72B0"/>
    <w:rsid w:val="55B76230"/>
    <w:rsid w:val="55C13A49"/>
    <w:rsid w:val="55E87344"/>
    <w:rsid w:val="562B0974"/>
    <w:rsid w:val="569868B5"/>
    <w:rsid w:val="56D91910"/>
    <w:rsid w:val="57363B2C"/>
    <w:rsid w:val="58127DF0"/>
    <w:rsid w:val="58593F43"/>
    <w:rsid w:val="5B263AA3"/>
    <w:rsid w:val="5C6C2D9F"/>
    <w:rsid w:val="5F5270C3"/>
    <w:rsid w:val="5F93425F"/>
    <w:rsid w:val="5FE55405"/>
    <w:rsid w:val="606C496E"/>
    <w:rsid w:val="609F0454"/>
    <w:rsid w:val="610214C5"/>
    <w:rsid w:val="611F6817"/>
    <w:rsid w:val="63332414"/>
    <w:rsid w:val="641853C1"/>
    <w:rsid w:val="64B71CDD"/>
    <w:rsid w:val="652D4E25"/>
    <w:rsid w:val="65FF77BC"/>
    <w:rsid w:val="669642D9"/>
    <w:rsid w:val="669A7B53"/>
    <w:rsid w:val="66A94820"/>
    <w:rsid w:val="66CA1754"/>
    <w:rsid w:val="6752633D"/>
    <w:rsid w:val="683D7186"/>
    <w:rsid w:val="684A3B8E"/>
    <w:rsid w:val="68893693"/>
    <w:rsid w:val="6899047D"/>
    <w:rsid w:val="68D0211B"/>
    <w:rsid w:val="69F2323D"/>
    <w:rsid w:val="6B3B401C"/>
    <w:rsid w:val="6B9414EF"/>
    <w:rsid w:val="6BCF4F92"/>
    <w:rsid w:val="6C392CC4"/>
    <w:rsid w:val="6C8E4C25"/>
    <w:rsid w:val="6F0E7BA1"/>
    <w:rsid w:val="6F1E65D4"/>
    <w:rsid w:val="6F230AF1"/>
    <w:rsid w:val="6F266C86"/>
    <w:rsid w:val="6F5042C2"/>
    <w:rsid w:val="6F9D4525"/>
    <w:rsid w:val="705D3892"/>
    <w:rsid w:val="71EE30DD"/>
    <w:rsid w:val="729442DE"/>
    <w:rsid w:val="72EC1E22"/>
    <w:rsid w:val="733903AF"/>
    <w:rsid w:val="733B72AF"/>
    <w:rsid w:val="73D6533A"/>
    <w:rsid w:val="74316312"/>
    <w:rsid w:val="75D477FF"/>
    <w:rsid w:val="76172145"/>
    <w:rsid w:val="769A1C35"/>
    <w:rsid w:val="76E77969"/>
    <w:rsid w:val="77457761"/>
    <w:rsid w:val="77940DA1"/>
    <w:rsid w:val="77A131E5"/>
    <w:rsid w:val="780F13C8"/>
    <w:rsid w:val="782A34EC"/>
    <w:rsid w:val="78EE203C"/>
    <w:rsid w:val="794F2439"/>
    <w:rsid w:val="7964382F"/>
    <w:rsid w:val="79AA1A48"/>
    <w:rsid w:val="79EC158E"/>
    <w:rsid w:val="7A2A6BB4"/>
    <w:rsid w:val="7ADF2FE4"/>
    <w:rsid w:val="7C2A3E3C"/>
    <w:rsid w:val="7C385448"/>
    <w:rsid w:val="7C447E2A"/>
    <w:rsid w:val="7CB3663D"/>
    <w:rsid w:val="7DEF1A8B"/>
    <w:rsid w:val="7E551E92"/>
    <w:rsid w:val="7E6F3E6F"/>
    <w:rsid w:val="7EB251C3"/>
    <w:rsid w:val="7EDB48EB"/>
    <w:rsid w:val="7F12324E"/>
    <w:rsid w:val="7F6B423A"/>
    <w:rsid w:val="7F842ED7"/>
    <w:rsid w:val="7FD5178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274</Words>
  <Characters>1563</Characters>
  <Lines>13</Lines>
  <Paragraphs>3</Paragraphs>
  <TotalTime>1</TotalTime>
  <ScaleCrop>false</ScaleCrop>
  <LinksUpToDate>false</LinksUpToDate>
  <CharactersWithSpaces>1834</CharactersWithSpaces>
  <Application>WPS Office_11.1.0.10359_F1E327BC-269C-435d-A152-05C5408002CA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2016-12-19T07:34:00Z</dcterms:created>
  <dc:creator>juvg</dc:creator>
  <cp:lastModifiedBy>陌桑</cp:lastModifiedBy>
  <cp:lastPrinted>2021-04-30T05:56:06Z</cp:lastPrinted>
  <dcterms:modified xsi:type="dcterms:W3CDTF">2021-04-30T05:56:42Z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2052-11.1.0.10359</vt:lpwstr>
  </property>
  <property fmtid="{D5CDD505-2E9C-101B-9397-08002B2CF9AE}" pid="3" name="KSORubyTemplateID" linkTarget="0">
    <vt:lpwstr>6</vt:lpwstr>
  </property>
  <property fmtid="{D5CDD505-2E9C-101B-9397-08002B2CF9AE}" pid="4" name="ICV">
    <vt:lpwstr>6CBD60608D03497DB50BE362DD5B24AE</vt:lpwstr>
  </property>
</Properties>
</file>