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737672">
      <w:pPr>
        <w:snapToGrid w:val="0"/>
        <w:jc w:val="center"/>
        <w:rPr>
          <w:sz w:val="6"/>
          <w:szCs w:val="6"/>
        </w:rPr>
      </w:pPr>
    </w:p>
    <w:p w14:paraId="17965F1A">
      <w:pPr>
        <w:snapToGrid w:val="0"/>
        <w:jc w:val="center"/>
        <w:rPr>
          <w:sz w:val="6"/>
          <w:szCs w:val="6"/>
        </w:rPr>
      </w:pPr>
    </w:p>
    <w:p w14:paraId="0BE19ED2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5A0CF3D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E29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F47FE3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379CF5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0630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42CA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DC69E7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color w:val="222222"/>
                <w:sz w:val="18"/>
                <w:szCs w:val="18"/>
                <w:shd w:val="clear" w:color="auto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74BAFDD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630E8D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1729</w:t>
            </w:r>
          </w:p>
        </w:tc>
        <w:tc>
          <w:tcPr>
            <w:tcW w:w="1753" w:type="dxa"/>
            <w:vAlign w:val="center"/>
          </w:tcPr>
          <w:p w14:paraId="5A0C321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14628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3学分48学时</w:t>
            </w:r>
          </w:p>
        </w:tc>
      </w:tr>
      <w:tr w14:paraId="5B4E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45C6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AF692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叶萌</w:t>
            </w:r>
          </w:p>
        </w:tc>
        <w:tc>
          <w:tcPr>
            <w:tcW w:w="1314" w:type="dxa"/>
            <w:vAlign w:val="center"/>
          </w:tcPr>
          <w:p w14:paraId="4236E5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2E80A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16676</w:t>
            </w:r>
          </w:p>
        </w:tc>
        <w:tc>
          <w:tcPr>
            <w:tcW w:w="1753" w:type="dxa"/>
            <w:vAlign w:val="center"/>
          </w:tcPr>
          <w:p w14:paraId="09A34B6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1207D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550D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8121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4C34AF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电科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B24-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1823EF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DDE164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753" w:type="dxa"/>
            <w:vAlign w:val="center"/>
          </w:tcPr>
          <w:p w14:paraId="194D32E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7EC70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</w:tr>
      <w:tr w14:paraId="124F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843C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BF6602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线上答疑，云课班2755191；班级微信群：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  <w:t>电科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B24-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  <w:t>2，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3</w:t>
            </w:r>
          </w:p>
        </w:tc>
      </w:tr>
      <w:tr w14:paraId="2628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31B70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F61619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云班课2755191</w:t>
            </w:r>
          </w:p>
        </w:tc>
      </w:tr>
      <w:tr w14:paraId="6700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8D5C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FF4EA1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离散数学（第六版），耿素云等，清华大学出版社，2021年3月</w:t>
            </w:r>
          </w:p>
        </w:tc>
      </w:tr>
      <w:tr w14:paraId="5B95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75DDA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24CC6E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离散数学题解（第六版），耿素云等，清华大学出版社，2021年6月</w:t>
            </w:r>
          </w:p>
        </w:tc>
      </w:tr>
    </w:tbl>
    <w:p w14:paraId="2CD2FF93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F076A74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5BAA9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F3D4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04D5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B336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385B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B5D3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AF75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EE1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8ECE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AD15E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命题符号化及联结词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51325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  <w:bookmarkEnd w:id="0"/>
            <w:bookmarkEnd w:id="1"/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6B346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bookmarkStart w:id="2" w:name="OLE_LINK5"/>
            <w:bookmarkStart w:id="3" w:name="OLE_LINK6"/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  <w:bookmarkEnd w:id="2"/>
            <w:bookmarkEnd w:id="3"/>
          </w:p>
        </w:tc>
      </w:tr>
      <w:tr w14:paraId="1B7F4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6C0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B5CD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12B01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D7803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79AB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58BA3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DB8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7932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6794C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51589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282B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16DE9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E1F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52C3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6E3AA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66BC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7D2E8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3BDA4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2A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C7EB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A8F93">
            <w:pPr>
              <w:widowControl/>
              <w:textAlignment w:val="center"/>
              <w:rPr>
                <w:rFonts w:asciiTheme="minorEastAsia" w:hAnsiTheme="minorEastAsia" w:eastAsia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9628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09418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79898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0B5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9953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7EA83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E320E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A8EEA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 w14:paraId="5A894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99A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8B0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4A052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506B9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A8961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396BE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AC6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0A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D3C82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</w:t>
            </w:r>
          </w:p>
          <w:p w14:paraId="4C91E7FD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64DF3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ABEE1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0B6A3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1D0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00B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2A7E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7861DA0F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2AA81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47DDC">
            <w:pPr>
              <w:widowControl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5A27B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4889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F3D8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65B2B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第四章二元关系与函数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8026D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3F958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6A75E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7D54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B493B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677D4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633F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B00D3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166D2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B730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A3D53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81174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53CCB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9F0AB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3AF4C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04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1DA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51739">
            <w:pP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图的矩阵表示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AC4C9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611D9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bookmarkStart w:id="4" w:name="OLE_LINK7"/>
            <w:bookmarkStart w:id="5" w:name="OLE_LINK8"/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  <w:bookmarkEnd w:id="4"/>
            <w:bookmarkEnd w:id="5"/>
          </w:p>
        </w:tc>
      </w:tr>
      <w:tr w14:paraId="2C9BD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EC1B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C10E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EB5A3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FDF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99407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6172E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4AC1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C0A6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4C2B6">
            <w:pP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840D6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DCE9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 w14:paraId="40A67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557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528D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332B6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4AE8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30FB0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7339B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6C9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5A4D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E3B77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6.2欧拉图6.3哈密顿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2748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A3846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6FC50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D88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AEFC4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6A26C">
            <w:pPr>
              <w:widowControl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E5CD1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BB11B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14:paraId="05A88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91EE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74C6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89303">
            <w:pPr>
              <w:widowControl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396BC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BC68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14:paraId="362A5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7F3D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2CE3D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D5BF3">
            <w:pPr>
              <w:widowControl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EF052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7A73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14:paraId="67886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149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DC0AA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74220">
            <w:pPr>
              <w:widowControl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80339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FBC6D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14:paraId="05EF8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C33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6CB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54377">
            <w:pPr>
              <w:widowControl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2F485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C5847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7C7EF74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581C9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0D6CC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E612D6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6508175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9123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4" w:hRule="atLeast"/>
        </w:trPr>
        <w:tc>
          <w:tcPr>
            <w:tcW w:w="1809" w:type="dxa"/>
            <w:shd w:val="clear" w:color="auto" w:fill="auto"/>
            <w:vAlign w:val="center"/>
          </w:tcPr>
          <w:p w14:paraId="3B2CAE4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</w:tcPr>
          <w:p w14:paraId="2DFB1618">
            <w:pPr>
              <w:autoSpaceDN w:val="0"/>
              <w:snapToGrid w:val="0"/>
              <w:spacing w:before="12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</w:tcPr>
          <w:p w14:paraId="09EE4538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7FF22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82134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</w:tcPr>
          <w:p w14:paraId="3845C377">
            <w:pPr>
              <w:autoSpaceDN w:val="0"/>
              <w:snapToGrid w:val="0"/>
              <w:spacing w:before="12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</w:tcPr>
          <w:p w14:paraId="32941086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70134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0F4735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</w:tcPr>
          <w:p w14:paraId="6DFA1881">
            <w:pPr>
              <w:snapToGrid w:val="0"/>
              <w:spacing w:beforeLines="5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</w:tcPr>
          <w:p w14:paraId="3E9C1112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14EE6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shd w:val="clear" w:color="auto" w:fill="auto"/>
            <w:vAlign w:val="center"/>
          </w:tcPr>
          <w:p w14:paraId="706FC46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</w:tcPr>
          <w:p w14:paraId="08676033">
            <w:pPr>
              <w:snapToGrid w:val="0"/>
              <w:spacing w:beforeLines="50" w:afterLines="50"/>
              <w:rPr>
                <w:rFonts w:asci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</w:tcPr>
          <w:p w14:paraId="654467BE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3EE02592">
      <w:pPr>
        <w:tabs>
          <w:tab w:val="left" w:pos="3210"/>
          <w:tab w:val="left" w:pos="7560"/>
        </w:tabs>
        <w:spacing w:beforeLines="20" w:line="480" w:lineRule="auto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叶萌（签名）      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bookmarkStart w:id="6" w:name="_GoBack"/>
      <w:bookmarkEnd w:id="6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2025/9/25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1EF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C86D409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C8C2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837B6A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58640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3C637B35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EBDAA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FlMWZkMjU4MzYyNjQwN2Y3OWNmOGIzMDRjNzYyY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2BAA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B92"/>
    <w:rsid w:val="001E3DBD"/>
    <w:rsid w:val="001E3F99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277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468C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DE6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5DF8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08A2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90F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2559"/>
    <w:rsid w:val="00B751A9"/>
    <w:rsid w:val="00B7624C"/>
    <w:rsid w:val="00B767B7"/>
    <w:rsid w:val="00B861B2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F24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3E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799A"/>
    <w:rsid w:val="00E92914"/>
    <w:rsid w:val="00E939F9"/>
    <w:rsid w:val="00E9734C"/>
    <w:rsid w:val="00EA36A4"/>
    <w:rsid w:val="00EA5341"/>
    <w:rsid w:val="00EA54AF"/>
    <w:rsid w:val="00EA63FD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07E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F72049"/>
    <w:rsid w:val="199D2E85"/>
    <w:rsid w:val="1B9B294B"/>
    <w:rsid w:val="28C37F34"/>
    <w:rsid w:val="2A694E2B"/>
    <w:rsid w:val="2E59298A"/>
    <w:rsid w:val="30E97669"/>
    <w:rsid w:val="37E50B00"/>
    <w:rsid w:val="3B3979A9"/>
    <w:rsid w:val="49DF08B3"/>
    <w:rsid w:val="65310993"/>
    <w:rsid w:val="67773A6F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685</Words>
  <Characters>851</Characters>
  <Lines>8</Lines>
  <Paragraphs>2</Paragraphs>
  <TotalTime>0</TotalTime>
  <ScaleCrop>false</ScaleCrop>
  <LinksUpToDate>false</LinksUpToDate>
  <CharactersWithSpaces>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2026-03-16T04:34:44Z</dcterms:modified>
  <dc:title>上海建桥学院教学进度计划表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E1649A3CFF3D4FCA966ADDBD269BD4D6_12</vt:lpwstr>
  </property>
</Properties>
</file>