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0382C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《教育哲学》课程教学大纲</w:t>
      </w:r>
    </w:p>
    <w:p w14:paraId="22C7D3B7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A03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711E44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46E641C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bookmarkStart w:id="0" w:name="_Toc25224958"/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教育哲学</w:t>
            </w:r>
            <w:bookmarkEnd w:id="0"/>
          </w:p>
        </w:tc>
      </w:tr>
      <w:tr w14:paraId="5AA3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E7305A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DAD40FE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Philosophy of Education</w:t>
            </w:r>
          </w:p>
        </w:tc>
      </w:tr>
      <w:tr w14:paraId="26AD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31029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73C377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"https://jwxt.gench.edu.cn/eams/syllabusTeacher.action" \t "https://jwxt.gench.edu.cn/eams/_blank" </w:instrText>
            </w:r>
            <w:r>
              <w:fldChar w:fldCharType="separate"/>
            </w: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13000</w:t>
            </w: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14:paraId="4C27977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5EA4031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37F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52466D0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089160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61EC39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5414DEB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75570BB5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76908B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540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58A27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45D05F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3FB9EB8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A8D9958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学前教育专业大二年级</w:t>
            </w:r>
          </w:p>
        </w:tc>
      </w:tr>
      <w:tr w14:paraId="22BC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E9734A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9CBB46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专业基础选修课</w:t>
            </w:r>
          </w:p>
        </w:tc>
        <w:tc>
          <w:tcPr>
            <w:tcW w:w="2126" w:type="dxa"/>
            <w:gridSpan w:val="2"/>
            <w:vAlign w:val="center"/>
          </w:tcPr>
          <w:p w14:paraId="06D47CB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0C0E27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1754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BEB2A8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7CA287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《教育哲学》，《教育哲学》编写组，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ISBN：</w:t>
            </w:r>
            <w:r>
              <w:rPr>
                <w:color w:val="000000"/>
                <w:sz w:val="21"/>
                <w:szCs w:val="21"/>
              </w:rPr>
              <w:t>9787040511123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</w:rPr>
              <w:t>高等教育出版社，第1版。</w:t>
            </w:r>
          </w:p>
        </w:tc>
        <w:tc>
          <w:tcPr>
            <w:tcW w:w="1413" w:type="dxa"/>
            <w:gridSpan w:val="2"/>
            <w:vAlign w:val="center"/>
          </w:tcPr>
          <w:p w14:paraId="217F77B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2212FC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E31CB6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E185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2672A3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ACC63AA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中外教育史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1300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1（2） </w:t>
            </w:r>
          </w:p>
        </w:tc>
      </w:tr>
      <w:tr w14:paraId="2E71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65FB0F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35490CC">
            <w:pPr>
              <w:widowControl/>
              <w:shd w:val="clear" w:color="auto" w:fill="FFFFFF"/>
              <w:ind w:firstLine="420" w:firstLineChars="20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教育哲学》课程是师范生教师教育课程之一，也是学前教育专业学生的专业基础选修课程之一。教育哲学乃是对教育的基本问题进行哲学思考和探寻。本课程着眼于教育哲学思考能力的培养，从日常所及的教育问题出发，对问题情景进行解读、分析，深入浅出地阐释教育的目的、过程、方法的基本原理。本课程力求在梳理我们关于教育基本理念的同时，唤起我们对于日常教育问题的教育哲学思考的敏感性，</w:t>
            </w:r>
            <w:r>
              <w:rPr>
                <w:color w:val="000000"/>
                <w:sz w:val="21"/>
                <w:szCs w:val="21"/>
              </w:rPr>
              <w:t>形成初步的、带有哲学境界的教育心智，知道人</w:t>
            </w:r>
            <w:r>
              <w:rPr>
                <w:rFonts w:hint="eastAsia"/>
                <w:color w:val="000000"/>
                <w:sz w:val="21"/>
                <w:szCs w:val="21"/>
              </w:rPr>
              <w:t>是追寻意义的存在，人活着</w:t>
            </w:r>
            <w:r>
              <w:rPr>
                <w:color w:val="000000"/>
                <w:sz w:val="21"/>
                <w:szCs w:val="21"/>
              </w:rPr>
              <w:t>在于过</w:t>
            </w:r>
            <w:r>
              <w:rPr>
                <w:rFonts w:hint="eastAsia"/>
                <w:color w:val="000000"/>
                <w:sz w:val="21"/>
                <w:szCs w:val="21"/>
              </w:rPr>
              <w:t>有意义</w:t>
            </w:r>
            <w:r>
              <w:rPr>
                <w:color w:val="000000"/>
                <w:sz w:val="21"/>
                <w:szCs w:val="21"/>
              </w:rPr>
              <w:t>的生活，而“一个未经省察的生活是不值得人过的生活”。</w:t>
            </w:r>
          </w:p>
          <w:p w14:paraId="60155BDB">
            <w:pPr>
              <w:widowControl/>
              <w:shd w:val="clear" w:color="auto" w:fill="FFFFFF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本课程的主要内容包括教育哲学导论、教育目的论、教育过程论、教育方法论等内容。</w:t>
            </w:r>
          </w:p>
        </w:tc>
      </w:tr>
      <w:tr w14:paraId="4663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58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0303CE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59C4082">
            <w:pPr>
              <w:widowControl/>
              <w:shd w:val="clear" w:color="auto" w:fill="FFFFFF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该课程是学前教育专业大二年级的课程。学生应具有一定的文献阅读能力、反思能力和自主学习能力。</w:t>
            </w:r>
            <w:r>
              <w:rPr>
                <w:rFonts w:ascii="黑体" w:eastAsia="黑体"/>
              </w:rPr>
              <w:br w:type="page"/>
            </w:r>
          </w:p>
        </w:tc>
      </w:tr>
      <w:tr w14:paraId="7691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7163CC7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CA920D2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drawing>
                <wp:inline distT="0" distB="0" distL="0" distR="0">
                  <wp:extent cx="520065" cy="257175"/>
                  <wp:effectExtent l="0" t="0" r="0" b="9525"/>
                  <wp:docPr id="19551503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1503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30000" detail="2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00" t="43410" r="30255" b="41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749" cy="289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F5CD55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771DF5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2025.2 </w:t>
            </w:r>
          </w:p>
        </w:tc>
      </w:tr>
      <w:tr w14:paraId="5D44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AE2706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BFE34F3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451485" cy="210820"/>
                  <wp:effectExtent l="0" t="0" r="5715" b="0"/>
                  <wp:docPr id="9976040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60401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917" cy="21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0241FD7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8A6422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2025.2</w:t>
            </w:r>
          </w:p>
        </w:tc>
      </w:tr>
      <w:tr w14:paraId="6DC9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4EB47D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12EE887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F9B6772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DC698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6C14C89A">
      <w:pPr>
        <w:spacing w:line="100" w:lineRule="exact"/>
        <w:rPr>
          <w:rFonts w:ascii="Arial" w:hAnsi="Arial" w:eastAsia="黑体"/>
        </w:rPr>
      </w:pPr>
      <w:r>
        <w:br w:type="page"/>
      </w:r>
    </w:p>
    <w:p w14:paraId="7460B04E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C58A3FC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7B9E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2F97D9EF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F906210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110F0184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61981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21DA9B4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70409A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</w:tcPr>
          <w:p w14:paraId="00F2118D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从哲学角度看到教育、教师工作的意义和价值。</w:t>
            </w:r>
          </w:p>
        </w:tc>
      </w:tr>
      <w:tr w14:paraId="12202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1D906EF">
            <w:pPr>
              <w:pStyle w:val="15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DEBB44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766EC247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明白教育目的、教育过程、教育方法的本质。</w:t>
            </w:r>
          </w:p>
        </w:tc>
      </w:tr>
      <w:tr w14:paraId="1A249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764B047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6F69A0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D7FC7E6">
            <w:pPr>
              <w:rPr>
                <w:rFonts w:hint="eastAsia"/>
                <w:bCs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学习对身边的教育现象提出自己的思考和疑问；主动去查阅资料，尝试解决问题。</w:t>
            </w:r>
          </w:p>
        </w:tc>
      </w:tr>
      <w:tr w14:paraId="45C94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3A33A7F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AC0501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ECDE25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B701457">
            <w:pPr>
              <w:rPr>
                <w:rFonts w:hint="eastAsia"/>
                <w:bCs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尊重幼儿认识成长和道德成长的规律，以此选择合适的教育；形成幼儿为本和爱与自由理念。</w:t>
            </w:r>
          </w:p>
        </w:tc>
      </w:tr>
    </w:tbl>
    <w:p w14:paraId="49781F3B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5F9CB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931107E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XQ02：教育情怀</w:t>
            </w:r>
          </w:p>
          <w:p w14:paraId="1D299743">
            <w:pPr>
              <w:widowControl w:val="0"/>
              <w:tabs>
                <w:tab w:val="left" w:pos="4200"/>
              </w:tabs>
              <w:adjustRightInd w:val="0"/>
              <w:snapToGrid w:val="0"/>
              <w:spacing w:line="440" w:lineRule="exact"/>
              <w:ind w:firstLine="240" w:firstLineChars="100"/>
              <w:contextualSpacing/>
              <w:jc w:val="both"/>
              <w:outlineLvl w:val="1"/>
              <w:rPr>
                <w:rFonts w:hint="eastAsia"/>
                <w:bCs/>
              </w:rPr>
            </w:pPr>
            <w:r>
              <w:rPr>
                <w:color w:val="000000"/>
              </w:rPr>
              <w:t>②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具有人文底蕴、生命关怀和科学精神，践行幼儿为本和爱与自由理念，做幼儿健康成长的启蒙者和引路人。</w:t>
            </w:r>
          </w:p>
        </w:tc>
      </w:tr>
      <w:tr w14:paraId="25022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6927AE3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XQ</w:t>
            </w:r>
            <w:r>
              <w:rPr>
                <w:b/>
              </w:rPr>
              <w:t>O3</w:t>
            </w:r>
            <w:r>
              <w:rPr>
                <w:rFonts w:hint="eastAsia"/>
                <w:b/>
              </w:rPr>
              <w:t>：保教知识</w:t>
            </w:r>
          </w:p>
          <w:p w14:paraId="63468FA9">
            <w:pPr>
              <w:widowControl w:val="0"/>
              <w:tabs>
                <w:tab w:val="left" w:pos="4200"/>
              </w:tabs>
              <w:spacing w:line="360" w:lineRule="auto"/>
              <w:ind w:firstLine="240" w:firstLineChars="100"/>
              <w:jc w:val="both"/>
              <w:rPr>
                <w:rFonts w:hint="eastAsia"/>
                <w:b/>
                <w:sz w:val="20"/>
                <w:szCs w:val="18"/>
              </w:rPr>
            </w:pPr>
            <w:r>
              <w:rPr>
                <w:color w:val="000000"/>
              </w:rPr>
              <w:t>③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掌握幼儿园保育和教育的基本知识和方法，主动尝试领域渗透与知识整合，综合领会和形成专业知识结构。</w:t>
            </w:r>
          </w:p>
        </w:tc>
      </w:tr>
      <w:tr w14:paraId="2B2A7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D1D7928">
            <w:pPr>
              <w:widowControl w:val="0"/>
              <w:tabs>
                <w:tab w:val="left" w:pos="4200"/>
              </w:tabs>
              <w:adjustRightInd w:val="0"/>
              <w:snapToGrid w:val="0"/>
              <w:spacing w:line="440" w:lineRule="exact"/>
              <w:jc w:val="both"/>
              <w:outlineLvl w:val="1"/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XQ</w:t>
            </w:r>
            <w:r>
              <w:rPr>
                <w:rFonts w:hAnsi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hAnsi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7：学会反思 </w:t>
            </w:r>
          </w:p>
          <w:p w14:paraId="351614D8">
            <w:pPr>
              <w:widowControl w:val="0"/>
              <w:spacing w:line="440" w:lineRule="exact"/>
              <w:ind w:firstLine="240" w:firstLineChars="100"/>
              <w:jc w:val="both"/>
              <w:rPr>
                <w:rFonts w:hint="eastAsia"/>
                <w:bCs/>
              </w:rPr>
            </w:pPr>
            <w:r>
              <w:rPr>
                <w:color w:val="000000"/>
              </w:rPr>
              <w:t>③</w:t>
            </w:r>
            <w:r>
              <w:rPr>
                <w:rFonts w:hint="eastAsia"/>
                <w:color w:val="000000"/>
                <w:sz w:val="20"/>
                <w:szCs w:val="20"/>
              </w:rPr>
              <w:t>发展反思与创新的意识与能力，综合运用批判性思维，突破传统思维，解放思想与大脑，创造性地解决学习、研究与创新创业实践中遇到的问题。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</w:tr>
    </w:tbl>
    <w:p w14:paraId="2C426224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506D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9BBC5D0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3A0820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FA8E24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4CFD2C7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7A06C7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0FDE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BD5BFD0">
            <w:pPr>
              <w:pStyle w:val="15"/>
              <w:jc w:val="left"/>
            </w:pPr>
            <w:r>
              <w:rPr>
                <w:rFonts w:hint="eastAsia" w:ascii="宋体" w:hAnsi="宋体"/>
                <w:b/>
                <w:sz w:val="20"/>
                <w:szCs w:val="18"/>
              </w:rPr>
              <w:t xml:space="preserve">XQO2 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722C3E4A">
            <w:pPr>
              <w:pStyle w:val="15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2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65E91C6">
            <w:pPr>
              <w:pStyle w:val="1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51" w:type="dxa"/>
          </w:tcPr>
          <w:p w14:paraId="150B1A32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尊重幼儿认识成长和道德成长的规律，以此选择合适的教育；形成幼儿为本和爱与自由理念。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5F8ABA8">
            <w:pPr>
              <w:pStyle w:val="15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hint="eastAsia" w:ascii="宋体" w:hAnsi="宋体"/>
                <w:bCs/>
              </w:rPr>
              <w:t>%</w:t>
            </w:r>
          </w:p>
        </w:tc>
      </w:tr>
      <w:tr w14:paraId="5287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8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6624A94">
            <w:pPr>
              <w:pStyle w:val="15"/>
              <w:jc w:val="left"/>
              <w:rPr>
                <w:b/>
              </w:rPr>
            </w:pPr>
            <w:r>
              <w:rPr>
                <w:rFonts w:hint="eastAsia" w:ascii="宋体" w:hAnsi="宋体"/>
                <w:b/>
                <w:sz w:val="20"/>
                <w:szCs w:val="18"/>
              </w:rPr>
              <w:t xml:space="preserve">XQ03  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43D3FC7D">
            <w:pPr>
              <w:pStyle w:val="15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68A1064">
            <w:pPr>
              <w:pStyle w:val="1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 w14:paraId="69A3A305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明白教育目的、教育过程、教育方法的本质。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5B1D6B9">
            <w:pPr>
              <w:pStyle w:val="15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hint="eastAsia" w:ascii="宋体" w:hAnsi="宋体"/>
                <w:bCs/>
              </w:rPr>
              <w:t>%</w:t>
            </w:r>
          </w:p>
        </w:tc>
      </w:tr>
      <w:tr w14:paraId="79B0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8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1CE0102">
            <w:pPr>
              <w:pStyle w:val="15"/>
              <w:jc w:val="left"/>
              <w:rPr>
                <w:rFonts w:hint="eastAsia" w:ascii="宋体" w:hAnsi="宋体"/>
                <w:b/>
                <w:sz w:val="20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07099062">
            <w:pPr>
              <w:pStyle w:val="15"/>
              <w:rPr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4F4AD63">
            <w:pPr>
              <w:pStyle w:val="15"/>
              <w:rPr>
                <w:rFonts w:hint="eastAsia" w:ascii="宋体" w:hAnsi="宋体"/>
              </w:rPr>
            </w:pPr>
          </w:p>
        </w:tc>
        <w:tc>
          <w:tcPr>
            <w:tcW w:w="4651" w:type="dxa"/>
            <w:vAlign w:val="center"/>
          </w:tcPr>
          <w:p w14:paraId="09AC61C5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从哲学角度看到教师、教育工作的意义和价值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52F7BE3">
            <w:pPr>
              <w:pStyle w:val="15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hint="eastAsia" w:ascii="宋体" w:hAnsi="宋体"/>
                <w:bCs/>
              </w:rPr>
              <w:t>%</w:t>
            </w:r>
          </w:p>
        </w:tc>
      </w:tr>
      <w:tr w14:paraId="02F6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AB47A2E">
            <w:pPr>
              <w:pStyle w:val="15"/>
              <w:jc w:val="left"/>
              <w:rPr>
                <w:b/>
              </w:rPr>
            </w:pPr>
            <w:r>
              <w:rPr>
                <w:rFonts w:hint="eastAsia" w:ascii="宋体" w:hAnsi="宋体"/>
                <w:b/>
                <w:sz w:val="20"/>
                <w:szCs w:val="18"/>
              </w:rPr>
              <w:t xml:space="preserve">XQO7  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48BFDE59">
            <w:pPr>
              <w:pStyle w:val="15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3C1D98C">
            <w:pPr>
              <w:pStyle w:val="1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 w14:paraId="3EC381D6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学习对身边的教育现象提出自己的思考和疑问；主动去查阅资料，尝试解决问题。 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D58CE80">
            <w:pPr>
              <w:pStyle w:val="15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hint="eastAsia" w:ascii="宋体" w:hAnsi="宋体"/>
                <w:bCs/>
              </w:rPr>
              <w:t>%</w:t>
            </w:r>
          </w:p>
        </w:tc>
      </w:tr>
    </w:tbl>
    <w:p w14:paraId="556EB88F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3AB37D8">
      <w:pPr>
        <w:pStyle w:val="18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7"/>
        <w:tblW w:w="8617" w:type="dxa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3969"/>
        <w:gridCol w:w="3362"/>
      </w:tblGrid>
      <w:tr w14:paraId="7E34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</w:tcPr>
          <w:p w14:paraId="5CA355DB">
            <w:pPr>
              <w:autoSpaceDE w:val="0"/>
              <w:autoSpaceDN w:val="0"/>
              <w:adjustRightInd w:val="0"/>
              <w:spacing w:line="360" w:lineRule="exact"/>
              <w:rPr>
                <w:rFonts w:ascii="黑体" w:hAnsi="Times New Roman" w:eastAsia="黑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Times New Roman" w:eastAsia="黑体"/>
                <w:b/>
                <w:bCs/>
                <w:szCs w:val="21"/>
                <w:lang w:val="zh-CN"/>
              </w:rPr>
              <w:t>单元</w:t>
            </w:r>
          </w:p>
        </w:tc>
        <w:tc>
          <w:tcPr>
            <w:tcW w:w="3969" w:type="dxa"/>
            <w:vAlign w:val="center"/>
          </w:tcPr>
          <w:p w14:paraId="06E527A2">
            <w:pPr>
              <w:autoSpaceDE w:val="0"/>
              <w:autoSpaceDN w:val="0"/>
              <w:adjustRightInd w:val="0"/>
              <w:spacing w:line="360" w:lineRule="exact"/>
              <w:ind w:left="350" w:leftChars="146" w:firstLine="482" w:firstLineChars="200"/>
              <w:rPr>
                <w:rFonts w:ascii="黑体" w:hAnsi="Times New Roman" w:eastAsia="黑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Times New Roman" w:eastAsia="黑体"/>
                <w:b/>
                <w:bCs/>
                <w:szCs w:val="21"/>
                <w:lang w:val="zh-CN"/>
              </w:rPr>
              <w:t>预期学习成果</w:t>
            </w:r>
          </w:p>
        </w:tc>
        <w:tc>
          <w:tcPr>
            <w:tcW w:w="3362" w:type="dxa"/>
            <w:vAlign w:val="center"/>
          </w:tcPr>
          <w:p w14:paraId="7A42BD00">
            <w:pPr>
              <w:autoSpaceDE w:val="0"/>
              <w:autoSpaceDN w:val="0"/>
              <w:adjustRightInd w:val="0"/>
              <w:spacing w:line="360" w:lineRule="exact"/>
              <w:ind w:firstLine="1205" w:firstLineChars="500"/>
              <w:rPr>
                <w:rFonts w:ascii="黑体" w:hAnsi="Times New Roman" w:eastAsia="黑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Times New Roman" w:eastAsia="黑体"/>
                <w:b/>
                <w:bCs/>
                <w:szCs w:val="21"/>
                <w:lang w:val="zh-CN"/>
              </w:rPr>
              <w:t>教学内容</w:t>
            </w:r>
          </w:p>
        </w:tc>
      </w:tr>
      <w:tr w14:paraId="75B8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center"/>
          </w:tcPr>
          <w:p w14:paraId="5B5D0CC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第一单元</w:t>
            </w:r>
          </w:p>
          <w:p w14:paraId="16B941B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教育哲学导论 </w:t>
            </w:r>
          </w:p>
        </w:tc>
        <w:tc>
          <w:tcPr>
            <w:tcW w:w="3969" w:type="dxa"/>
            <w:vAlign w:val="center"/>
          </w:tcPr>
          <w:p w14:paraId="6901C430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075990A1">
            <w:pPr>
              <w:snapToGrid w:val="0"/>
              <w:spacing w:line="288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1.知道《教育哲学》课程的目标、内容、上课方式和评价方式，热爱教育哲学，善于反思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 w14:paraId="6DF8D6AF">
            <w:pP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2.了解教育哲学的内涵，明白教育哲学的宗旨</w:t>
            </w:r>
            <w:r>
              <w:rPr>
                <w:rFonts w:hint="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/>
                <w:color w:val="000000"/>
                <w:sz w:val="21"/>
                <w:szCs w:val="21"/>
              </w:rPr>
              <w:t>追寻有意义的生活，探寻有意义的教育，以至于人性的完善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5ABED37F">
            <w:pPr>
              <w:widowControl w:val="0"/>
              <w:tabs>
                <w:tab w:val="left" w:pos="312"/>
              </w:tabs>
              <w:jc w:val="both"/>
              <w:rPr>
                <w:rFonts w:hint="eastAsia" w:eastAsia="宋体"/>
                <w:b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了解古今中外主要的教育哲学流派，如儒家、道家、佛家；进步主义、永恒主义、要素主义、</w:t>
            </w:r>
            <w:r>
              <w:rPr>
                <w:sz w:val="21"/>
                <w:szCs w:val="21"/>
              </w:rPr>
              <w:t>存在主义等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362" w:type="dxa"/>
          </w:tcPr>
          <w:p w14:paraId="5AD56F3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教育哲学的内涵和历史发展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 w14:paraId="01A33B9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古今中外主要的教育哲学流派，如儒家、道家、佛家；进步主义、永恒主义、要素主义、</w:t>
            </w:r>
            <w:r>
              <w:rPr>
                <w:sz w:val="21"/>
                <w:szCs w:val="21"/>
              </w:rPr>
              <w:t>存在主义等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14:paraId="1C1583CE">
            <w:pPr>
              <w:snapToGrid w:val="0"/>
              <w:spacing w:line="288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sz w:val="21"/>
                <w:szCs w:val="21"/>
              </w:rPr>
              <w:t>教育哲学的宗旨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</w:rPr>
              <w:t>追寻有意义的生活，探寻有意义的教育，以至于人性的完善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</w:p>
          <w:p w14:paraId="2A8E3061">
            <w:pPr>
              <w:pStyle w:val="16"/>
              <w:snapToGrid w:val="0"/>
              <w:spacing w:line="288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  <w:tr w14:paraId="2B6D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center"/>
          </w:tcPr>
          <w:p w14:paraId="118357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第二单元</w:t>
            </w:r>
          </w:p>
          <w:p w14:paraId="503D40AE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教育目的论 </w:t>
            </w:r>
          </w:p>
        </w:tc>
        <w:tc>
          <w:tcPr>
            <w:tcW w:w="3969" w:type="dxa"/>
            <w:vAlign w:val="center"/>
          </w:tcPr>
          <w:p w14:paraId="69CA842F">
            <w:pP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1.理解教育目的与人性论、价值论的关系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074CAFEB">
            <w:pPr>
              <w:widowControl w:val="0"/>
              <w:jc w:val="both"/>
              <w:rPr>
                <w:rFonts w:hint="eastAsia" w:eastAsia="宋体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2.明白教育的灵魂是唤起美好事物的欲求，培养健全的、智慧的人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362" w:type="dxa"/>
          </w:tcPr>
          <w:p w14:paraId="46EC670D">
            <w:pPr>
              <w:widowControl w:val="0"/>
              <w:jc w:val="both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color w:val="000000"/>
                <w:sz w:val="21"/>
                <w:szCs w:val="21"/>
              </w:rPr>
              <w:t>教育的目的是唤醒人对美好事物的追求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5177699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z w:val="21"/>
                <w:szCs w:val="21"/>
              </w:rPr>
              <w:t>成长为人：学会活在他人之中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6561BB1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z w:val="21"/>
                <w:szCs w:val="21"/>
              </w:rPr>
              <w:t>培育智慧的个体于爱的背景之中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5AA329BE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/>
                <w:color w:val="000000"/>
                <w:sz w:val="21"/>
                <w:szCs w:val="21"/>
              </w:rPr>
              <w:t>个体发展的基本阶段、审美教育与教育之美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45C7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286" w:type="dxa"/>
            <w:vAlign w:val="center"/>
          </w:tcPr>
          <w:p w14:paraId="54908CC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第三单元</w:t>
            </w:r>
          </w:p>
          <w:p w14:paraId="3C01E0BB"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教育过程论 </w:t>
            </w:r>
          </w:p>
        </w:tc>
        <w:tc>
          <w:tcPr>
            <w:tcW w:w="3969" w:type="dxa"/>
            <w:vAlign w:val="center"/>
          </w:tcPr>
          <w:p w14:paraId="6AC38A2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理解儿童的特点，儿童认识世界的方式、儿童道德成长的特点，儿童的创造性，要</w:t>
            </w:r>
            <w:r>
              <w:rPr>
                <w:rFonts w:hint="eastAsia"/>
                <w:color w:val="000000"/>
                <w:sz w:val="21"/>
                <w:szCs w:val="21"/>
              </w:rPr>
              <w:t>以儿童观儿童，保卫童年与保护童心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  <w:p w14:paraId="21740C9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明白个体成长是</w:t>
            </w:r>
            <w:r>
              <w:rPr>
                <w:rFonts w:hint="eastAsia"/>
                <w:color w:val="000000"/>
                <w:sz w:val="21"/>
                <w:szCs w:val="21"/>
              </w:rPr>
              <w:t>走向爱与智慧的融合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61EC5A69">
            <w:pPr>
              <w:pStyle w:val="16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sz w:val="21"/>
                <w:szCs w:val="21"/>
              </w:rPr>
              <w:t>知道与儿童特点相适应的教育过程实质是</w:t>
            </w:r>
            <w:r>
              <w:rPr>
                <w:rFonts w:hint="eastAsia"/>
                <w:color w:val="000000"/>
                <w:sz w:val="21"/>
                <w:szCs w:val="21"/>
              </w:rPr>
              <w:t>走向个体生命的自我觉醒，教育本身是作为灵魂转向的技艺。</w:t>
            </w:r>
          </w:p>
        </w:tc>
        <w:tc>
          <w:tcPr>
            <w:tcW w:w="3362" w:type="dxa"/>
          </w:tcPr>
          <w:p w14:paraId="46626F7A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.走向个体生命的自我觉醒</w:t>
            </w:r>
            <w:r>
              <w:rPr>
                <w:rFonts w:hint="eastAsia"/>
                <w:color w:val="000000"/>
                <w:sz w:val="21"/>
                <w:szCs w:val="21"/>
              </w:rPr>
              <w:t>，</w:t>
            </w:r>
            <w:r>
              <w:rPr>
                <w:color w:val="000000"/>
                <w:sz w:val="21"/>
                <w:szCs w:val="21"/>
              </w:rPr>
              <w:t>教育作为灵魂转向的技艺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5BCB4BDB">
            <w:pPr>
              <w:pStyle w:val="16"/>
              <w:widowControl w:val="0"/>
              <w:tabs>
                <w:tab w:val="left" w:pos="312"/>
              </w:tabs>
              <w:ind w:firstLine="0" w:firstLineChars="0"/>
              <w:jc w:val="both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.个体成长：走向爱与智慧的融合</w:t>
            </w:r>
            <w:r>
              <w:rPr>
                <w:rFonts w:hint="eastAsia"/>
                <w:color w:val="000000"/>
                <w:sz w:val="21"/>
                <w:szCs w:val="21"/>
              </w:rPr>
              <w:t>，</w:t>
            </w:r>
            <w:r>
              <w:rPr>
                <w:color w:val="000000"/>
                <w:sz w:val="21"/>
                <w:szCs w:val="21"/>
              </w:rPr>
              <w:t>教育的过程：富于爱心的交往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3E03989B">
            <w:pPr>
              <w:widowControl w:val="0"/>
              <w:tabs>
                <w:tab w:val="left" w:pos="312"/>
              </w:tabs>
              <w:jc w:val="both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>.教育之爱：成全学生自我发展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36F22C76">
            <w:pPr>
              <w:widowControl w:val="0"/>
              <w:snapToGrid w:val="0"/>
              <w:spacing w:line="288" w:lineRule="auto"/>
              <w:jc w:val="both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  <w:r>
              <w:rPr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color w:val="000000"/>
                <w:sz w:val="21"/>
                <w:szCs w:val="21"/>
              </w:rPr>
              <w:t>教育是农业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006F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286" w:type="dxa"/>
            <w:vAlign w:val="center"/>
          </w:tcPr>
          <w:p w14:paraId="63B096CF"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第四单元</w:t>
            </w:r>
          </w:p>
          <w:p w14:paraId="3ACA8879"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教育方法论</w:t>
            </w:r>
          </w:p>
          <w:p w14:paraId="1533071B"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</w:tcPr>
          <w:p w14:paraId="26272E7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9E6873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sz w:val="21"/>
                <w:szCs w:val="21"/>
              </w:rPr>
              <w:t>知道知识</w:t>
            </w:r>
            <w:r>
              <w:rPr>
                <w:rFonts w:hint="eastAsia"/>
                <w:sz w:val="21"/>
                <w:szCs w:val="21"/>
              </w:rPr>
              <w:t>、学习的本质，学习和教育的关系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 w14:paraId="7A423D5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探讨爱，发展，兴趣与学习的关系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 w14:paraId="59AC4BE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sz w:val="21"/>
                <w:szCs w:val="21"/>
              </w:rPr>
              <w:t>体会爱</w:t>
            </w:r>
            <w:r>
              <w:rPr>
                <w:rFonts w:hint="eastAsia"/>
                <w:color w:val="000000"/>
                <w:sz w:val="21"/>
                <w:szCs w:val="21"/>
              </w:rPr>
              <w:t>是最好的教育，兴趣是最好的老师，学习在教学过程中注重提升兴趣和培育学习之爱，激活个体生命的力量。</w:t>
            </w:r>
          </w:p>
          <w:p w14:paraId="3E3B248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3362" w:type="dxa"/>
          </w:tcPr>
          <w:p w14:paraId="231D392E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学习如何促进发展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 w14:paraId="734B0C8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兴趣何以是最好的老师，如何培育学习之爱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 w14:paraId="0F326D86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sz w:val="21"/>
                <w:szCs w:val="21"/>
              </w:rPr>
              <w:t>兴趣的提升与个体成长之苦与乐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 w14:paraId="0B82F8C3">
            <w:pPr>
              <w:autoSpaceDE w:val="0"/>
              <w:autoSpaceDN w:val="0"/>
              <w:adjustRightInd w:val="0"/>
              <w:spacing w:line="36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你就是你的教育学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</w:tbl>
    <w:p w14:paraId="16ADA036">
      <w:pPr>
        <w:pStyle w:val="18"/>
        <w:spacing w:before="81" w:after="16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2AD7197B">
      <w:pPr>
        <w:pStyle w:val="18"/>
        <w:spacing w:before="81" w:after="163"/>
        <w:rPr>
          <w:rFonts w:hint="eastAsia"/>
          <w:lang w:val="en-US" w:eastAsia="zh-CN"/>
        </w:rPr>
      </w:pPr>
    </w:p>
    <w:p w14:paraId="6738321C">
      <w:pPr>
        <w:pStyle w:val="18"/>
        <w:spacing w:before="81" w:after="163"/>
      </w:pPr>
    </w:p>
    <w:p w14:paraId="2370F372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37"/>
        <w:gridCol w:w="1485"/>
        <w:gridCol w:w="1485"/>
        <w:gridCol w:w="1485"/>
        <w:gridCol w:w="1484"/>
      </w:tblGrid>
      <w:tr w14:paraId="3C39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496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F381762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5E5E291">
            <w:pPr>
              <w:pStyle w:val="14"/>
              <w:ind w:right="210"/>
              <w:jc w:val="left"/>
              <w:rPr>
                <w:szCs w:val="16"/>
              </w:rPr>
            </w:pPr>
          </w:p>
          <w:p w14:paraId="3F31B7F5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76" w:type="pct"/>
            <w:tcBorders>
              <w:top w:val="single" w:color="auto" w:sz="12" w:space="0"/>
            </w:tcBorders>
            <w:vAlign w:val="center"/>
          </w:tcPr>
          <w:p w14:paraId="716AFF5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课程目标1</w:t>
            </w:r>
          </w:p>
        </w:tc>
        <w:tc>
          <w:tcPr>
            <w:tcW w:w="876" w:type="pct"/>
            <w:tcBorders>
              <w:top w:val="single" w:color="auto" w:sz="12" w:space="0"/>
            </w:tcBorders>
            <w:vAlign w:val="center"/>
          </w:tcPr>
          <w:p w14:paraId="30D224B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课程目标2</w:t>
            </w:r>
          </w:p>
        </w:tc>
        <w:tc>
          <w:tcPr>
            <w:tcW w:w="876" w:type="pct"/>
            <w:tcBorders>
              <w:top w:val="single" w:color="auto" w:sz="12" w:space="0"/>
            </w:tcBorders>
            <w:vAlign w:val="center"/>
          </w:tcPr>
          <w:p w14:paraId="08D83DCE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课程目标3</w:t>
            </w:r>
          </w:p>
        </w:tc>
        <w:tc>
          <w:tcPr>
            <w:tcW w:w="875" w:type="pct"/>
            <w:tcBorders>
              <w:top w:val="single" w:color="auto" w:sz="12" w:space="0"/>
            </w:tcBorders>
            <w:vAlign w:val="center"/>
          </w:tcPr>
          <w:p w14:paraId="6AC7C4D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课程目标4</w:t>
            </w:r>
          </w:p>
        </w:tc>
      </w:tr>
      <w:tr w14:paraId="305F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96" w:type="pct"/>
            <w:tcBorders>
              <w:left w:val="single" w:color="auto" w:sz="12" w:space="0"/>
            </w:tcBorders>
          </w:tcPr>
          <w:p w14:paraId="7F54DD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第一单元</w:t>
            </w:r>
          </w:p>
          <w:p w14:paraId="73D2ACC3">
            <w:pPr>
              <w:pStyle w:val="15"/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教育哲学导论</w:t>
            </w:r>
          </w:p>
        </w:tc>
        <w:tc>
          <w:tcPr>
            <w:tcW w:w="876" w:type="pct"/>
            <w:vAlign w:val="center"/>
          </w:tcPr>
          <w:p w14:paraId="743A9F63">
            <w:pPr>
              <w:pStyle w:val="15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vAlign w:val="center"/>
          </w:tcPr>
          <w:p w14:paraId="08017E32">
            <w:pPr>
              <w:pStyle w:val="15"/>
            </w:pPr>
          </w:p>
        </w:tc>
        <w:tc>
          <w:tcPr>
            <w:tcW w:w="876" w:type="pct"/>
            <w:vAlign w:val="center"/>
          </w:tcPr>
          <w:p w14:paraId="3C5306ED">
            <w:pPr>
              <w:pStyle w:val="15"/>
            </w:pPr>
          </w:p>
        </w:tc>
        <w:tc>
          <w:tcPr>
            <w:tcW w:w="875" w:type="pct"/>
            <w:vAlign w:val="center"/>
          </w:tcPr>
          <w:p w14:paraId="583D85DE">
            <w:pPr>
              <w:pStyle w:val="15"/>
            </w:pPr>
            <w:r>
              <w:rPr>
                <w:rFonts w:cs="Times New Roman"/>
              </w:rPr>
              <w:t>√</w:t>
            </w:r>
          </w:p>
        </w:tc>
      </w:tr>
      <w:tr w14:paraId="03C8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96" w:type="pct"/>
            <w:tcBorders>
              <w:left w:val="single" w:color="auto" w:sz="12" w:space="0"/>
            </w:tcBorders>
          </w:tcPr>
          <w:p w14:paraId="164F226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第二单元</w:t>
            </w:r>
          </w:p>
          <w:p w14:paraId="4AFCF8BF">
            <w:pPr>
              <w:pStyle w:val="15"/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教育目的论</w:t>
            </w:r>
          </w:p>
        </w:tc>
        <w:tc>
          <w:tcPr>
            <w:tcW w:w="876" w:type="pct"/>
            <w:vAlign w:val="center"/>
          </w:tcPr>
          <w:p w14:paraId="65DF96C5">
            <w:pPr>
              <w:pStyle w:val="15"/>
            </w:pPr>
          </w:p>
        </w:tc>
        <w:tc>
          <w:tcPr>
            <w:tcW w:w="876" w:type="pct"/>
            <w:vAlign w:val="center"/>
          </w:tcPr>
          <w:p w14:paraId="4DA7E62C">
            <w:pPr>
              <w:pStyle w:val="15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vAlign w:val="center"/>
          </w:tcPr>
          <w:p w14:paraId="3D360153">
            <w:pPr>
              <w:pStyle w:val="15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5" w:type="pct"/>
            <w:vAlign w:val="center"/>
          </w:tcPr>
          <w:p w14:paraId="5BDD90BC">
            <w:pPr>
              <w:pStyle w:val="15"/>
            </w:pPr>
            <w:r>
              <w:rPr>
                <w:rFonts w:cs="Times New Roman"/>
              </w:rPr>
              <w:t>√</w:t>
            </w:r>
          </w:p>
        </w:tc>
      </w:tr>
      <w:tr w14:paraId="7307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96" w:type="pct"/>
            <w:tcBorders>
              <w:left w:val="single" w:color="auto" w:sz="12" w:space="0"/>
            </w:tcBorders>
          </w:tcPr>
          <w:p w14:paraId="360099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第三单元</w:t>
            </w:r>
          </w:p>
          <w:p w14:paraId="4C9FF979">
            <w:pPr>
              <w:pStyle w:val="15"/>
            </w:pPr>
            <w:r>
              <w:rPr>
                <w:rFonts w:hint="eastAsia" w:ascii="宋体" w:hAnsi="宋体"/>
                <w:sz w:val="20"/>
                <w:szCs w:val="20"/>
              </w:rPr>
              <w:t xml:space="preserve"> 教育过程论</w:t>
            </w:r>
          </w:p>
        </w:tc>
        <w:tc>
          <w:tcPr>
            <w:tcW w:w="876" w:type="pct"/>
            <w:vAlign w:val="center"/>
          </w:tcPr>
          <w:p w14:paraId="303276F1">
            <w:pPr>
              <w:pStyle w:val="15"/>
            </w:pPr>
          </w:p>
        </w:tc>
        <w:tc>
          <w:tcPr>
            <w:tcW w:w="876" w:type="pct"/>
            <w:vAlign w:val="center"/>
          </w:tcPr>
          <w:p w14:paraId="1B09C92E">
            <w:pPr>
              <w:pStyle w:val="15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vAlign w:val="center"/>
          </w:tcPr>
          <w:p w14:paraId="6177A414">
            <w:pPr>
              <w:pStyle w:val="15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5" w:type="pct"/>
            <w:vAlign w:val="center"/>
          </w:tcPr>
          <w:p w14:paraId="45DE8036">
            <w:pPr>
              <w:pStyle w:val="15"/>
            </w:pPr>
            <w:r>
              <w:rPr>
                <w:rFonts w:cs="Times New Roman"/>
              </w:rPr>
              <w:t>√</w:t>
            </w:r>
          </w:p>
        </w:tc>
      </w:tr>
      <w:tr w14:paraId="0F27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96" w:type="pct"/>
            <w:tcBorders>
              <w:left w:val="single" w:color="auto" w:sz="12" w:space="0"/>
              <w:bottom w:val="single" w:color="auto" w:sz="12" w:space="0"/>
            </w:tcBorders>
          </w:tcPr>
          <w:p w14:paraId="3EF5179A">
            <w:pPr>
              <w:autoSpaceDE w:val="0"/>
              <w:autoSpaceDN w:val="0"/>
              <w:adjustRightInd w:val="0"/>
              <w:spacing w:line="360" w:lineRule="exact"/>
              <w:ind w:firstLine="100" w:firstLineChars="5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第四单元</w:t>
            </w:r>
          </w:p>
          <w:p w14:paraId="5280BD45">
            <w:pPr>
              <w:autoSpaceDE w:val="0"/>
              <w:autoSpaceDN w:val="0"/>
              <w:adjustRightInd w:val="0"/>
              <w:spacing w:line="360" w:lineRule="exact"/>
              <w:ind w:firstLine="100" w:firstLineChars="5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教育方法论</w:t>
            </w:r>
          </w:p>
        </w:tc>
        <w:tc>
          <w:tcPr>
            <w:tcW w:w="876" w:type="pct"/>
            <w:tcBorders>
              <w:bottom w:val="single" w:color="auto" w:sz="12" w:space="0"/>
            </w:tcBorders>
            <w:vAlign w:val="center"/>
          </w:tcPr>
          <w:p w14:paraId="2FE9F2C8">
            <w:pPr>
              <w:pStyle w:val="15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tcBorders>
              <w:bottom w:val="single" w:color="auto" w:sz="12" w:space="0"/>
            </w:tcBorders>
            <w:vAlign w:val="center"/>
          </w:tcPr>
          <w:p w14:paraId="3D13C004">
            <w:pPr>
              <w:pStyle w:val="15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tcBorders>
              <w:bottom w:val="single" w:color="auto" w:sz="12" w:space="0"/>
            </w:tcBorders>
            <w:vAlign w:val="center"/>
          </w:tcPr>
          <w:p w14:paraId="39BA3FBB">
            <w:pPr>
              <w:pStyle w:val="15"/>
            </w:pPr>
          </w:p>
        </w:tc>
        <w:tc>
          <w:tcPr>
            <w:tcW w:w="875" w:type="pct"/>
            <w:tcBorders>
              <w:bottom w:val="single" w:color="auto" w:sz="12" w:space="0"/>
            </w:tcBorders>
            <w:vAlign w:val="center"/>
          </w:tcPr>
          <w:p w14:paraId="392BC073">
            <w:pPr>
              <w:pStyle w:val="15"/>
            </w:pPr>
            <w:r>
              <w:rPr>
                <w:rFonts w:cs="Times New Roman"/>
              </w:rPr>
              <w:t>√</w:t>
            </w:r>
          </w:p>
        </w:tc>
      </w:tr>
    </w:tbl>
    <w:p w14:paraId="7BE7C5D5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2C69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59D704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03E9C717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3A8768AA">
            <w:pPr>
              <w:pStyle w:val="14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C71B25">
            <w:pPr>
              <w:pStyle w:val="14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E8F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5F09B1A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11F16C6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75D75964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18D4C3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04B18944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9EB9A6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4C20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3BD79CFF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第一单元</w:t>
            </w:r>
          </w:p>
          <w:p w14:paraId="7EE5DB8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教育哲学导论</w:t>
            </w:r>
          </w:p>
        </w:tc>
        <w:tc>
          <w:tcPr>
            <w:tcW w:w="2690" w:type="dxa"/>
            <w:vAlign w:val="center"/>
          </w:tcPr>
          <w:p w14:paraId="5323C1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讲授，提问</w:t>
            </w:r>
          </w:p>
        </w:tc>
        <w:tc>
          <w:tcPr>
            <w:tcW w:w="1697" w:type="dxa"/>
            <w:vAlign w:val="center"/>
          </w:tcPr>
          <w:p w14:paraId="1DC533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期末考试（纸笔考试-开卷）+课堂讨论+平时表现</w:t>
            </w:r>
          </w:p>
        </w:tc>
        <w:tc>
          <w:tcPr>
            <w:tcW w:w="708" w:type="dxa"/>
            <w:vAlign w:val="center"/>
          </w:tcPr>
          <w:p w14:paraId="315ABFE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0180793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8B67E8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4547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1CE3A421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第二单元</w:t>
            </w:r>
          </w:p>
          <w:p w14:paraId="285F34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教育目的论</w:t>
            </w:r>
          </w:p>
        </w:tc>
        <w:tc>
          <w:tcPr>
            <w:tcW w:w="2690" w:type="dxa"/>
            <w:vAlign w:val="center"/>
          </w:tcPr>
          <w:p w14:paraId="677B66D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视频，提问、讨论</w:t>
            </w:r>
          </w:p>
        </w:tc>
        <w:tc>
          <w:tcPr>
            <w:tcW w:w="1697" w:type="dxa"/>
            <w:vAlign w:val="center"/>
          </w:tcPr>
          <w:p w14:paraId="0425F3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期末考试（纸笔考试-开卷）+课堂讨论</w:t>
            </w:r>
          </w:p>
        </w:tc>
        <w:tc>
          <w:tcPr>
            <w:tcW w:w="708" w:type="dxa"/>
            <w:vAlign w:val="center"/>
          </w:tcPr>
          <w:p w14:paraId="3F02AB1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646B3AE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0BF485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20D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29EF3ABD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第三单元</w:t>
            </w:r>
          </w:p>
          <w:p w14:paraId="588AD5A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 教育过程论</w:t>
            </w:r>
          </w:p>
        </w:tc>
        <w:tc>
          <w:tcPr>
            <w:tcW w:w="2690" w:type="dxa"/>
            <w:vAlign w:val="center"/>
          </w:tcPr>
          <w:p w14:paraId="613306D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视频分析、提问，讨论</w:t>
            </w:r>
          </w:p>
        </w:tc>
        <w:tc>
          <w:tcPr>
            <w:tcW w:w="1697" w:type="dxa"/>
            <w:vAlign w:val="center"/>
          </w:tcPr>
          <w:p w14:paraId="7D9A2F2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期末考试（纸笔考试-开卷）+课堂讨论+平时表现</w:t>
            </w:r>
          </w:p>
        </w:tc>
        <w:tc>
          <w:tcPr>
            <w:tcW w:w="708" w:type="dxa"/>
            <w:vAlign w:val="center"/>
          </w:tcPr>
          <w:p w14:paraId="1F10158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4717C48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5DB1DA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1366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666324BF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100" w:firstLineChars="5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第四单元</w:t>
            </w:r>
          </w:p>
          <w:p w14:paraId="587F39D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教育方法论</w:t>
            </w:r>
          </w:p>
        </w:tc>
        <w:tc>
          <w:tcPr>
            <w:tcW w:w="2690" w:type="dxa"/>
            <w:vAlign w:val="center"/>
          </w:tcPr>
          <w:p w14:paraId="23DA9B6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讲授，提问，讨论</w:t>
            </w:r>
          </w:p>
        </w:tc>
        <w:tc>
          <w:tcPr>
            <w:tcW w:w="1697" w:type="dxa"/>
            <w:vAlign w:val="center"/>
          </w:tcPr>
          <w:p w14:paraId="1488EEB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期末考试（纸笔考试-开卷）+课堂讨论+平时表现</w:t>
            </w:r>
          </w:p>
        </w:tc>
        <w:tc>
          <w:tcPr>
            <w:tcW w:w="708" w:type="dxa"/>
            <w:vAlign w:val="center"/>
          </w:tcPr>
          <w:p w14:paraId="643B186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4A2428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8334E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</w:tr>
      <w:tr w14:paraId="7279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1B8F57C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2FAE52F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4DB19B0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1966A5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4224AF10">
      <w:pPr>
        <w:pStyle w:val="17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1" w:name="OLE_LINK1"/>
      <w:bookmarkStart w:id="2" w:name="OLE_LINK2"/>
      <w:r>
        <w:rPr>
          <w:rFonts w:hint="eastAsia" w:ascii="黑体" w:hAnsi="宋体"/>
        </w:rPr>
        <w:t>四、课程思政教学设计</w:t>
      </w:r>
    </w:p>
    <w:bookmarkEnd w:id="1"/>
    <w:bookmarkEnd w:id="2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3188B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E36AF97">
            <w:pPr>
              <w:pStyle w:val="15"/>
              <w:widowControl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1.热爱教育哲学，善于反思，明白教育哲学的宗旨追寻有意义的生活，探寻有意义的教育，以至于人性的完善。</w:t>
            </w:r>
          </w:p>
          <w:p w14:paraId="57CB27B9">
            <w:pPr>
              <w:widowControl w:val="0"/>
              <w:jc w:val="left"/>
              <w:rPr>
                <w:rFonts w:hint="eastAsia"/>
                <w:sz w:val="20"/>
                <w:szCs w:val="20"/>
                <w:lang w:val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2.明白教育的灵魂是唤起美好事物的欲求，培养健全的、智慧的人。</w:t>
            </w:r>
          </w:p>
          <w:p w14:paraId="5810E297">
            <w:pPr>
              <w:pStyle w:val="15"/>
              <w:widowControl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sz w:val="20"/>
                <w:szCs w:val="20"/>
              </w:rPr>
              <w:t xml:space="preserve"> 明白个体成长是走向爱与智慧的融合，明白与儿童特点相适应的教育过程实质是走向个体生命的自我觉醒，教育本身是作为灵魂转向的技艺。</w:t>
            </w:r>
          </w:p>
          <w:p w14:paraId="2647F4D8">
            <w:pPr>
              <w:pStyle w:val="15"/>
              <w:widowControl w:val="0"/>
              <w:jc w:val="left"/>
            </w:pPr>
            <w:r>
              <w:rPr>
                <w:rFonts w:hint="eastAsia"/>
                <w:sz w:val="20"/>
                <w:szCs w:val="20"/>
              </w:rPr>
              <w:t>4.体会爱是最好的教育，兴趣是最好的老师，学习在教学过程中注重提升兴趣和培育学习之爱，激活个体生命的力量。</w:t>
            </w:r>
          </w:p>
        </w:tc>
      </w:tr>
    </w:tbl>
    <w:p w14:paraId="056CF328">
      <w:pPr>
        <w:pStyle w:val="17"/>
        <w:spacing w:before="326" w:beforeLines="100" w:line="360" w:lineRule="auto"/>
        <w:rPr>
          <w:rFonts w:hint="eastAsia"/>
        </w:rPr>
      </w:pPr>
      <w:bookmarkStart w:id="3" w:name="OLE_LINK4"/>
      <w:bookmarkStart w:id="4" w:name="OLE_LINK3"/>
      <w:r>
        <w:rPr>
          <w:rFonts w:hint="eastAsia" w:ascii="黑体" w:hAnsi="宋体"/>
        </w:rPr>
        <w:t xml:space="preserve"> 五、课程考核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842"/>
        <w:gridCol w:w="2806"/>
        <w:gridCol w:w="728"/>
        <w:gridCol w:w="728"/>
        <w:gridCol w:w="733"/>
        <w:gridCol w:w="843"/>
        <w:gridCol w:w="842"/>
      </w:tblGrid>
      <w:tr w14:paraId="16A1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0C894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494" w:type="pct"/>
            <w:vMerge w:val="restart"/>
            <w:tcBorders>
              <w:top w:val="single" w:color="auto" w:sz="12" w:space="0"/>
            </w:tcBorders>
            <w:vAlign w:val="center"/>
          </w:tcPr>
          <w:p w14:paraId="59FC787A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1647" w:type="pct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5A6D309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1779" w:type="pct"/>
            <w:gridSpan w:val="4"/>
            <w:tcBorders>
              <w:top w:val="single" w:color="auto" w:sz="12" w:space="0"/>
              <w:left w:val="double" w:color="auto" w:sz="4" w:space="0"/>
              <w:right w:val="single" w:color="auto" w:sz="12" w:space="0"/>
            </w:tcBorders>
            <w:vAlign w:val="center"/>
          </w:tcPr>
          <w:p w14:paraId="53A64EB7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494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2154FC4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10EF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vMerge w:val="continue"/>
            <w:tcBorders>
              <w:left w:val="single" w:color="auto" w:sz="12" w:space="0"/>
            </w:tcBorders>
          </w:tcPr>
          <w:p w14:paraId="5C9017A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</w:tcPr>
          <w:p w14:paraId="1EE92DE7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647" w:type="pct"/>
            <w:vMerge w:val="continue"/>
            <w:tcBorders>
              <w:right w:val="double" w:color="auto" w:sz="4" w:space="0"/>
            </w:tcBorders>
          </w:tcPr>
          <w:p w14:paraId="7292B987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double" w:color="auto" w:sz="4" w:space="0"/>
            </w:tcBorders>
            <w:vAlign w:val="center"/>
          </w:tcPr>
          <w:p w14:paraId="01E45C3E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427" w:type="pct"/>
            <w:vAlign w:val="center"/>
          </w:tcPr>
          <w:p w14:paraId="30B37517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430" w:type="pct"/>
            <w:vAlign w:val="center"/>
          </w:tcPr>
          <w:p w14:paraId="6F9FC088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49A386B9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4" w:type="pct"/>
            <w:vMerge w:val="continue"/>
            <w:tcBorders>
              <w:right w:val="single" w:color="auto" w:sz="12" w:space="0"/>
            </w:tcBorders>
          </w:tcPr>
          <w:p w14:paraId="65D88CD3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8E27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left w:val="single" w:color="auto" w:sz="12" w:space="0"/>
            </w:tcBorders>
            <w:shd w:val="clear"/>
            <w:vAlign w:val="center"/>
          </w:tcPr>
          <w:p w14:paraId="7875437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494" w:type="pct"/>
            <w:shd w:val="clear"/>
            <w:vAlign w:val="top"/>
          </w:tcPr>
          <w:p w14:paraId="5DFC1EF4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1647" w:type="pct"/>
            <w:tcBorders>
              <w:right w:val="double" w:color="auto" w:sz="4" w:space="0"/>
            </w:tcBorders>
            <w:shd w:val="clear"/>
            <w:vAlign w:val="top"/>
          </w:tcPr>
          <w:p w14:paraId="4B226ED5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0"/>
              </w:rPr>
              <w:t>期末小论文</w:t>
            </w:r>
          </w:p>
        </w:tc>
        <w:tc>
          <w:tcPr>
            <w:tcW w:w="427" w:type="pct"/>
            <w:tcBorders>
              <w:left w:val="double" w:color="auto" w:sz="4" w:space="0"/>
            </w:tcBorders>
            <w:shd w:val="clear"/>
            <w:vAlign w:val="center"/>
          </w:tcPr>
          <w:p w14:paraId="282A4442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27" w:type="pct"/>
            <w:shd w:val="clear"/>
            <w:vAlign w:val="center"/>
          </w:tcPr>
          <w:p w14:paraId="1A2BADAB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430" w:type="pct"/>
            <w:shd w:val="clear"/>
            <w:vAlign w:val="center"/>
          </w:tcPr>
          <w:p w14:paraId="19DC1843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94" w:type="pct"/>
            <w:tcBorders>
              <w:right w:val="single" w:color="auto" w:sz="12" w:space="0"/>
            </w:tcBorders>
            <w:shd w:val="clear"/>
            <w:vAlign w:val="center"/>
          </w:tcPr>
          <w:p w14:paraId="4E04066E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494" w:type="pct"/>
            <w:tcBorders>
              <w:right w:val="single" w:color="auto" w:sz="12" w:space="0"/>
            </w:tcBorders>
            <w:shd w:val="clear"/>
            <w:vAlign w:val="center"/>
          </w:tcPr>
          <w:p w14:paraId="74316457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14A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left w:val="single" w:color="auto" w:sz="12" w:space="0"/>
            </w:tcBorders>
            <w:shd w:val="clear"/>
            <w:vAlign w:val="center"/>
          </w:tcPr>
          <w:p w14:paraId="6059BF63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494" w:type="pct"/>
            <w:shd w:val="clear"/>
            <w:vAlign w:val="top"/>
          </w:tcPr>
          <w:p w14:paraId="6E10144D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0"/>
              </w:rPr>
              <w:t>30%</w:t>
            </w:r>
          </w:p>
        </w:tc>
        <w:tc>
          <w:tcPr>
            <w:tcW w:w="1647" w:type="pct"/>
            <w:tcBorders>
              <w:right w:val="double" w:color="auto" w:sz="4" w:space="0"/>
            </w:tcBorders>
            <w:shd w:val="clear"/>
            <w:vAlign w:val="top"/>
          </w:tcPr>
          <w:p w14:paraId="79E7B7EB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0"/>
              </w:rPr>
              <w:t>课堂讨论</w:t>
            </w:r>
          </w:p>
        </w:tc>
        <w:tc>
          <w:tcPr>
            <w:tcW w:w="427" w:type="pct"/>
            <w:tcBorders>
              <w:left w:val="double" w:color="auto" w:sz="4" w:space="0"/>
            </w:tcBorders>
            <w:shd w:val="clear"/>
            <w:vAlign w:val="center"/>
          </w:tcPr>
          <w:p w14:paraId="4987AC6E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27" w:type="pct"/>
            <w:shd w:val="clear"/>
            <w:vAlign w:val="center"/>
          </w:tcPr>
          <w:p w14:paraId="74EECDC0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430" w:type="pct"/>
            <w:shd w:val="clear"/>
            <w:vAlign w:val="center"/>
          </w:tcPr>
          <w:p w14:paraId="08583E22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494" w:type="pct"/>
            <w:tcBorders>
              <w:right w:val="single" w:color="auto" w:sz="12" w:space="0"/>
            </w:tcBorders>
            <w:shd w:val="clear"/>
            <w:vAlign w:val="center"/>
          </w:tcPr>
          <w:p w14:paraId="71B5B3D5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494" w:type="pct"/>
            <w:tcBorders>
              <w:right w:val="single" w:color="auto" w:sz="12" w:space="0"/>
            </w:tcBorders>
            <w:shd w:val="clear"/>
            <w:vAlign w:val="center"/>
          </w:tcPr>
          <w:p w14:paraId="3FFBAA32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6AA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left w:val="single" w:color="auto" w:sz="12" w:space="0"/>
            </w:tcBorders>
            <w:shd w:val="clear"/>
            <w:vAlign w:val="center"/>
          </w:tcPr>
          <w:p w14:paraId="06BC8CEE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494" w:type="pct"/>
            <w:shd w:val="clear"/>
            <w:vAlign w:val="top"/>
          </w:tcPr>
          <w:p w14:paraId="0A772C61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0"/>
              </w:rPr>
              <w:t>10%</w:t>
            </w:r>
            <w:r>
              <w:t xml:space="preserve"> </w:t>
            </w:r>
          </w:p>
        </w:tc>
        <w:tc>
          <w:tcPr>
            <w:tcW w:w="1647" w:type="pct"/>
            <w:tcBorders>
              <w:right w:val="double" w:color="auto" w:sz="4" w:space="0"/>
            </w:tcBorders>
            <w:shd w:val="clear"/>
            <w:vAlign w:val="top"/>
          </w:tcPr>
          <w:p w14:paraId="18EE3545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0"/>
              </w:rPr>
              <w:t>平时表现</w:t>
            </w:r>
          </w:p>
        </w:tc>
        <w:tc>
          <w:tcPr>
            <w:tcW w:w="427" w:type="pct"/>
            <w:tcBorders>
              <w:left w:val="double" w:color="auto" w:sz="4" w:space="0"/>
            </w:tcBorders>
            <w:shd w:val="clear"/>
            <w:vAlign w:val="center"/>
          </w:tcPr>
          <w:p w14:paraId="057E5C1B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7" w:type="pct"/>
            <w:shd w:val="clear"/>
            <w:vAlign w:val="center"/>
          </w:tcPr>
          <w:p w14:paraId="5BA02896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30" w:type="pct"/>
            <w:shd w:val="clear"/>
            <w:vAlign w:val="center"/>
          </w:tcPr>
          <w:p w14:paraId="2A41E5D9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494" w:type="pct"/>
            <w:tcBorders>
              <w:right w:val="single" w:color="auto" w:sz="12" w:space="0"/>
            </w:tcBorders>
            <w:shd w:val="clear"/>
            <w:vAlign w:val="center"/>
          </w:tcPr>
          <w:p w14:paraId="3B059524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494" w:type="pct"/>
            <w:tcBorders>
              <w:right w:val="single" w:color="auto" w:sz="12" w:space="0"/>
            </w:tcBorders>
            <w:shd w:val="clear"/>
            <w:vAlign w:val="center"/>
          </w:tcPr>
          <w:p w14:paraId="6FE7E627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F5E758A">
      <w:pPr>
        <w:pStyle w:val="18"/>
        <w:spacing w:before="326" w:beforeLines="100" w:after="163"/>
        <w:jc w:val="center"/>
        <w:rPr>
          <w:rFonts w:hint="eastAsia" w:eastAsia="宋体"/>
          <w:lang w:val="en-US" w:eastAsia="zh-CN"/>
        </w:rPr>
      </w:pPr>
      <w:bookmarkStart w:id="5" w:name="_GoBack"/>
      <w:bookmarkEnd w:id="5"/>
      <w:r>
        <w:rPr>
          <w:rFonts w:hint="eastAsia"/>
        </w:rPr>
        <w:t>评价标准细则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885"/>
        <w:gridCol w:w="1408"/>
        <w:gridCol w:w="1406"/>
        <w:gridCol w:w="1399"/>
        <w:gridCol w:w="1399"/>
        <w:gridCol w:w="1399"/>
      </w:tblGrid>
      <w:tr w14:paraId="0BD38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7" w:type="pct"/>
            <w:vMerge w:val="restart"/>
            <w:vAlign w:val="center"/>
          </w:tcPr>
          <w:p w14:paraId="65D0327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519" w:type="pct"/>
            <w:vMerge w:val="restart"/>
          </w:tcPr>
          <w:p w14:paraId="7F2D828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0FF674A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7CE6EAA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41C6339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826" w:type="pct"/>
            <w:vMerge w:val="restart"/>
            <w:vAlign w:val="center"/>
          </w:tcPr>
          <w:p w14:paraId="6BB6C13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3288" w:type="pct"/>
            <w:gridSpan w:val="4"/>
            <w:vAlign w:val="center"/>
          </w:tcPr>
          <w:p w14:paraId="5D1F10C7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5DE4F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7" w:type="pct"/>
            <w:vMerge w:val="continue"/>
          </w:tcPr>
          <w:p w14:paraId="4DBADA1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519" w:type="pct"/>
            <w:vMerge w:val="continue"/>
          </w:tcPr>
          <w:p w14:paraId="144D75F5">
            <w:pPr>
              <w:pStyle w:val="17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826" w:type="pct"/>
            <w:vMerge w:val="continue"/>
          </w:tcPr>
          <w:p w14:paraId="7AB2E40F">
            <w:pPr>
              <w:pStyle w:val="17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825" w:type="pct"/>
            <w:vAlign w:val="center"/>
          </w:tcPr>
          <w:p w14:paraId="3BE40C2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36B34C5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821" w:type="pct"/>
            <w:vAlign w:val="center"/>
          </w:tcPr>
          <w:p w14:paraId="1784C8C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5C182B7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821" w:type="pct"/>
            <w:vAlign w:val="center"/>
          </w:tcPr>
          <w:p w14:paraId="2648BA5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4F217F5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821" w:type="pct"/>
            <w:vAlign w:val="center"/>
          </w:tcPr>
          <w:p w14:paraId="531ED70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612B86F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2771C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7" w:type="pct"/>
            <w:vAlign w:val="center"/>
          </w:tcPr>
          <w:p w14:paraId="33151B7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519" w:type="pct"/>
            <w:vAlign w:val="center"/>
          </w:tcPr>
          <w:p w14:paraId="4BCBE73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2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3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826" w:type="pct"/>
          </w:tcPr>
          <w:p w14:paraId="687134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期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末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小论文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命题 难度中等，范 围 涉 及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教育哲学主要问题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， 主 要 考 查 学 生 对 这 门 课 程 重 点 知 识 的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理解、思考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与 运 用。</w:t>
            </w:r>
          </w:p>
        </w:tc>
        <w:tc>
          <w:tcPr>
            <w:tcW w:w="825" w:type="pct"/>
          </w:tcPr>
          <w:p w14:paraId="5A02279B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 xml:space="preserve">论文选题与课程内容 高度相关；有令人信服的独特见解或观点清楚；结构安排有条理，叙述层次清楚，段落之间联系自然，句子连贯。语言文字：语言得体，用词恰当，引用原文适度；格式严格按要求编排。 </w:t>
            </w:r>
          </w:p>
        </w:tc>
        <w:tc>
          <w:tcPr>
            <w:tcW w:w="821" w:type="pct"/>
          </w:tcPr>
          <w:p w14:paraId="1FB64E6F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选题与课程内容相关；观点清楚，前后无矛盾，论文较有深度；论文结构安排较有条理；语言文字 较得体，引用原文适度 ；格式按要求编排。</w:t>
            </w:r>
          </w:p>
        </w:tc>
        <w:tc>
          <w:tcPr>
            <w:tcW w:w="821" w:type="pct"/>
          </w:tcPr>
          <w:p w14:paraId="2FEBCC18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选题与课程内容基本相关；内容观点大体清楚，但论述不够深入；论文结构安排较乱，但读者尚能看明大意；语言文字句子错误较多，使读者理解内容有一定困难，但能表达主要内容。引文略多，达论文25%；格式基本按要求编排。</w:t>
            </w:r>
          </w:p>
          <w:p w14:paraId="04019169">
            <w:pPr>
              <w:pStyle w:val="15"/>
              <w:widowControl w:val="0"/>
              <w:jc w:val="both"/>
            </w:pPr>
          </w:p>
        </w:tc>
        <w:tc>
          <w:tcPr>
            <w:tcW w:w="821" w:type="pct"/>
          </w:tcPr>
          <w:p w14:paraId="4B3410B5">
            <w:pPr>
              <w:pStyle w:val="6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选题与课程内容不相关；观点不清楚，前后矛盾；论文结构内容安排混乱；句子错误很多，抄袭他人作品。</w:t>
            </w:r>
          </w:p>
        </w:tc>
      </w:tr>
      <w:tr w14:paraId="1FA3E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7" w:type="pct"/>
            <w:vAlign w:val="center"/>
          </w:tcPr>
          <w:p w14:paraId="52C5A41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519" w:type="pct"/>
            <w:vAlign w:val="center"/>
          </w:tcPr>
          <w:p w14:paraId="0335327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2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3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826" w:type="pct"/>
            <w:vAlign w:val="center"/>
          </w:tcPr>
          <w:p w14:paraId="2ADDE1D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主 要 考 查 同 学 们 对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教育哲学问题的思考，参与讨论的积极性和深度。</w:t>
            </w:r>
          </w:p>
        </w:tc>
        <w:tc>
          <w:tcPr>
            <w:tcW w:w="825" w:type="pct"/>
            <w:vAlign w:val="center"/>
          </w:tcPr>
          <w:p w14:paraId="1D2DAA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能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对每节课的问题及时回复，有自己的思考和理解，敢于提出问题，并对其他同学提出的问题进行回答。</w:t>
            </w:r>
          </w:p>
        </w:tc>
        <w:tc>
          <w:tcPr>
            <w:tcW w:w="821" w:type="pct"/>
            <w:vAlign w:val="center"/>
          </w:tcPr>
          <w:p w14:paraId="7BE2C2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能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对课程问题及时回复，可以概述主要内容，抓住要点，能提出问题。 </w:t>
            </w:r>
          </w:p>
        </w:tc>
        <w:tc>
          <w:tcPr>
            <w:tcW w:w="821" w:type="pct"/>
            <w:vAlign w:val="center"/>
          </w:tcPr>
          <w:p w14:paraId="4541A8F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能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对大部分课程问题进行回复，可以概述主要内容，可以抓住要点，能提出一般问题。</w:t>
            </w:r>
          </w:p>
        </w:tc>
        <w:tc>
          <w:tcPr>
            <w:tcW w:w="821" w:type="pct"/>
            <w:vAlign w:val="center"/>
          </w:tcPr>
          <w:p w14:paraId="02FC2F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未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能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对主要课程问题进行回复，概述主要内容，难以抓住核心要点。 </w:t>
            </w:r>
          </w:p>
        </w:tc>
      </w:tr>
      <w:tr w14:paraId="6E7E3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7" w:type="pct"/>
            <w:vAlign w:val="center"/>
          </w:tcPr>
          <w:p w14:paraId="6D93F35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519" w:type="pct"/>
            <w:vAlign w:val="center"/>
          </w:tcPr>
          <w:p w14:paraId="5FEBE52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2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3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826" w:type="pct"/>
            <w:vAlign w:val="center"/>
          </w:tcPr>
          <w:p w14:paraId="77C366E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平时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表 现 有 三 个 部 分 组 成，即课堂考 勤 、 课 堂 纪 律、课堂互动 积极性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825" w:type="pct"/>
            <w:vAlign w:val="center"/>
          </w:tcPr>
          <w:p w14:paraId="1E4EB1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程 中 无 请 假、迟到、早 退现象；课堂 中安静听课； 课堂中对于教 师提问环节能 进行主动回应 3次以上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821" w:type="pct"/>
            <w:vAlign w:val="center"/>
          </w:tcPr>
          <w:p w14:paraId="4C0743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 程 中 无 请 假、迟到、早 退现象；课堂 中安静听课； 课堂中对于教 师提问环节能 进行主动回应 2次以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上。</w:t>
            </w:r>
          </w:p>
        </w:tc>
        <w:tc>
          <w:tcPr>
            <w:tcW w:w="821" w:type="pct"/>
            <w:vAlign w:val="center"/>
          </w:tcPr>
          <w:p w14:paraId="4DA85F4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 程 中 请 假 1 次，无迟到、 早退；课堂中 安静听课；课 堂中对于教师 提问环节能进 行 主 动 回 应 1 次以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上。</w:t>
            </w:r>
          </w:p>
        </w:tc>
        <w:tc>
          <w:tcPr>
            <w:tcW w:w="821" w:type="pct"/>
            <w:vAlign w:val="center"/>
          </w:tcPr>
          <w:p w14:paraId="4F5AEE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 程 中 请 假 1 次及以上，无 迟到、早退； 课堂中安静听 课；课堂中对于教师提问环 节能进行主动 回应1次以上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。</w:t>
            </w:r>
          </w:p>
        </w:tc>
      </w:tr>
    </w:tbl>
    <w:p w14:paraId="7A419205">
      <w:pPr>
        <w:pStyle w:val="17"/>
        <w:rPr>
          <w:rFonts w:hint="eastAsia" w:ascii="黑体" w:hAnsi="宋体"/>
          <w:sz w:val="18"/>
          <w:szCs w:val="16"/>
        </w:rPr>
      </w:pPr>
      <w:r>
        <w:rPr>
          <w:rFonts w:hint="eastAsia" w:ascii="黑体" w:hAnsi="宋体"/>
        </w:rPr>
        <w:t xml:space="preserve"> </w:t>
      </w:r>
    </w:p>
    <w:bookmarkEnd w:id="3"/>
    <w:bookmarkEnd w:id="4"/>
    <w:p w14:paraId="311EE190">
      <w:pPr>
        <w:pStyle w:val="17"/>
        <w:rPr>
          <w:rFonts w:hint="eastAsia" w:ascii="黑体" w:hAnsi="宋体"/>
          <w:sz w:val="18"/>
          <w:szCs w:val="16"/>
        </w:rPr>
      </w:pPr>
      <w:r>
        <w:rPr>
          <w:rFonts w:hint="eastAsia" w:ascii="黑体" w:hAnsi="黑体"/>
          <w:bCs/>
          <w:sz w:val="21"/>
          <w:szCs w:val="21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5DB9D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D15C82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0D15C8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0BDE"/>
    <w:rsid w:val="0009721F"/>
    <w:rsid w:val="000A4E73"/>
    <w:rsid w:val="000B1BD2"/>
    <w:rsid w:val="000C0F0D"/>
    <w:rsid w:val="000C13BC"/>
    <w:rsid w:val="000C4EE8"/>
    <w:rsid w:val="000D28E5"/>
    <w:rsid w:val="000D34D7"/>
    <w:rsid w:val="000F6510"/>
    <w:rsid w:val="00100633"/>
    <w:rsid w:val="001072BC"/>
    <w:rsid w:val="00114BD6"/>
    <w:rsid w:val="00124495"/>
    <w:rsid w:val="00130F6D"/>
    <w:rsid w:val="00133554"/>
    <w:rsid w:val="00144082"/>
    <w:rsid w:val="00160089"/>
    <w:rsid w:val="00161D3B"/>
    <w:rsid w:val="0016381F"/>
    <w:rsid w:val="00163A48"/>
    <w:rsid w:val="00164E36"/>
    <w:rsid w:val="001678A2"/>
    <w:rsid w:val="00183AA1"/>
    <w:rsid w:val="0018767C"/>
    <w:rsid w:val="001A135C"/>
    <w:rsid w:val="001A384B"/>
    <w:rsid w:val="001A6B00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B751C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5579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077B"/>
    <w:rsid w:val="00373C8A"/>
    <w:rsid w:val="00377C10"/>
    <w:rsid w:val="00384A1F"/>
    <w:rsid w:val="00384D60"/>
    <w:rsid w:val="00385D41"/>
    <w:rsid w:val="003861BA"/>
    <w:rsid w:val="003A1680"/>
    <w:rsid w:val="003A1F45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3F6FC1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66202"/>
    <w:rsid w:val="0046667D"/>
    <w:rsid w:val="00471668"/>
    <w:rsid w:val="00481F98"/>
    <w:rsid w:val="004852BF"/>
    <w:rsid w:val="00487A46"/>
    <w:rsid w:val="0049313B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559E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08D3"/>
    <w:rsid w:val="005C3A76"/>
    <w:rsid w:val="005D5B6F"/>
    <w:rsid w:val="005E38A5"/>
    <w:rsid w:val="005F5185"/>
    <w:rsid w:val="00600BC8"/>
    <w:rsid w:val="00613F18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6708C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57E"/>
    <w:rsid w:val="006D1B59"/>
    <w:rsid w:val="006D2F9C"/>
    <w:rsid w:val="006D4351"/>
    <w:rsid w:val="006D5424"/>
    <w:rsid w:val="006E5CA9"/>
    <w:rsid w:val="006E5E98"/>
    <w:rsid w:val="006E70EA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9E"/>
    <w:rsid w:val="00764FD9"/>
    <w:rsid w:val="007740B2"/>
    <w:rsid w:val="00774C1F"/>
    <w:rsid w:val="0078194F"/>
    <w:rsid w:val="007934A4"/>
    <w:rsid w:val="007A0AC9"/>
    <w:rsid w:val="007A1B70"/>
    <w:rsid w:val="007A57F6"/>
    <w:rsid w:val="007B4530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0F67"/>
    <w:rsid w:val="0084201B"/>
    <w:rsid w:val="0084242F"/>
    <w:rsid w:val="00845795"/>
    <w:rsid w:val="00847437"/>
    <w:rsid w:val="00847868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2056"/>
    <w:rsid w:val="009A2BD2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0196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07F7"/>
    <w:rsid w:val="00B37D43"/>
    <w:rsid w:val="00B46992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1B41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477F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43E7"/>
    <w:rsid w:val="00CC59E6"/>
    <w:rsid w:val="00CD5BDD"/>
    <w:rsid w:val="00CF096B"/>
    <w:rsid w:val="00CF10F7"/>
    <w:rsid w:val="00CF5EE3"/>
    <w:rsid w:val="00CF691F"/>
    <w:rsid w:val="00CF6CDA"/>
    <w:rsid w:val="00D00D99"/>
    <w:rsid w:val="00D013A4"/>
    <w:rsid w:val="00D026DC"/>
    <w:rsid w:val="00D15595"/>
    <w:rsid w:val="00D16A41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2385E"/>
    <w:rsid w:val="00E31E69"/>
    <w:rsid w:val="00E33169"/>
    <w:rsid w:val="00E34A7B"/>
    <w:rsid w:val="00E40973"/>
    <w:rsid w:val="00E41F62"/>
    <w:rsid w:val="00E512BE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0262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35"/>
    <w:rsid w:val="00F201EE"/>
    <w:rsid w:val="00F203C4"/>
    <w:rsid w:val="00F35AA0"/>
    <w:rsid w:val="00F43C49"/>
    <w:rsid w:val="00F45C12"/>
    <w:rsid w:val="00F544A2"/>
    <w:rsid w:val="00F73D03"/>
    <w:rsid w:val="00F76CB9"/>
    <w:rsid w:val="00F77A73"/>
    <w:rsid w:val="00F80E46"/>
    <w:rsid w:val="00F928C2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D5B6E"/>
    <w:rsid w:val="00FE3221"/>
    <w:rsid w:val="00FE48EA"/>
    <w:rsid w:val="00FE571F"/>
    <w:rsid w:val="00FF2642"/>
    <w:rsid w:val="00FF47F6"/>
    <w:rsid w:val="016E63C2"/>
    <w:rsid w:val="024B0C39"/>
    <w:rsid w:val="0A8128A6"/>
    <w:rsid w:val="0BF32A1B"/>
    <w:rsid w:val="10BD2C22"/>
    <w:rsid w:val="22987C80"/>
    <w:rsid w:val="24192CCC"/>
    <w:rsid w:val="2536589B"/>
    <w:rsid w:val="26F4679D"/>
    <w:rsid w:val="34A40CC7"/>
    <w:rsid w:val="39A66CD4"/>
    <w:rsid w:val="3CD52CE1"/>
    <w:rsid w:val="410F2E6A"/>
    <w:rsid w:val="4430136C"/>
    <w:rsid w:val="4AB0382B"/>
    <w:rsid w:val="4F824D7E"/>
    <w:rsid w:val="505527CE"/>
    <w:rsid w:val="569868B5"/>
    <w:rsid w:val="5AA01B69"/>
    <w:rsid w:val="5BBC75A4"/>
    <w:rsid w:val="60AB5BB5"/>
    <w:rsid w:val="611F6817"/>
    <w:rsid w:val="61EF55BE"/>
    <w:rsid w:val="64C27D68"/>
    <w:rsid w:val="66CA1754"/>
    <w:rsid w:val="6ED71200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9"/>
    <w:qFormat/>
    <w:uiPriority w:val="0"/>
  </w:style>
  <w:style w:type="character" w:styleId="23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microsoft.com/office/2007/relationships/hdphoto" Target="media/image2.wdp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1913</Words>
  <Characters>2028</Characters>
  <Lines>27</Lines>
  <Paragraphs>7</Paragraphs>
  <TotalTime>0</TotalTime>
  <ScaleCrop>false</ScaleCrop>
  <LinksUpToDate>false</LinksUpToDate>
  <CharactersWithSpaces>2052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2025-02-12T06:17:00Z</dcterms:created>
  <dc:creator>juvg</dc:creator>
  <cp:lastModifiedBy>leee</cp:lastModifiedBy>
  <cp:lastPrinted>2025-02-13T06:53:00Z</cp:lastPrinted>
  <dcterms:modified xsi:type="dcterms:W3CDTF">2025-02-13T07:26:28Z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53BDA164559D412DB76E25CD53CACD56_13</vt:lpwstr>
  </property>
  <property fmtid="{D5CDD505-2E9C-101B-9397-08002B2CF9AE}" pid="4" name="KSOTemplateDocerSaveRecord">
    <vt:lpwstr>eyJoZGlkIjoiZDk4OTdkYjRkNDc3MzVhNGE2MjRmZjAwY2RiYzA0MzIiLCJ1c2VySWQiOiI0ODkyMTQ3NzMifQ==</vt:lpwstr>
  </property>
</Properties>
</file>