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《形体训练》本科课程教学大纲</w:t>
      </w:r>
    </w:p>
    <w:p w14:paraId="18FBFF94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4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形体训练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physical training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2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2138217</w:t>
            </w:r>
          </w:p>
        </w:tc>
        <w:tc>
          <w:tcPr>
            <w:tcW w:w="2271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8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6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8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8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4"/>
                <w:rFonts w:cs="Helvetic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Style w:val="24"/>
                <w:rFonts w:hint="eastAsia" w:cs="Helvetica"/>
                <w:color w:val="333333"/>
                <w:sz w:val="21"/>
                <w:szCs w:val="21"/>
                <w:shd w:val="clear" w:color="auto" w:fill="FFFFFF"/>
              </w:rPr>
              <w:t>古典芭蕾舞基本功训练教程</w:t>
            </w:r>
            <w:r>
              <w:rPr>
                <w:rStyle w:val="24"/>
                <w:rFonts w:cs="Helvetic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Style w:val="24"/>
                <w:rFonts w:hint="eastAsia" w:cs="Helvetica"/>
                <w:color w:val="333333"/>
                <w:sz w:val="21"/>
                <w:szCs w:val="21"/>
                <w:shd w:val="clear" w:color="auto" w:fill="FFFFFF"/>
              </w:rPr>
              <w:t>，孟广城著，</w:t>
            </w:r>
            <w:r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9787806676486</w:t>
            </w:r>
            <w:r>
              <w:rPr>
                <w:rFonts w:hint="eastAsia" w:cs="Helvetica"/>
                <w:color w:val="333333"/>
                <w:sz w:val="21"/>
                <w:szCs w:val="21"/>
                <w:shd w:val="clear" w:color="auto" w:fill="FFFFFF"/>
              </w:rPr>
              <w:t>，上海音乐出版社，</w:t>
            </w:r>
            <w:r>
              <w:rPr>
                <w:rStyle w:val="24"/>
                <w:rFonts w:cs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>
              <w:rPr>
                <w:rStyle w:val="24"/>
                <w:rFonts w:hint="eastAsia" w:cs="Helvetica"/>
                <w:color w:val="333333"/>
                <w:sz w:val="21"/>
                <w:szCs w:val="21"/>
                <w:shd w:val="clear" w:color="auto" w:fill="FFFFFF"/>
              </w:rPr>
              <w:t>04</w:t>
            </w:r>
            <w:r>
              <w:rPr>
                <w:rStyle w:val="24"/>
                <w:rFonts w:cs="Helvetica"/>
                <w:color w:val="333333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1268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66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D48C80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学生对芭蕾没有基础积累，需要从基础内容开始学习。从心理层面来看，大学生的身心发展，观察判断能力、思维能力、知识迁移能力等已逐渐成熟，均有独特的学习习惯，对身体运动的控制意识已形成。</w:t>
            </w:r>
          </w:p>
          <w:p w14:paraId="14DC1B27">
            <w:pPr>
              <w:pStyle w:val="15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</w:t>
            </w:r>
            <w:r>
              <w:t>20</w:t>
            </w:r>
            <w:r>
              <w:rPr>
                <w:rFonts w:hint="eastAsia"/>
              </w:rPr>
              <w:t>04</w:t>
            </w:r>
            <w:r>
              <w:t>年</w:t>
            </w:r>
            <w:r>
              <w:rPr>
                <w:rFonts w:hint="eastAsia"/>
              </w:rPr>
              <w:t>上海音乐</w:t>
            </w:r>
            <w:r>
              <w:t>出版社出版的由</w:t>
            </w:r>
            <w:r>
              <w:rPr>
                <w:rFonts w:hint="eastAsia"/>
              </w:rPr>
              <w:t>孟广城</w:t>
            </w:r>
            <w:r>
              <w:t>主编的《</w:t>
            </w:r>
            <w:r>
              <w:rPr>
                <w:rFonts w:hint="eastAsia"/>
              </w:rPr>
              <w:t>古典芭蕾舞基本功训练教程</w:t>
            </w:r>
            <w:r>
              <w:t>》作为课程教材。</w:t>
            </w:r>
            <w:r>
              <w:rPr>
                <w:rFonts w:hint="eastAsia"/>
              </w:rPr>
              <w:t>本课程对于全校学生来说，以芭蕾形体训练为主，学习芭蕾基本体态、手型、手位、脚位内容及形体地面练习、把杆练习、中间练习为主要内容，在此基础上提高对体态的认识和理解。通过训练改善学习者形体动作的原始状态，提高身体的控制力、柔韧性、灵活性、协调性、力量等综合素质，达到改善和纠正不良体态、克服羞怯心理、陶冶情操、提升鉴美能力，继而培养高雅气质、养成维持“形体美”的习惯为目的。以润物细无声的方式将思政融入课堂，综合运用礼仪美学、舞蹈美学等强化“修形雅行”功能，满足大学生形体审美、举止优雅诉求，培养学生具有良好的道德品质和正确的政治观念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1C194F9">
            <w:pPr>
              <w:pStyle w:val="15"/>
              <w:widowControl w:val="0"/>
              <w:jc w:val="both"/>
            </w:pPr>
            <w:r>
              <w:t>人数限制：</w:t>
            </w:r>
            <w:r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84200" cy="271780"/>
                  <wp:effectExtent l="0" t="0" r="6350" b="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67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93" cy="28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2025年10月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06095" cy="341630"/>
                  <wp:effectExtent l="0" t="0" r="8255" b="1270"/>
                  <wp:docPr id="71914372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14372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75615" cy="262255"/>
                  <wp:effectExtent l="0" t="0" r="635" b="4445"/>
                  <wp:docPr id="54567948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67948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</w:t>
            </w:r>
            <w:bookmarkStart w:id="4" w:name="_GoBack"/>
            <w:bookmarkEnd w:id="4"/>
          </w:p>
        </w:tc>
      </w:tr>
    </w:tbl>
    <w:p w14:paraId="30C60550">
      <w:pPr>
        <w:spacing w:line="100" w:lineRule="exact"/>
        <w:rPr>
          <w:rFonts w:ascii="Arial" w:hAnsi="Arial" w:eastAsia="黑体"/>
        </w:rPr>
      </w:pPr>
    </w:p>
    <w:p w14:paraId="37C698B1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FD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C33BE8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820FC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了解芭蕾起源及形体训练特点。通过学习对芭蕾舞文化内涵有所了解。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能够掌握芭蕾基本</w:t>
            </w:r>
            <w:r>
              <w:rPr>
                <w:rFonts w:hint="eastAsia"/>
              </w:rPr>
              <w:t>体态</w:t>
            </w:r>
            <w:r>
              <w:rPr>
                <w:rFonts w:hint="eastAsia" w:ascii="宋体" w:hAnsi="宋体"/>
                <w:bCs/>
              </w:rPr>
              <w:t>、手型、手位、脚位内容及形体地面练习、把杆练习、中间练习。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5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能够展现完整的体态组合，姿态优美舒展，动作与音乐和谐配合，有很好的表现力和感染力。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以润物细无声的方式将思政融入课堂，综合运用礼仪美学、舞蹈美学等强化“修形雅行”功能，满足大学生形体审美、举止优雅诉求，培养学生具有良好的道德品质和正确的政治观念。</w:t>
            </w:r>
          </w:p>
        </w:tc>
      </w:tr>
    </w:tbl>
    <w:p w14:paraId="2EF5BE10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72A2B0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35C982B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4005C6D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③懂得审美，有发现美、感受美、鉴赏美、评价美、创造美的能力。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EAB5329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6</w:t>
            </w:r>
            <w:r>
              <w:rPr>
                <w:rFonts w:cs="Arial" w:asciiTheme="minorEastAsia" w:hAnsiTheme="minorEastAsia" w:eastAsiaTheme="minorEastAsia"/>
              </w:rPr>
              <w:t>协同创新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71543449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03ADF89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92BBB0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D14D7D">
            <w:pPr>
              <w:pStyle w:val="15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5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vAlign w:val="center"/>
          </w:tcPr>
          <w:p w14:paraId="1320D050">
            <w:pPr>
              <w:pStyle w:val="15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以润物细无声的方式将思政融入课堂，综合运用礼仪美学、舞蹈美学等强化“修形雅行”功能，满足大学生形体审美、举止优雅诉求，培养学生具有良好的道德品质和正确的政治观念。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729F87">
            <w:pPr>
              <w:pStyle w:val="15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5"/>
              <w:ind w:firstLine="210" w:firstLineChars="100"/>
              <w:jc w:val="left"/>
              <w:rPr>
                <w:rFonts w:hint="eastAsia"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vAlign w:val="center"/>
          </w:tcPr>
          <w:p w14:paraId="02BB4B3D">
            <w:pPr>
              <w:pStyle w:val="15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了解芭蕾起源及形体训练特点。通过学习对芭蕾舞文化内涵有所了解。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47EA802">
            <w:pPr>
              <w:pStyle w:val="15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vAlign w:val="center"/>
          </w:tcPr>
          <w:p w14:paraId="397C4392">
            <w:pPr>
              <w:pStyle w:val="15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</w:t>
            </w:r>
            <w:r>
              <w:rPr>
                <w:rFonts w:hint="eastAsia"/>
              </w:rPr>
              <w:t xml:space="preserve"> 能够掌握芭蕾基本体态、手型、手位、脚位内容及形体地面练习、把杆练习、中间练习。 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285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</w:tcPr>
          <w:p w14:paraId="42D8E796">
            <w:pPr>
              <w:pStyle w:val="15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6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5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vAlign w:val="center"/>
          </w:tcPr>
          <w:p w14:paraId="2A2BD4FD">
            <w:pPr>
              <w:pStyle w:val="15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能够展现完整的体态组合，姿态优美舒展，动作与音乐和谐配合，有很好的表现力和感染力。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1E362613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3D8E8D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芭蕾起源及形体训练（2课时）</w:t>
            </w:r>
          </w:p>
          <w:p w14:paraId="436846F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教学目标：了解芭蕾起源及形体训练特点。</w:t>
            </w:r>
          </w:p>
          <w:p w14:paraId="1277053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教学重点：知道芭蕾起源及形体训练特点。</w:t>
            </w:r>
          </w:p>
          <w:p w14:paraId="7B0FCB2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教学难点：理解芭蕾起源及形体训练特点。</w:t>
            </w:r>
          </w:p>
          <w:p w14:paraId="0BC9103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预期学习成果：了解芭蕾起源及形体训练特点。 </w:t>
            </w:r>
          </w:p>
          <w:p w14:paraId="238493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3013D8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1.提问学生对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有多少了解？ </w:t>
            </w:r>
          </w:p>
          <w:p w14:paraId="046C27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42CDF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芭蕾起源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形体训练特点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等相关理论知识。</w:t>
            </w:r>
          </w:p>
          <w:p w14:paraId="0898A7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2.通过具体舞蹈作品的观赏及现场动作体验，使学生充分感受到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现代舞蹈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艺术的魅力。</w:t>
            </w:r>
          </w:p>
          <w:p w14:paraId="635235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p w14:paraId="63E5D1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1.教师对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进行初步的讲解并带领学生一起练习，进而激发他们爱好舞蹈的兴趣以及主动参与舞蹈表演的热情。</w:t>
            </w:r>
          </w:p>
          <w:p w14:paraId="0299B3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D4D74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芭蕾基本体态、手型、手位、脚位（2课时）</w:t>
            </w:r>
          </w:p>
          <w:p w14:paraId="7F7CD8A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教学目标：了解芭蕾舞的基本体态、手型、手位、脚位特点。</w:t>
            </w:r>
          </w:p>
          <w:p w14:paraId="738F740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教学重点：知道芭蕾舞的基本体态、手型、手位、脚位特点。</w:t>
            </w:r>
          </w:p>
          <w:p w14:paraId="6163EF5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教学难点：把握芭蕾舞的基本体态、手型、手位、脚位特点。</w:t>
            </w:r>
          </w:p>
          <w:p w14:paraId="464BF0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预期学习成果：明白芭蕾舞的基本体态、手型、手位、脚位。</w:t>
            </w:r>
          </w:p>
          <w:p w14:paraId="2915C4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4330EB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的动作特点。</w:t>
            </w:r>
          </w:p>
          <w:p w14:paraId="46D1FAC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61F6D29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芭蕾舞基本体态与手型、手位、脚位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135F386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基本体态、手型、手位、脚位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进行分解示范教学，通过直观演示法亲自示范并强调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动作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特点，更加直观且具体化的加深学生对新知识的理解。</w:t>
            </w:r>
          </w:p>
          <w:p w14:paraId="4703B7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7492B8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3BBD7E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F9A0B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3A6A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09CD988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地面综合组合练习（6课时）</w:t>
            </w:r>
          </w:p>
          <w:p w14:paraId="2F624CF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教学目标：了解芭蕾地面综合组合练习的内容，保证动作的规范和准确。</w:t>
            </w:r>
          </w:p>
          <w:p w14:paraId="693068B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教学重点：知道芭蕾地面综合组合练习内容，防止学生身体因变形而造成的动作不规范。</w:t>
            </w:r>
          </w:p>
          <w:p w14:paraId="012EAEE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教学难点：把握芭蕾地面综合组合练习内容，解决发力不对等问题</w:t>
            </w:r>
          </w:p>
          <w:p w14:paraId="530CEBC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预期学习成果：学会芭蕾地面综合组合练习的要领。</w:t>
            </w:r>
          </w:p>
          <w:p w14:paraId="2D70F86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</w:t>
            </w:r>
          </w:p>
          <w:p w14:paraId="61F6DE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芭蕾的勾绷脚、腿外开、踢腿等地面综合组合练习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的特点。</w:t>
            </w:r>
          </w:p>
          <w:p w14:paraId="56BB7AC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7162FF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芭蕾的勾绷脚、腿外开、踢腿等地面综合组合练习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7DE594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勾绷脚、腿外开、踢腿等地面综合组合练习动作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训练进行分解示范教学，通过直观演示法亲自示范并强调动作要领，更加直观且具体化的加深学生对新知识的理解。</w:t>
            </w:r>
          </w:p>
          <w:p w14:paraId="6B775E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67C433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CF180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7D95CF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CA16AA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把杆组合练习（6课时）</w:t>
            </w:r>
          </w:p>
          <w:p w14:paraId="3785759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教学目标：了解芭蕾把杆组合练习的内容，训练稳定性与重心移动的同时使学生内心节奏与体态相融合。</w:t>
            </w:r>
          </w:p>
          <w:p w14:paraId="15FDE5E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教学重点：知道芭蕾把杆组合练习的内容，使学生内心节奏与体态相融合。</w:t>
            </w:r>
          </w:p>
          <w:p w14:paraId="486A591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教学难点：掌握芭蕾把杆组合练习的内容，使学生内心节奏与体态相融合。</w:t>
            </w:r>
          </w:p>
          <w:p w14:paraId="3332568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预期学习成果：学会芭蕾把杆组合练习的要领。</w:t>
            </w:r>
          </w:p>
          <w:p w14:paraId="0804BED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</w:t>
            </w:r>
          </w:p>
          <w:p w14:paraId="391914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芭蕾的擦地、蹲、小踢腿、划圈、控制等把杆组合练习的特点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2472F8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二、新课讲授 </w:t>
            </w:r>
          </w:p>
          <w:p w14:paraId="4FF77DC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芭蕾的擦地、蹲、小踢腿、划圈、控制等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  <w:p w14:paraId="64A006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芭蕾的擦地、蹲、小踢腿、划圈、控制等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进行分解示范教学，通过直观演示法亲自示范并强调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稳定性与重心移动及内心节奏与体态的相融合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，更加直观且具体化的加深学生对新知识的理解。</w:t>
            </w:r>
          </w:p>
          <w:p w14:paraId="6A28BE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380E9B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36BE9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6ABBE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BFC24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中间组合练习（8课时）</w:t>
            </w:r>
          </w:p>
          <w:p w14:paraId="2A8C93D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教学目标：了解芭蕾中间组合练习的内容特点，在脱把的状态下完成一系列训练组合。</w:t>
            </w:r>
          </w:p>
          <w:p w14:paraId="6E0FFFD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教学重点：知道芭蕾中间组合练习的内容特点，训练身体的力度、弹跳与控制能力。</w:t>
            </w:r>
          </w:p>
          <w:p w14:paraId="4C78835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教学难点：理解芭蕾中间组合练习的内容特点，训练身体的力度、弹跳与控制能力。</w:t>
            </w:r>
          </w:p>
          <w:p w14:paraId="072B80C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预期学习成果：学会芭蕾中间组合练习的要领。</w:t>
            </w:r>
          </w:p>
          <w:p w14:paraId="7DDDEF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46312AB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介绍芭蕾的力度、弹跳与控制等中间组合练习的特点。</w:t>
            </w:r>
          </w:p>
          <w:p w14:paraId="6740AA0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36C809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芭蕾的力度、弹跳与控制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训练动作要领及相关理论知识。</w:t>
            </w:r>
          </w:p>
          <w:p w14:paraId="331842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中间组合练习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进行分解示范教学，通过直观演示法亲自示范并强调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中间组合练习中身体的控制力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把握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，更加直观且具体化的加深学生对新知识的理解。</w:t>
            </w:r>
          </w:p>
          <w:p w14:paraId="44AAF0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CD72B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15B3FC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4F6BD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7374A0C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3DF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形体组合（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8课时）</w:t>
            </w:r>
          </w:p>
          <w:p w14:paraId="3CF73D4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教学目标：把握动作与音乐的整体性训练。</w:t>
            </w:r>
          </w:p>
          <w:p w14:paraId="73F7686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教学重点：练习形体组合。</w:t>
            </w:r>
          </w:p>
          <w:p w14:paraId="756CD81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教学难点：把握动作与音乐的整体性训练。</w:t>
            </w:r>
          </w:p>
          <w:p w14:paraId="6209FA96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预期学习成果：呈现完整形体表演组合。</w:t>
            </w:r>
          </w:p>
          <w:p w14:paraId="66D7B1D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</w:p>
          <w:p w14:paraId="11C491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 课前简单回顾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芭蕾舞基本体态、手型、手位、脚位特点。</w:t>
            </w:r>
          </w:p>
          <w:p w14:paraId="3D1BA4D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6890C8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地面综合组合、把杆组合练习、中间组合动作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的连贯性要领。</w:t>
            </w:r>
          </w:p>
          <w:p w14:paraId="729DFF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2.带领学生融入音乐进行练习，把握音乐的准确性以及动作的流畅性，引导学生规范的训练。</w:t>
            </w:r>
          </w:p>
          <w:p w14:paraId="3269CB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.学生分组练习，老师根据学生问题给予逐个指导、纠正、强调动作规范性。</w:t>
            </w:r>
          </w:p>
          <w:p w14:paraId="1FBE7F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161"/>
        <w:gridCol w:w="1307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4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4"/>
              <w:rPr>
                <w:szCs w:val="16"/>
              </w:rPr>
            </w:pPr>
            <w:r>
              <w:rPr>
                <w:rFonts w:hint="eastAsia" w:cs="Arial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5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第一单元 芭蕾起源及形体训练</w:t>
            </w:r>
          </w:p>
        </w:tc>
        <w:tc>
          <w:tcPr>
            <w:tcW w:w="1134" w:type="dxa"/>
            <w:vAlign w:val="center"/>
          </w:tcPr>
          <w:p w14:paraId="4EA5D004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>
            <w:pPr>
              <w:pStyle w:val="15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5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5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第二单元 芭蕾基本体态、手型、手位、脚位</w:t>
            </w:r>
          </w:p>
        </w:tc>
        <w:tc>
          <w:tcPr>
            <w:tcW w:w="1134" w:type="dxa"/>
            <w:vAlign w:val="center"/>
          </w:tcPr>
          <w:p w14:paraId="1DCCED1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5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第三单元 地面综合组合练习</w:t>
            </w:r>
          </w:p>
        </w:tc>
        <w:tc>
          <w:tcPr>
            <w:tcW w:w="1134" w:type="dxa"/>
            <w:vAlign w:val="center"/>
          </w:tcPr>
          <w:p w14:paraId="627FA6E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5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第四单元 把杆组合练习</w:t>
            </w:r>
          </w:p>
        </w:tc>
        <w:tc>
          <w:tcPr>
            <w:tcW w:w="1134" w:type="dxa"/>
            <w:vAlign w:val="center"/>
          </w:tcPr>
          <w:p w14:paraId="763FE0C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5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第五单元 中间组合练习</w:t>
            </w:r>
          </w:p>
        </w:tc>
        <w:tc>
          <w:tcPr>
            <w:tcW w:w="1134" w:type="dxa"/>
            <w:vAlign w:val="center"/>
          </w:tcPr>
          <w:p w14:paraId="10FD753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1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5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第六单元 形体组合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芭蕾起源及形体训练</w:t>
            </w:r>
          </w:p>
        </w:tc>
        <w:tc>
          <w:tcPr>
            <w:tcW w:w="1839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1F7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芭蕾基本体态、手型、手位、脚位</w:t>
            </w:r>
          </w:p>
        </w:tc>
        <w:tc>
          <w:tcPr>
            <w:tcW w:w="1839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CC50A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地面综合组合练习</w:t>
            </w:r>
          </w:p>
        </w:tc>
        <w:tc>
          <w:tcPr>
            <w:tcW w:w="1839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819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把杆组合练习</w:t>
            </w:r>
          </w:p>
        </w:tc>
        <w:tc>
          <w:tcPr>
            <w:tcW w:w="1839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70D5A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中间组合练习</w:t>
            </w:r>
          </w:p>
        </w:tc>
        <w:tc>
          <w:tcPr>
            <w:tcW w:w="1839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84DD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形体组合</w:t>
            </w:r>
          </w:p>
        </w:tc>
        <w:tc>
          <w:tcPr>
            <w:tcW w:w="1839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27CFF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28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7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4DD2AB">
            <w:pPr>
              <w:pStyle w:val="15"/>
              <w:widowControl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58510519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树文化自信：每节课程的讲授中，通过芭蕾地面综合练习、把杆综合组合练习、中间练习的学习，使学习者综合素质得到提升，更加自由地表达内心世界及爱国情怀，弘扬红色精神。</w:t>
            </w:r>
          </w:p>
          <w:p w14:paraId="540CF21C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增家国情怀：在讲授中，介绍芭蕾舞体现出其身心合一培养内在气质的特点，展现学生信仰与精神的传承，激扬奋进新时代的磅礴力量。</w:t>
            </w:r>
          </w:p>
          <w:p w14:paraId="513FF1CF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感马哲美育：坚持人民至上，运用“艺术源于生活、高于生活”的马克思主义文艺理论为指导，在每节课程教学中，综合运用礼仪美学、舞蹈美学等强化“修形雅行”功能，满足大学生形体审美、举止优雅诉求，培养学生具有良好的道德品质和正确的政治观念。</w:t>
            </w:r>
          </w:p>
        </w:tc>
      </w:tr>
    </w:tbl>
    <w:p w14:paraId="4ADDBCF4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7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5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5"/>
              <w:widowControl w:val="0"/>
            </w:pPr>
            <w:r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5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5"/>
              <w:widowControl w:val="0"/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>
            <w:pPr>
              <w:pStyle w:val="15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7008934A">
            <w:pPr>
              <w:pStyle w:val="15"/>
              <w:widowControl w:val="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14076CB4">
            <w:pPr>
              <w:pStyle w:val="15"/>
              <w:widowControl w:val="0"/>
            </w:pPr>
            <w:r>
              <w:rPr>
                <w:rFonts w:hint="eastAsia"/>
              </w:rPr>
              <w:t>作品表演</w:t>
            </w:r>
          </w:p>
        </w:tc>
        <w:tc>
          <w:tcPr>
            <w:tcW w:w="907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BE201BD">
            <w:pPr>
              <w:pStyle w:val="15"/>
              <w:widowControl w:val="0"/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2869B363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7A139D06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tcBorders>
              <w:bottom w:val="single" w:color="auto" w:sz="12" w:space="0"/>
            </w:tcBorders>
            <w:vAlign w:val="center"/>
          </w:tcPr>
          <w:p w14:paraId="04A4B79E">
            <w:pPr>
              <w:pStyle w:val="15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24DBE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8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1534AD0A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20DF1CD2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了解芭蕾舞起源及形体训练特点。能学会芭蕾舞的基本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体态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、地面综合组合练习、把杆组合练习、中间组合练习内容。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131940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了解芭蕾舞起源及形体训练特点。能学会芭蕾舞的基本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体态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、地面综合组合练习、把杆组合练习、中间组合练习内容。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4ABAB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了解芭蕾舞起源及形体训练特点。能学会大部分芭蕾舞的基本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体态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、地面综合组合练习、把杆组合练习、中间组合练习内容。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77365F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了解芭蕾舞起源及形体训练特点。能学会小部分芭蕾舞的基本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体态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、地面综合组合练习、把杆组合练习、中间组合练习内容。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7BF0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不了解芭蕾舞起源及形体训练特点。不能学会芭蕾舞的基本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体态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、地面综合组合练习、把杆组合练习、中间组合练习内容。</w:t>
            </w: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能够掌握芭蕾舞的地面综合组合练习、把杆组合练习、中间组合练习内容。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0BA06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能够完整的掌握芭蕾舞的地面综合组合练习、把杆组合练习、中间组合练习内容。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241ABB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能够掌握大部分芭蕾舞的地面综合组合练习、把杆组合练习、中间组合练习内容。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3088B7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只能掌握小部分芭蕾舞的地面综合组合练习、把杆组合练习、中间组合练习内容。</w:t>
            </w:r>
          </w:p>
        </w:tc>
        <w:tc>
          <w:tcPr>
            <w:tcW w:w="1396" w:type="dxa"/>
            <w:vAlign w:val="center"/>
          </w:tcPr>
          <w:p w14:paraId="0805C7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不能掌握芭蕾舞的地面综合组合练习、把杆组合练习、中间组合练习内容。</w:t>
            </w: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能够展出完整的形体组合。</w:t>
            </w:r>
          </w:p>
        </w:tc>
        <w:tc>
          <w:tcPr>
            <w:tcW w:w="1396" w:type="dxa"/>
            <w:vAlign w:val="center"/>
          </w:tcPr>
          <w:p w14:paraId="34293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能够展出完整的形体组合。</w:t>
            </w:r>
          </w:p>
        </w:tc>
        <w:tc>
          <w:tcPr>
            <w:tcW w:w="1396" w:type="dxa"/>
            <w:vAlign w:val="center"/>
          </w:tcPr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能够表演出大部分的形体组合。</w:t>
            </w:r>
          </w:p>
        </w:tc>
        <w:tc>
          <w:tcPr>
            <w:tcW w:w="1396" w:type="dxa"/>
            <w:vAlign w:val="center"/>
          </w:tcPr>
          <w:p w14:paraId="7C3EC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只能表演小部分形体组合。</w:t>
            </w:r>
          </w:p>
        </w:tc>
        <w:tc>
          <w:tcPr>
            <w:tcW w:w="1396" w:type="dxa"/>
            <w:vAlign w:val="center"/>
          </w:tcPr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不能表演完整的形体组合。</w:t>
            </w:r>
          </w:p>
        </w:tc>
      </w:tr>
    </w:tbl>
    <w:p w14:paraId="3E13FC74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43AA4"/>
    <w:multiLevelType w:val="multilevel"/>
    <w:tmpl w:val="1CC43A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4AF2714"/>
    <w:multiLevelType w:val="multilevel"/>
    <w:tmpl w:val="44AF271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41AB"/>
    <w:rsid w:val="000264A0"/>
    <w:rsid w:val="00033082"/>
    <w:rsid w:val="0003674F"/>
    <w:rsid w:val="00044088"/>
    <w:rsid w:val="00053590"/>
    <w:rsid w:val="0006001D"/>
    <w:rsid w:val="00066041"/>
    <w:rsid w:val="00071059"/>
    <w:rsid w:val="0007230C"/>
    <w:rsid w:val="00076794"/>
    <w:rsid w:val="00080606"/>
    <w:rsid w:val="0008122A"/>
    <w:rsid w:val="00081641"/>
    <w:rsid w:val="0008259D"/>
    <w:rsid w:val="00087488"/>
    <w:rsid w:val="0009050A"/>
    <w:rsid w:val="0009721F"/>
    <w:rsid w:val="000A0B11"/>
    <w:rsid w:val="000A47D2"/>
    <w:rsid w:val="000A4E73"/>
    <w:rsid w:val="000B1BD2"/>
    <w:rsid w:val="000B790C"/>
    <w:rsid w:val="000C03CB"/>
    <w:rsid w:val="000C0F0D"/>
    <w:rsid w:val="000C13BC"/>
    <w:rsid w:val="000D28E5"/>
    <w:rsid w:val="000D34CA"/>
    <w:rsid w:val="000D34D7"/>
    <w:rsid w:val="000D3C22"/>
    <w:rsid w:val="000F35B7"/>
    <w:rsid w:val="000F73A3"/>
    <w:rsid w:val="00100633"/>
    <w:rsid w:val="001072BC"/>
    <w:rsid w:val="00110F8C"/>
    <w:rsid w:val="001140C7"/>
    <w:rsid w:val="00114BD6"/>
    <w:rsid w:val="00120481"/>
    <w:rsid w:val="00120997"/>
    <w:rsid w:val="00130F6D"/>
    <w:rsid w:val="001320A4"/>
    <w:rsid w:val="001322D7"/>
    <w:rsid w:val="00133554"/>
    <w:rsid w:val="00140C40"/>
    <w:rsid w:val="001419EE"/>
    <w:rsid w:val="00144082"/>
    <w:rsid w:val="00153B71"/>
    <w:rsid w:val="0016381F"/>
    <w:rsid w:val="00163A48"/>
    <w:rsid w:val="0016429C"/>
    <w:rsid w:val="00164E36"/>
    <w:rsid w:val="001678A2"/>
    <w:rsid w:val="00183AA1"/>
    <w:rsid w:val="00183FCE"/>
    <w:rsid w:val="0018767C"/>
    <w:rsid w:val="001878F3"/>
    <w:rsid w:val="00187946"/>
    <w:rsid w:val="001A135C"/>
    <w:rsid w:val="001B0D49"/>
    <w:rsid w:val="001B546F"/>
    <w:rsid w:val="001C16FC"/>
    <w:rsid w:val="001C2E3E"/>
    <w:rsid w:val="001C388D"/>
    <w:rsid w:val="001E0494"/>
    <w:rsid w:val="001E08FA"/>
    <w:rsid w:val="001E1D2D"/>
    <w:rsid w:val="001E1E02"/>
    <w:rsid w:val="001E5A17"/>
    <w:rsid w:val="001F1F85"/>
    <w:rsid w:val="001F284E"/>
    <w:rsid w:val="001F2EB9"/>
    <w:rsid w:val="001F332E"/>
    <w:rsid w:val="001F544F"/>
    <w:rsid w:val="00203563"/>
    <w:rsid w:val="00206FED"/>
    <w:rsid w:val="00214D32"/>
    <w:rsid w:val="00217861"/>
    <w:rsid w:val="002204E4"/>
    <w:rsid w:val="002211BF"/>
    <w:rsid w:val="00233290"/>
    <w:rsid w:val="00233F15"/>
    <w:rsid w:val="002420F1"/>
    <w:rsid w:val="002462A6"/>
    <w:rsid w:val="00246A26"/>
    <w:rsid w:val="00253AC8"/>
    <w:rsid w:val="00256B39"/>
    <w:rsid w:val="0026033C"/>
    <w:rsid w:val="00260AA9"/>
    <w:rsid w:val="0026572A"/>
    <w:rsid w:val="002664A5"/>
    <w:rsid w:val="0027339A"/>
    <w:rsid w:val="00274E82"/>
    <w:rsid w:val="0027579D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55B3"/>
    <w:rsid w:val="002D7C47"/>
    <w:rsid w:val="002D7F9D"/>
    <w:rsid w:val="002E0738"/>
    <w:rsid w:val="002E33CE"/>
    <w:rsid w:val="002E3721"/>
    <w:rsid w:val="002E6BA5"/>
    <w:rsid w:val="002E6F95"/>
    <w:rsid w:val="002E764D"/>
    <w:rsid w:val="002F00A8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150B"/>
    <w:rsid w:val="00373C8A"/>
    <w:rsid w:val="00377273"/>
    <w:rsid w:val="00377C10"/>
    <w:rsid w:val="00384A1F"/>
    <w:rsid w:val="00384D60"/>
    <w:rsid w:val="00385D41"/>
    <w:rsid w:val="003861BA"/>
    <w:rsid w:val="00387E71"/>
    <w:rsid w:val="003A0014"/>
    <w:rsid w:val="003A1680"/>
    <w:rsid w:val="003A373C"/>
    <w:rsid w:val="003A5874"/>
    <w:rsid w:val="003B1258"/>
    <w:rsid w:val="003B4A81"/>
    <w:rsid w:val="003C1C80"/>
    <w:rsid w:val="003C1F8D"/>
    <w:rsid w:val="003C61A5"/>
    <w:rsid w:val="003D1968"/>
    <w:rsid w:val="003D4994"/>
    <w:rsid w:val="003E10A5"/>
    <w:rsid w:val="003E512B"/>
    <w:rsid w:val="003E7D72"/>
    <w:rsid w:val="003F22D5"/>
    <w:rsid w:val="003F3923"/>
    <w:rsid w:val="003F43F6"/>
    <w:rsid w:val="003F629B"/>
    <w:rsid w:val="00401161"/>
    <w:rsid w:val="004019DB"/>
    <w:rsid w:val="00402B67"/>
    <w:rsid w:val="00403C91"/>
    <w:rsid w:val="0040433E"/>
    <w:rsid w:val="00404974"/>
    <w:rsid w:val="00404C8E"/>
    <w:rsid w:val="0040726A"/>
    <w:rsid w:val="004100B0"/>
    <w:rsid w:val="0041267F"/>
    <w:rsid w:val="00424BA5"/>
    <w:rsid w:val="00425431"/>
    <w:rsid w:val="004267C3"/>
    <w:rsid w:val="00431829"/>
    <w:rsid w:val="00436C47"/>
    <w:rsid w:val="00437B60"/>
    <w:rsid w:val="00437FAE"/>
    <w:rsid w:val="004405E6"/>
    <w:rsid w:val="00443C84"/>
    <w:rsid w:val="00443C89"/>
    <w:rsid w:val="004540AA"/>
    <w:rsid w:val="00456A78"/>
    <w:rsid w:val="00456BD8"/>
    <w:rsid w:val="00456DC8"/>
    <w:rsid w:val="00464307"/>
    <w:rsid w:val="0046549D"/>
    <w:rsid w:val="00471668"/>
    <w:rsid w:val="00477876"/>
    <w:rsid w:val="00481F98"/>
    <w:rsid w:val="004852BF"/>
    <w:rsid w:val="00487A46"/>
    <w:rsid w:val="00493504"/>
    <w:rsid w:val="00494579"/>
    <w:rsid w:val="00497334"/>
    <w:rsid w:val="004973BD"/>
    <w:rsid w:val="004A4645"/>
    <w:rsid w:val="004A6F3A"/>
    <w:rsid w:val="004B3B1A"/>
    <w:rsid w:val="004B408D"/>
    <w:rsid w:val="004B6F68"/>
    <w:rsid w:val="004B73F7"/>
    <w:rsid w:val="004D1F94"/>
    <w:rsid w:val="004D4FB3"/>
    <w:rsid w:val="004D5467"/>
    <w:rsid w:val="004D75A6"/>
    <w:rsid w:val="004D7AE3"/>
    <w:rsid w:val="004E3456"/>
    <w:rsid w:val="004F0468"/>
    <w:rsid w:val="004F3DF0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34B3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0C1"/>
    <w:rsid w:val="00555BA0"/>
    <w:rsid w:val="00556E41"/>
    <w:rsid w:val="00563C29"/>
    <w:rsid w:val="0057496F"/>
    <w:rsid w:val="00575079"/>
    <w:rsid w:val="005770A6"/>
    <w:rsid w:val="0058227A"/>
    <w:rsid w:val="00582BC9"/>
    <w:rsid w:val="0059045B"/>
    <w:rsid w:val="0059114C"/>
    <w:rsid w:val="0059624D"/>
    <w:rsid w:val="00597EC2"/>
    <w:rsid w:val="005A13AB"/>
    <w:rsid w:val="005A27B0"/>
    <w:rsid w:val="005B1150"/>
    <w:rsid w:val="005B18DE"/>
    <w:rsid w:val="005B1FFC"/>
    <w:rsid w:val="005B2B6D"/>
    <w:rsid w:val="005B4B4E"/>
    <w:rsid w:val="005B5102"/>
    <w:rsid w:val="005C3A76"/>
    <w:rsid w:val="005D5B6F"/>
    <w:rsid w:val="005D74E3"/>
    <w:rsid w:val="005E38A5"/>
    <w:rsid w:val="005E6BF6"/>
    <w:rsid w:val="005F2A2C"/>
    <w:rsid w:val="005F5185"/>
    <w:rsid w:val="0062115C"/>
    <w:rsid w:val="006212F2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14F7"/>
    <w:rsid w:val="006455AE"/>
    <w:rsid w:val="006504DE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3B69"/>
    <w:rsid w:val="006A5A89"/>
    <w:rsid w:val="006B3BB9"/>
    <w:rsid w:val="006B48AC"/>
    <w:rsid w:val="006B5977"/>
    <w:rsid w:val="006D1B59"/>
    <w:rsid w:val="006D2F9C"/>
    <w:rsid w:val="006D4351"/>
    <w:rsid w:val="006D5353"/>
    <w:rsid w:val="006D5424"/>
    <w:rsid w:val="006E120A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E84"/>
    <w:rsid w:val="00714914"/>
    <w:rsid w:val="00717EB6"/>
    <w:rsid w:val="007208D6"/>
    <w:rsid w:val="00723A2F"/>
    <w:rsid w:val="00726786"/>
    <w:rsid w:val="00732152"/>
    <w:rsid w:val="00742516"/>
    <w:rsid w:val="007428DF"/>
    <w:rsid w:val="00742BD1"/>
    <w:rsid w:val="00742E7A"/>
    <w:rsid w:val="0074424F"/>
    <w:rsid w:val="00750B90"/>
    <w:rsid w:val="00764FD9"/>
    <w:rsid w:val="00770E6E"/>
    <w:rsid w:val="00773567"/>
    <w:rsid w:val="007740B2"/>
    <w:rsid w:val="00774557"/>
    <w:rsid w:val="00774C1F"/>
    <w:rsid w:val="00780F26"/>
    <w:rsid w:val="0078194F"/>
    <w:rsid w:val="007926F6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2F3B"/>
    <w:rsid w:val="0083705D"/>
    <w:rsid w:val="0084242F"/>
    <w:rsid w:val="00845795"/>
    <w:rsid w:val="00847437"/>
    <w:rsid w:val="008576F3"/>
    <w:rsid w:val="008604F7"/>
    <w:rsid w:val="00876950"/>
    <w:rsid w:val="00882E15"/>
    <w:rsid w:val="00883C73"/>
    <w:rsid w:val="00884155"/>
    <w:rsid w:val="00890108"/>
    <w:rsid w:val="008901A2"/>
    <w:rsid w:val="00890984"/>
    <w:rsid w:val="00890E22"/>
    <w:rsid w:val="008A08B0"/>
    <w:rsid w:val="008B0385"/>
    <w:rsid w:val="008B1082"/>
    <w:rsid w:val="008B188E"/>
    <w:rsid w:val="008B397C"/>
    <w:rsid w:val="008B47F4"/>
    <w:rsid w:val="008B4ADA"/>
    <w:rsid w:val="008B4D04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05201"/>
    <w:rsid w:val="0090577F"/>
    <w:rsid w:val="009147D6"/>
    <w:rsid w:val="00914D98"/>
    <w:rsid w:val="00925F8C"/>
    <w:rsid w:val="00927324"/>
    <w:rsid w:val="00931E8B"/>
    <w:rsid w:val="00932ED7"/>
    <w:rsid w:val="00933990"/>
    <w:rsid w:val="00935858"/>
    <w:rsid w:val="00941B89"/>
    <w:rsid w:val="00941DEA"/>
    <w:rsid w:val="009656CC"/>
    <w:rsid w:val="00970E8C"/>
    <w:rsid w:val="00971671"/>
    <w:rsid w:val="00973FD9"/>
    <w:rsid w:val="00981A37"/>
    <w:rsid w:val="00982BC6"/>
    <w:rsid w:val="009830B2"/>
    <w:rsid w:val="009904D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1F8F"/>
    <w:rsid w:val="009B4D21"/>
    <w:rsid w:val="009B5A73"/>
    <w:rsid w:val="009C54C9"/>
    <w:rsid w:val="009C589C"/>
    <w:rsid w:val="009D192B"/>
    <w:rsid w:val="009D2582"/>
    <w:rsid w:val="009D3341"/>
    <w:rsid w:val="009D33E1"/>
    <w:rsid w:val="009D3B45"/>
    <w:rsid w:val="009D4A7C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5D31"/>
    <w:rsid w:val="009F6074"/>
    <w:rsid w:val="00A04523"/>
    <w:rsid w:val="00A14AF6"/>
    <w:rsid w:val="00A14D0F"/>
    <w:rsid w:val="00A16159"/>
    <w:rsid w:val="00A161E6"/>
    <w:rsid w:val="00A17885"/>
    <w:rsid w:val="00A2337D"/>
    <w:rsid w:val="00A25A31"/>
    <w:rsid w:val="00A31BBE"/>
    <w:rsid w:val="00A31D06"/>
    <w:rsid w:val="00A31D34"/>
    <w:rsid w:val="00A333EF"/>
    <w:rsid w:val="00A33F85"/>
    <w:rsid w:val="00A3424C"/>
    <w:rsid w:val="00A40645"/>
    <w:rsid w:val="00A421B8"/>
    <w:rsid w:val="00A46C04"/>
    <w:rsid w:val="00A53CBB"/>
    <w:rsid w:val="00A6016C"/>
    <w:rsid w:val="00A653CD"/>
    <w:rsid w:val="00A66C8E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B6EDB"/>
    <w:rsid w:val="00AC0430"/>
    <w:rsid w:val="00AC1479"/>
    <w:rsid w:val="00AC2AAC"/>
    <w:rsid w:val="00AC40F1"/>
    <w:rsid w:val="00AC4C45"/>
    <w:rsid w:val="00AC7797"/>
    <w:rsid w:val="00AD1085"/>
    <w:rsid w:val="00AD5B40"/>
    <w:rsid w:val="00AE688E"/>
    <w:rsid w:val="00AF289F"/>
    <w:rsid w:val="00AF30B9"/>
    <w:rsid w:val="00AF43DF"/>
    <w:rsid w:val="00AF54A7"/>
    <w:rsid w:val="00AF5646"/>
    <w:rsid w:val="00AF67A4"/>
    <w:rsid w:val="00AF7510"/>
    <w:rsid w:val="00B03982"/>
    <w:rsid w:val="00B12D31"/>
    <w:rsid w:val="00B1549E"/>
    <w:rsid w:val="00B15F6E"/>
    <w:rsid w:val="00B21BEE"/>
    <w:rsid w:val="00B23284"/>
    <w:rsid w:val="00B25BCB"/>
    <w:rsid w:val="00B27F51"/>
    <w:rsid w:val="00B326C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6CFC"/>
    <w:rsid w:val="00B85B6D"/>
    <w:rsid w:val="00B85C28"/>
    <w:rsid w:val="00B919FA"/>
    <w:rsid w:val="00B94A16"/>
    <w:rsid w:val="00BA6044"/>
    <w:rsid w:val="00BB1A93"/>
    <w:rsid w:val="00BC0EFB"/>
    <w:rsid w:val="00BC14BF"/>
    <w:rsid w:val="00BC2625"/>
    <w:rsid w:val="00BC3200"/>
    <w:rsid w:val="00BC338A"/>
    <w:rsid w:val="00BD0E82"/>
    <w:rsid w:val="00BD7AB0"/>
    <w:rsid w:val="00BE0547"/>
    <w:rsid w:val="00BF3C20"/>
    <w:rsid w:val="00BF762F"/>
    <w:rsid w:val="00C011BC"/>
    <w:rsid w:val="00C03DBA"/>
    <w:rsid w:val="00C112E7"/>
    <w:rsid w:val="00C11665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5F76"/>
    <w:rsid w:val="00C4194E"/>
    <w:rsid w:val="00C4227D"/>
    <w:rsid w:val="00C516B1"/>
    <w:rsid w:val="00C5350C"/>
    <w:rsid w:val="00C5372C"/>
    <w:rsid w:val="00C56E09"/>
    <w:rsid w:val="00C61B1B"/>
    <w:rsid w:val="00C62FDA"/>
    <w:rsid w:val="00C64060"/>
    <w:rsid w:val="00C644C4"/>
    <w:rsid w:val="00C66AB7"/>
    <w:rsid w:val="00C673D1"/>
    <w:rsid w:val="00C74087"/>
    <w:rsid w:val="00C746CB"/>
    <w:rsid w:val="00C751DF"/>
    <w:rsid w:val="00C77BBF"/>
    <w:rsid w:val="00C77D64"/>
    <w:rsid w:val="00C81564"/>
    <w:rsid w:val="00C9080C"/>
    <w:rsid w:val="00C94429"/>
    <w:rsid w:val="00C94F14"/>
    <w:rsid w:val="00C974B0"/>
    <w:rsid w:val="00CA18FD"/>
    <w:rsid w:val="00CA27E5"/>
    <w:rsid w:val="00CA4897"/>
    <w:rsid w:val="00CA6928"/>
    <w:rsid w:val="00CB3D3F"/>
    <w:rsid w:val="00CB4E2C"/>
    <w:rsid w:val="00CB5200"/>
    <w:rsid w:val="00CB5A1A"/>
    <w:rsid w:val="00CB7945"/>
    <w:rsid w:val="00CC59E6"/>
    <w:rsid w:val="00CD5BDD"/>
    <w:rsid w:val="00CE148A"/>
    <w:rsid w:val="00CF096B"/>
    <w:rsid w:val="00CF10F7"/>
    <w:rsid w:val="00CF5EE3"/>
    <w:rsid w:val="00CF691F"/>
    <w:rsid w:val="00D00D99"/>
    <w:rsid w:val="00D013A4"/>
    <w:rsid w:val="00D0236A"/>
    <w:rsid w:val="00D026DC"/>
    <w:rsid w:val="00D070FD"/>
    <w:rsid w:val="00D14B89"/>
    <w:rsid w:val="00D15595"/>
    <w:rsid w:val="00D24341"/>
    <w:rsid w:val="00D25803"/>
    <w:rsid w:val="00D343A8"/>
    <w:rsid w:val="00D37832"/>
    <w:rsid w:val="00D44860"/>
    <w:rsid w:val="00D45F87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1AE4"/>
    <w:rsid w:val="00DB2BE6"/>
    <w:rsid w:val="00DB76B3"/>
    <w:rsid w:val="00DC2B76"/>
    <w:rsid w:val="00DC34E9"/>
    <w:rsid w:val="00DC74D2"/>
    <w:rsid w:val="00DD1052"/>
    <w:rsid w:val="00DD3C7B"/>
    <w:rsid w:val="00DE2B21"/>
    <w:rsid w:val="00DE48DE"/>
    <w:rsid w:val="00DF25F2"/>
    <w:rsid w:val="00DF4166"/>
    <w:rsid w:val="00E000F4"/>
    <w:rsid w:val="00E01231"/>
    <w:rsid w:val="00E03B44"/>
    <w:rsid w:val="00E04279"/>
    <w:rsid w:val="00E10BD0"/>
    <w:rsid w:val="00E11393"/>
    <w:rsid w:val="00E125D9"/>
    <w:rsid w:val="00E16D30"/>
    <w:rsid w:val="00E31E69"/>
    <w:rsid w:val="00E33169"/>
    <w:rsid w:val="00E34A7B"/>
    <w:rsid w:val="00E40973"/>
    <w:rsid w:val="00E4395B"/>
    <w:rsid w:val="00E545FF"/>
    <w:rsid w:val="00E6080E"/>
    <w:rsid w:val="00E64168"/>
    <w:rsid w:val="00E646F2"/>
    <w:rsid w:val="00E655B3"/>
    <w:rsid w:val="00E7081D"/>
    <w:rsid w:val="00E70904"/>
    <w:rsid w:val="00E71319"/>
    <w:rsid w:val="00E75171"/>
    <w:rsid w:val="00E804B0"/>
    <w:rsid w:val="00E82F48"/>
    <w:rsid w:val="00E86772"/>
    <w:rsid w:val="00E9013B"/>
    <w:rsid w:val="00E90B8B"/>
    <w:rsid w:val="00E93ADD"/>
    <w:rsid w:val="00E952D8"/>
    <w:rsid w:val="00E95AAD"/>
    <w:rsid w:val="00EA43F5"/>
    <w:rsid w:val="00EB00E4"/>
    <w:rsid w:val="00EB0A79"/>
    <w:rsid w:val="00EB28DA"/>
    <w:rsid w:val="00EB3812"/>
    <w:rsid w:val="00EB44EB"/>
    <w:rsid w:val="00EB66B8"/>
    <w:rsid w:val="00EB791E"/>
    <w:rsid w:val="00EC399C"/>
    <w:rsid w:val="00EC70A9"/>
    <w:rsid w:val="00ED2EB4"/>
    <w:rsid w:val="00ED4C3A"/>
    <w:rsid w:val="00EE1C85"/>
    <w:rsid w:val="00EE4EC1"/>
    <w:rsid w:val="00EE64D3"/>
    <w:rsid w:val="00EF21D9"/>
    <w:rsid w:val="00EF2A94"/>
    <w:rsid w:val="00EF32FB"/>
    <w:rsid w:val="00EF44B1"/>
    <w:rsid w:val="00EF4865"/>
    <w:rsid w:val="00EF5954"/>
    <w:rsid w:val="00F03388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60EF9"/>
    <w:rsid w:val="00F654EE"/>
    <w:rsid w:val="00F73D03"/>
    <w:rsid w:val="00F76CB9"/>
    <w:rsid w:val="00F77A73"/>
    <w:rsid w:val="00F800A6"/>
    <w:rsid w:val="00F80E46"/>
    <w:rsid w:val="00F85901"/>
    <w:rsid w:val="00F96236"/>
    <w:rsid w:val="00FA10CE"/>
    <w:rsid w:val="00FA222F"/>
    <w:rsid w:val="00FA2891"/>
    <w:rsid w:val="00FA2A60"/>
    <w:rsid w:val="00FB3A85"/>
    <w:rsid w:val="00FB693D"/>
    <w:rsid w:val="00FB7768"/>
    <w:rsid w:val="00FC14D0"/>
    <w:rsid w:val="00FC7489"/>
    <w:rsid w:val="00FD1BA8"/>
    <w:rsid w:val="00FD218F"/>
    <w:rsid w:val="00FD5663"/>
    <w:rsid w:val="00FD56C6"/>
    <w:rsid w:val="00FD68CE"/>
    <w:rsid w:val="00FE3221"/>
    <w:rsid w:val="00FE48EA"/>
    <w:rsid w:val="00FE571F"/>
    <w:rsid w:val="00FF47F6"/>
    <w:rsid w:val="016E63C2"/>
    <w:rsid w:val="024B0C39"/>
    <w:rsid w:val="05984942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qFormat/>
    <w:uiPriority w:val="0"/>
  </w:style>
  <w:style w:type="character" w:styleId="23">
    <w:name w:val="Placeholder Text"/>
    <w:basedOn w:val="9"/>
    <w:unhideWhenUsed/>
    <w:qFormat/>
    <w:uiPriority w:val="99"/>
    <w:rPr>
      <w:color w:val="808080"/>
    </w:rPr>
  </w:style>
  <w:style w:type="character" w:customStyle="1" w:styleId="24">
    <w:name w:val="text_bqlxx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1139</Words>
  <Characters>1188</Characters>
  <Lines>315</Lines>
  <Paragraphs>372</Paragraphs>
  <TotalTime>697</TotalTime>
  <ScaleCrop>false</ScaleCrop>
  <LinksUpToDate>false</LinksUpToDate>
  <CharactersWithSpaces>1191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2023-11-21T00:52:00Z</cp:lastPrinted>
  <dcterms:modified xsi:type="dcterms:W3CDTF">2025-10-23T05:37:07Z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