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方正小标宋简体" w:hAnsi="宋体" w:eastAsiaTheme="minorEastAsia"/>
          <w:bCs/>
          <w:kern w:val="0"/>
          <w:szCs w:val="21"/>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【绘本鉴赏与创作】</w:t>
      </w:r>
    </w:p>
    <w:p>
      <w:pPr>
        <w:shd w:val="clear" w:color="auto" w:fill="F5F5F5"/>
        <w:jc w:val="center"/>
        <w:textAlignment w:val="top"/>
        <w:rPr>
          <w:rFonts w:ascii="Arial" w:hAnsi="Arial" w:cs="Arial"/>
          <w:color w:val="888888"/>
          <w:kern w:val="0"/>
          <w:sz w:val="20"/>
          <w:szCs w:val="20"/>
        </w:rPr>
      </w:pPr>
      <w:r>
        <w:rPr>
          <w:rFonts w:hint="eastAsia"/>
          <w:b/>
          <w:sz w:val="28"/>
          <w:szCs w:val="30"/>
        </w:rPr>
        <w:t>【A</w:t>
      </w:r>
      <w:r>
        <w:rPr>
          <w:b/>
          <w:sz w:val="28"/>
          <w:szCs w:val="30"/>
        </w:rPr>
        <w:t>ppreciation and creation of picturebook</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2135021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专业核心课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学前教育系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806" w:leftChars="380" w:hanging="8" w:hangingChars="4"/>
        <w:rPr>
          <w:color w:val="000000"/>
          <w:szCs w:val="21"/>
        </w:rPr>
      </w:pPr>
      <w:r>
        <w:rPr>
          <w:color w:val="000000"/>
          <w:sz w:val="20"/>
          <w:szCs w:val="20"/>
        </w:rPr>
        <w:t>教材【</w:t>
      </w:r>
      <w:r>
        <w:rPr>
          <w:rFonts w:hint="eastAsia"/>
          <w:color w:val="000000"/>
          <w:sz w:val="20"/>
          <w:szCs w:val="20"/>
        </w:rPr>
        <w:t>书名：绘本的世界——儿童绘本及创作，作者：伏倩倩，出版社：清华大学出版社，版本信息：2020-01-01（出版时间），版次：第1版，书号（ISBN）：9787302535102</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1.书名：世界图画书阅读与经典，作者：彭懿，出版社：接力出版社，版本信息：2011-09（出版时间），版次：第1版，书号（ISBN）：9787544819596；</w:t>
      </w:r>
    </w:p>
    <w:p>
      <w:pPr>
        <w:numPr>
          <w:ilvl w:val="0"/>
          <w:numId w:val="1"/>
        </w:numPr>
        <w:snapToGrid w:val="0"/>
        <w:spacing w:line="288" w:lineRule="auto"/>
        <w:ind w:left="718" w:leftChars="342" w:firstLine="100" w:firstLineChars="50"/>
        <w:rPr>
          <w:color w:val="000000"/>
          <w:sz w:val="20"/>
          <w:szCs w:val="20"/>
        </w:rPr>
      </w:pPr>
      <w:r>
        <w:rPr>
          <w:rFonts w:hint="eastAsia"/>
          <w:color w:val="000000"/>
          <w:sz w:val="20"/>
          <w:szCs w:val="20"/>
        </w:rPr>
        <w:t>书名：我的图画书论，作者：松居直，出版社：上海人民美术出版社，版本信息：2009-03-01（出版时间），版次：第1版，书号（ISBN）：9787532258529；</w:t>
      </w:r>
    </w:p>
    <w:p>
      <w:pPr>
        <w:numPr>
          <w:ilvl w:val="0"/>
          <w:numId w:val="1"/>
        </w:numPr>
        <w:snapToGrid w:val="0"/>
        <w:spacing w:line="288" w:lineRule="auto"/>
        <w:ind w:left="718" w:leftChars="342" w:firstLine="100" w:firstLineChars="50"/>
        <w:rPr>
          <w:color w:val="000000"/>
          <w:szCs w:val="21"/>
        </w:rPr>
      </w:pPr>
      <w:r>
        <w:rPr>
          <w:rFonts w:hint="eastAsia"/>
          <w:color w:val="000000"/>
          <w:sz w:val="20"/>
          <w:szCs w:val="20"/>
        </w:rPr>
        <w:t>书名：绘本之力，作者：河合隼雄，松居直，柳田邦男，出版社：贵州人民出版社，版本信息：2011-08（出版时间），版次：第1版，书号（ISBN）：9787221093851；</w:t>
      </w:r>
    </w:p>
    <w:p>
      <w:pPr>
        <w:pStyle w:val="10"/>
        <w:numPr>
          <w:ilvl w:val="0"/>
          <w:numId w:val="1"/>
        </w:numPr>
        <w:ind w:firstLineChars="0"/>
        <w:rPr>
          <w:color w:val="000000"/>
          <w:sz w:val="20"/>
          <w:szCs w:val="20"/>
        </w:rPr>
      </w:pPr>
      <w:r>
        <w:rPr>
          <w:color w:val="000000"/>
          <w:sz w:val="20"/>
          <w:szCs w:val="20"/>
        </w:rPr>
        <w:t xml:space="preserve"> </w:t>
      </w:r>
      <w:r>
        <w:rPr>
          <w:rFonts w:hint="eastAsia"/>
          <w:color w:val="000000"/>
          <w:sz w:val="20"/>
          <w:szCs w:val="20"/>
        </w:rPr>
        <w:t>书名：好绘本如何好，作者：郝广才，出版社：21世纪出版社，版本信息：</w:t>
      </w:r>
      <w:r>
        <w:rPr>
          <w:color w:val="000000"/>
          <w:sz w:val="20"/>
          <w:szCs w:val="20"/>
        </w:rPr>
        <w:t>2009-10-01</w:t>
      </w:r>
      <w:r>
        <w:rPr>
          <w:rFonts w:hint="eastAsia"/>
          <w:color w:val="000000"/>
          <w:sz w:val="20"/>
          <w:szCs w:val="20"/>
        </w:rPr>
        <w:t>（出版时间），版次：第1版，书号（ISBN）：</w:t>
      </w:r>
      <w:r>
        <w:rPr>
          <w:color w:val="000000"/>
          <w:sz w:val="20"/>
          <w:szCs w:val="20"/>
        </w:rPr>
        <w:t>9787539151755</w:t>
      </w:r>
      <w:r>
        <w:rPr>
          <w:rFonts w:hint="eastAsia"/>
          <w:color w:val="000000"/>
          <w:sz w:val="20"/>
          <w:szCs w:val="20"/>
        </w:rPr>
        <w:t>。</w:t>
      </w:r>
      <w:r>
        <w:rPr>
          <w:color w:val="000000"/>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课程网站网址：</w:t>
      </w:r>
      <w:r>
        <w:rPr>
          <w:color w:val="000000"/>
          <w:sz w:val="20"/>
          <w:szCs w:val="20"/>
        </w:rPr>
        <w:t>https://www.icourse163.org/course/NCLG-1449785171?from=searchPage</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美术，幼儿实用美术</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widowControl/>
        <w:spacing w:before="156" w:beforeLines="50" w:after="156" w:afterLines="50" w:line="288" w:lineRule="auto"/>
        <w:ind w:firstLine="300" w:firstLineChars="150"/>
        <w:jc w:val="left"/>
        <w:rPr>
          <w:color w:val="000000"/>
          <w:sz w:val="20"/>
          <w:szCs w:val="20"/>
        </w:rPr>
      </w:pPr>
      <w:r>
        <w:rPr>
          <w:rFonts w:hint="eastAsia"/>
          <w:color w:val="000000"/>
          <w:sz w:val="20"/>
          <w:szCs w:val="20"/>
        </w:rPr>
        <w:t>《绘本鉴赏与创作》是学前教育专业的一门基础课程。本课程从绘本的结构出发，通过梳理理论知识和探讨研究案例，引导学生从绘本语言的故事性表现、文学语言分析、儿童教育主题以及绘本信息传达等方面进行绘本欣赏，进一步树立正确的儿童观和教育观。运用已学习的幼儿实用美术和儿童文学知识与技能分析绘本主题与画面结构、造型、色彩以及画面与文字之间的关系，在此基础上尝试创作绘本故事。</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snapToGrid w:val="0"/>
        <w:spacing w:line="288" w:lineRule="auto"/>
        <w:ind w:firstLine="400" w:firstLineChars="200"/>
        <w:rPr>
          <w:color w:val="000000"/>
          <w:sz w:val="20"/>
          <w:szCs w:val="20"/>
        </w:rPr>
      </w:pPr>
      <w:r>
        <w:rPr>
          <w:rFonts w:hint="eastAsia"/>
          <w:color w:val="000000"/>
          <w:sz w:val="20"/>
          <w:szCs w:val="20"/>
        </w:rPr>
        <w:t>本课程建议学前教育专业的三年级学生选课，学生在美术学、儿童文学以及教育学、心理学方面有一定的知识基础，具有一定的阅读能力、辩证的思维方法，同时学生应具备一定的分析与创作能力。</w:t>
      </w:r>
    </w:p>
    <w:p>
      <w:pPr>
        <w:widowControl/>
        <w:numPr>
          <w:ilvl w:val="0"/>
          <w:numId w:val="2"/>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Times New Roman" w:hAnsi="Times New Roman"/>
                <w:kern w:val="0"/>
                <w:sz w:val="20"/>
                <w:szCs w:val="20"/>
              </w:rPr>
            </w:pPr>
            <w:r>
              <w:rPr>
                <w:rFonts w:ascii="仿宋" w:hAnsi="仿宋" w:eastAsia="仿宋" w:cs="宋体"/>
                <w:color w:val="000000"/>
                <w:kern w:val="0"/>
                <w:sz w:val="24"/>
                <w:szCs w:val="24"/>
              </w:rPr>
              <w:t>XQ21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ascii="仿宋" w:hAnsi="仿宋" w:eastAsia="仿宋" w:cs="宋体"/>
                <w:color w:val="000000"/>
                <w:kern w:val="0"/>
                <w:sz w:val="24"/>
                <w:szCs w:val="24"/>
              </w:rPr>
              <w:t>XQ41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Times New Roman" w:hAnsi="Times New Roman"/>
                <w:kern w:val="0"/>
                <w:sz w:val="20"/>
                <w:szCs w:val="20"/>
              </w:rPr>
            </w:pPr>
            <w:r>
              <w:rPr>
                <w:rFonts w:ascii="仿宋" w:hAnsi="仿宋" w:eastAsia="仿宋" w:cs="宋体"/>
                <w:color w:val="000000"/>
                <w:kern w:val="0"/>
                <w:sz w:val="24"/>
                <w:szCs w:val="24"/>
              </w:rPr>
              <w:t>XQ42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Times New Roman" w:hAnsi="Times New Roman"/>
                <w:kern w:val="0"/>
                <w:sz w:val="20"/>
                <w:szCs w:val="20"/>
              </w:rPr>
            </w:pPr>
            <w:r>
              <w:rPr>
                <w:rFonts w:ascii="仿宋" w:hAnsi="仿宋" w:eastAsia="仿宋" w:cs="宋体"/>
                <w:color w:val="000000"/>
                <w:kern w:val="0"/>
                <w:sz w:val="24"/>
                <w:szCs w:val="24"/>
              </w:rPr>
              <w:t>XQ43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rPr>
          <w:rFonts w:ascii="黑体" w:hAnsi="宋体" w:eastAsia="黑体"/>
          <w:sz w:val="24"/>
        </w:rPr>
      </w:pPr>
    </w:p>
    <w:p>
      <w:pPr>
        <w:ind w:firstLine="420" w:firstLineChars="200"/>
      </w:pPr>
      <w:r>
        <w:rPr>
          <w:rFonts w:hint="eastAsia"/>
        </w:rPr>
        <w:t>备注：XQ</w:t>
      </w:r>
      <w:r>
        <w:t xml:space="preserve"> </w:t>
      </w:r>
      <w:r>
        <w:rPr>
          <w:rFonts w:hint="eastAsia"/>
        </w:rPr>
        <w:t>=</w:t>
      </w:r>
      <w:r>
        <w:t xml:space="preserve"> </w:t>
      </w:r>
      <w:r>
        <w:rPr>
          <w:rFonts w:hint="eastAsia"/>
        </w:rPr>
        <w:t>学前教育.</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069"/>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06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40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XQ121</w:t>
            </w:r>
          </w:p>
        </w:tc>
        <w:tc>
          <w:tcPr>
            <w:tcW w:w="2470" w:type="dxa"/>
            <w:shd w:val="clear" w:color="auto" w:fill="auto"/>
          </w:tcPr>
          <w:p>
            <w:pPr>
              <w:numPr>
                <w:ilvl w:val="0"/>
                <w:numId w:val="3"/>
              </w:numPr>
              <w:rPr>
                <w:rFonts w:ascii="仿宋" w:hAnsi="仿宋" w:eastAsia="仿宋" w:cs="宋体"/>
                <w:color w:val="000000"/>
                <w:kern w:val="0"/>
                <w:sz w:val="24"/>
              </w:rPr>
            </w:pPr>
            <w:r>
              <w:rPr>
                <w:rFonts w:hint="eastAsia" w:ascii="仿宋" w:hAnsi="仿宋" w:eastAsia="仿宋" w:cs="宋体"/>
                <w:color w:val="000000"/>
                <w:kern w:val="0"/>
                <w:sz w:val="24"/>
              </w:rPr>
              <w:t>掌握绘本的基本理论和图文特征</w:t>
            </w:r>
          </w:p>
          <w:p>
            <w:pPr>
              <w:rPr>
                <w:rFonts w:ascii="仿宋" w:hAnsi="仿宋" w:eastAsia="仿宋" w:cs="宋体"/>
                <w:color w:val="000000"/>
                <w:kern w:val="0"/>
                <w:sz w:val="24"/>
              </w:rPr>
            </w:pPr>
            <w:r>
              <w:rPr>
                <w:rFonts w:hint="eastAsia" w:ascii="仿宋" w:hAnsi="仿宋" w:eastAsia="仿宋" w:cs="宋体"/>
                <w:color w:val="000000"/>
                <w:kern w:val="0"/>
                <w:sz w:val="24"/>
              </w:rPr>
              <w:t xml:space="preserve">2.熟悉绘本的发展史  </w:t>
            </w:r>
          </w:p>
          <w:p>
            <w:pPr>
              <w:rPr>
                <w:rFonts w:ascii="仿宋" w:hAnsi="仿宋" w:eastAsia="仿宋" w:cs="宋体"/>
                <w:color w:val="000000"/>
                <w:kern w:val="0"/>
                <w:sz w:val="24"/>
              </w:rPr>
            </w:pPr>
            <w:r>
              <w:rPr>
                <w:rFonts w:hint="eastAsia" w:ascii="仿宋" w:hAnsi="仿宋" w:eastAsia="仿宋" w:cs="宋体"/>
                <w:color w:val="000000"/>
                <w:kern w:val="0"/>
                <w:sz w:val="24"/>
              </w:rPr>
              <w:t xml:space="preserve">3.了解著名的绘本作家和画家，阅读一定量的绘本作品。 </w:t>
            </w:r>
          </w:p>
        </w:tc>
        <w:tc>
          <w:tcPr>
            <w:tcW w:w="2069"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课堂讲授</w:t>
            </w:r>
          </w:p>
          <w:p>
            <w:pPr>
              <w:rPr>
                <w:rFonts w:ascii="仿宋" w:hAnsi="仿宋" w:eastAsia="仿宋" w:cs="宋体"/>
                <w:color w:val="000000"/>
                <w:kern w:val="0"/>
                <w:sz w:val="24"/>
              </w:rPr>
            </w:pPr>
            <w:r>
              <w:rPr>
                <w:rFonts w:hint="eastAsia" w:ascii="仿宋" w:hAnsi="仿宋" w:eastAsia="仿宋" w:cs="宋体"/>
                <w:color w:val="000000"/>
                <w:kern w:val="0"/>
                <w:sz w:val="24"/>
              </w:rPr>
              <w:t>小组讨论</w:t>
            </w:r>
          </w:p>
          <w:p>
            <w:pPr>
              <w:rPr>
                <w:rFonts w:ascii="仿宋" w:hAnsi="仿宋" w:eastAsia="仿宋" w:cs="宋体"/>
                <w:color w:val="000000"/>
                <w:kern w:val="0"/>
                <w:sz w:val="24"/>
              </w:rPr>
            </w:pPr>
            <w:r>
              <w:rPr>
                <w:rFonts w:hint="eastAsia" w:ascii="仿宋" w:hAnsi="仿宋" w:eastAsia="仿宋" w:cs="宋体"/>
                <w:color w:val="000000"/>
                <w:kern w:val="0"/>
                <w:sz w:val="24"/>
              </w:rPr>
              <w:t>学生自主阅读</w:t>
            </w:r>
          </w:p>
        </w:tc>
        <w:tc>
          <w:tcPr>
            <w:tcW w:w="1406" w:type="dxa"/>
            <w:shd w:val="clear" w:color="auto" w:fill="auto"/>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课后作业</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平时表现</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作品展示</w:t>
            </w:r>
          </w:p>
          <w:p>
            <w:pPr>
              <w:snapToGrid w:val="0"/>
              <w:spacing w:line="288" w:lineRule="auto"/>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XQ122</w:t>
            </w:r>
          </w:p>
        </w:tc>
        <w:tc>
          <w:tcPr>
            <w:tcW w:w="2470" w:type="dxa"/>
            <w:shd w:val="clear" w:color="auto" w:fill="auto"/>
          </w:tcPr>
          <w:p>
            <w:pPr>
              <w:numPr>
                <w:ilvl w:val="0"/>
                <w:numId w:val="4"/>
              </w:numPr>
              <w:tabs>
                <w:tab w:val="clear" w:pos="312"/>
              </w:tabs>
              <w:rPr>
                <w:rFonts w:ascii="仿宋" w:hAnsi="仿宋" w:eastAsia="仿宋" w:cs="宋体"/>
                <w:color w:val="000000"/>
                <w:kern w:val="0"/>
                <w:sz w:val="24"/>
              </w:rPr>
            </w:pPr>
            <w:r>
              <w:rPr>
                <w:rFonts w:hint="eastAsia" w:ascii="仿宋" w:hAnsi="仿宋" w:eastAsia="仿宋" w:cs="宋体"/>
                <w:color w:val="000000"/>
                <w:kern w:val="0"/>
                <w:sz w:val="24"/>
              </w:rPr>
              <w:t>拓展阅读视野，建立并深化现代、科学的儿童观和儿童文学观</w:t>
            </w:r>
          </w:p>
          <w:p>
            <w:pPr>
              <w:numPr>
                <w:ilvl w:val="0"/>
                <w:numId w:val="4"/>
              </w:numPr>
              <w:tabs>
                <w:tab w:val="clear" w:pos="312"/>
              </w:tabs>
              <w:rPr>
                <w:rFonts w:ascii="仿宋" w:hAnsi="仿宋" w:eastAsia="仿宋" w:cs="宋体"/>
                <w:color w:val="000000"/>
                <w:kern w:val="0"/>
                <w:sz w:val="24"/>
              </w:rPr>
            </w:pPr>
            <w:r>
              <w:rPr>
                <w:rFonts w:hint="eastAsia" w:ascii="仿宋" w:hAnsi="仿宋" w:eastAsia="仿宋" w:cs="宋体"/>
                <w:color w:val="000000"/>
                <w:kern w:val="0"/>
                <w:sz w:val="24"/>
              </w:rPr>
              <w:t>把握绘本的艺术特征和审美风格，能够运用所学知识对各类绘本作品进行分析鉴赏，尝试创作绘本作品。</w:t>
            </w:r>
          </w:p>
        </w:tc>
        <w:tc>
          <w:tcPr>
            <w:tcW w:w="2069" w:type="dxa"/>
            <w:shd w:val="clear" w:color="auto" w:fill="auto"/>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课堂讲授</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小组讨论</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自主阅读</w:t>
            </w:r>
          </w:p>
        </w:tc>
        <w:tc>
          <w:tcPr>
            <w:tcW w:w="1406" w:type="dxa"/>
            <w:shd w:val="clear" w:color="auto" w:fill="auto"/>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课后作业</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平时表现</w:t>
            </w:r>
          </w:p>
          <w:p>
            <w:pPr>
              <w:snapToGrid w:val="0"/>
              <w:spacing w:line="288" w:lineRule="auto"/>
              <w:rPr>
                <w:rFonts w:ascii="黑体" w:hAnsi="宋体" w:eastAsia="黑体"/>
                <w:sz w:val="24"/>
              </w:rPr>
            </w:pPr>
            <w:r>
              <w:rPr>
                <w:rFonts w:hint="eastAsia" w:ascii="仿宋" w:hAnsi="仿宋" w:eastAsia="仿宋" w:cs="宋体"/>
                <w:color w:val="000000"/>
                <w:kern w:val="0"/>
                <w:sz w:val="24"/>
              </w:rPr>
              <w:t>作品展示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XQ123</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提高绘本鉴赏提升儿童文学的审美素养和研究能力</w:t>
            </w:r>
          </w:p>
        </w:tc>
        <w:tc>
          <w:tcPr>
            <w:tcW w:w="2069" w:type="dxa"/>
            <w:shd w:val="clear" w:color="auto" w:fill="auto"/>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翻转课堂</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小组讨论</w:t>
            </w:r>
          </w:p>
          <w:p>
            <w:pPr>
              <w:snapToGrid w:val="0"/>
              <w:spacing w:line="288" w:lineRule="auto"/>
              <w:rPr>
                <w:rFonts w:hint="eastAsia" w:ascii="仿宋" w:hAnsi="仿宋" w:eastAsia="仿宋" w:cs="宋体"/>
                <w:color w:val="000000"/>
                <w:kern w:val="0"/>
                <w:sz w:val="24"/>
              </w:rPr>
            </w:pPr>
            <w:r>
              <w:rPr>
                <w:rFonts w:hint="eastAsia" w:ascii="仿宋" w:hAnsi="仿宋" w:eastAsia="仿宋" w:cs="宋体"/>
                <w:color w:val="000000"/>
                <w:kern w:val="0"/>
                <w:sz w:val="24"/>
              </w:rPr>
              <w:t>自主阅读</w:t>
            </w:r>
          </w:p>
        </w:tc>
        <w:tc>
          <w:tcPr>
            <w:tcW w:w="1406" w:type="dxa"/>
            <w:shd w:val="clear" w:color="auto" w:fill="auto"/>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课后作业</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作品展示</w:t>
            </w:r>
          </w:p>
          <w:p>
            <w:pPr>
              <w:snapToGrid w:val="0"/>
              <w:spacing w:line="288" w:lineRule="auto"/>
              <w:rPr>
                <w:rFonts w:ascii="黑体" w:hAnsi="宋体" w:eastAsia="黑体"/>
                <w:sz w:val="24"/>
              </w:rPr>
            </w:pPr>
            <w:r>
              <w:rPr>
                <w:rFonts w:hint="eastAsia" w:ascii="仿宋" w:hAnsi="仿宋" w:eastAsia="仿宋" w:cs="宋体"/>
                <w:color w:val="000000"/>
                <w:kern w:val="0"/>
                <w:sz w:val="24"/>
              </w:rPr>
              <w:t>课堂表现</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宋体" w:hAnsi="宋体"/>
          <w:sz w:val="20"/>
          <w:szCs w:val="20"/>
        </w:rPr>
      </w:pPr>
      <w:r>
        <w:rPr>
          <w:rFonts w:hint="eastAsia" w:ascii="黑体" w:hAnsi="宋体" w:eastAsia="黑体"/>
          <w:sz w:val="24"/>
        </w:rPr>
        <w:t>六、</w:t>
      </w:r>
      <w:r>
        <w:rPr>
          <w:rFonts w:ascii="黑体" w:hAnsi="宋体" w:eastAsia="黑体"/>
          <w:sz w:val="24"/>
        </w:rPr>
        <w:t>课程内容</w:t>
      </w:r>
    </w:p>
    <w:p>
      <w:pPr>
        <w:snapToGrid w:val="0"/>
        <w:spacing w:line="288" w:lineRule="auto"/>
        <w:rPr>
          <w:rFonts w:ascii="宋体" w:hAnsi="宋体"/>
          <w:sz w:val="20"/>
          <w:szCs w:val="20"/>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firstLine="402" w:firstLineChars="200"/>
              <w:jc w:val="left"/>
              <w:rPr>
                <w:rFonts w:ascii="Times New Roman" w:hAnsi="Times New Roman"/>
                <w:sz w:val="20"/>
                <w:szCs w:val="20"/>
              </w:rPr>
            </w:pPr>
            <w:r>
              <w:rPr>
                <w:rFonts w:hint="eastAsia" w:ascii="宋体" w:hAnsi="宋体"/>
                <w:b/>
                <w:bCs/>
                <w:sz w:val="20"/>
                <w:szCs w:val="20"/>
              </w:rPr>
              <w:t>单元</w:t>
            </w:r>
          </w:p>
        </w:tc>
        <w:tc>
          <w:tcPr>
            <w:tcW w:w="2130" w:type="dxa"/>
          </w:tcPr>
          <w:p>
            <w:pPr>
              <w:snapToGrid w:val="0"/>
              <w:spacing w:line="288" w:lineRule="auto"/>
              <w:ind w:firstLine="402" w:firstLineChars="200"/>
              <w:jc w:val="left"/>
              <w:rPr>
                <w:rFonts w:ascii="Times New Roman" w:hAnsi="Times New Roman"/>
                <w:sz w:val="20"/>
                <w:szCs w:val="20"/>
              </w:rPr>
            </w:pPr>
            <w:r>
              <w:rPr>
                <w:rFonts w:hint="eastAsia" w:ascii="宋体" w:hAnsi="宋体"/>
                <w:b/>
                <w:bCs/>
                <w:sz w:val="20"/>
                <w:szCs w:val="20"/>
              </w:rPr>
              <w:t>知识点</w:t>
            </w:r>
          </w:p>
        </w:tc>
        <w:tc>
          <w:tcPr>
            <w:tcW w:w="2131" w:type="dxa"/>
          </w:tcPr>
          <w:p>
            <w:pPr>
              <w:snapToGrid w:val="0"/>
              <w:spacing w:line="288" w:lineRule="auto"/>
              <w:ind w:firstLine="402" w:firstLineChars="200"/>
              <w:jc w:val="left"/>
              <w:rPr>
                <w:rFonts w:ascii="Times New Roman" w:hAnsi="Times New Roman"/>
                <w:sz w:val="20"/>
                <w:szCs w:val="20"/>
              </w:rPr>
            </w:pPr>
            <w:r>
              <w:rPr>
                <w:rFonts w:hint="eastAsia" w:ascii="宋体" w:hAnsi="宋体"/>
                <w:b/>
                <w:bCs/>
                <w:sz w:val="20"/>
                <w:szCs w:val="20"/>
              </w:rPr>
              <w:t>能力要求</w:t>
            </w:r>
          </w:p>
        </w:tc>
        <w:tc>
          <w:tcPr>
            <w:tcW w:w="2131" w:type="dxa"/>
          </w:tcPr>
          <w:p>
            <w:pPr>
              <w:snapToGrid w:val="0"/>
              <w:spacing w:line="288" w:lineRule="auto"/>
              <w:ind w:firstLine="402" w:firstLineChars="200"/>
              <w:jc w:val="left"/>
              <w:rPr>
                <w:rFonts w:ascii="Times New Roman" w:hAnsi="Times New Roman"/>
                <w:sz w:val="20"/>
                <w:szCs w:val="20"/>
              </w:rPr>
            </w:pPr>
            <w:r>
              <w:rPr>
                <w:rFonts w:hint="eastAsia" w:ascii="宋体" w:hAnsi="宋体"/>
                <w:b/>
                <w:bCs/>
                <w:sz w:val="20"/>
                <w:szCs w:val="20"/>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tcPr>
          <w:p>
            <w:pPr>
              <w:snapToGrid w:val="0"/>
              <w:spacing w:line="288" w:lineRule="auto"/>
              <w:ind w:right="26"/>
              <w:rPr>
                <w:rFonts w:ascii="宋体" w:hAnsi="宋体"/>
                <w:sz w:val="20"/>
                <w:szCs w:val="20"/>
              </w:rPr>
            </w:pPr>
            <w:r>
              <w:rPr>
                <w:rFonts w:hint="eastAsia" w:ascii="宋体" w:hAnsi="宋体"/>
                <w:sz w:val="20"/>
                <w:szCs w:val="20"/>
              </w:rPr>
              <w:t>绘本概念及结构</w:t>
            </w:r>
          </w:p>
          <w:p>
            <w:pPr>
              <w:snapToGrid w:val="0"/>
              <w:spacing w:line="288" w:lineRule="auto"/>
              <w:ind w:right="26"/>
              <w:rPr>
                <w:rFonts w:ascii="Times New Roman" w:hAnsi="Times New Roman"/>
                <w:sz w:val="20"/>
                <w:szCs w:val="20"/>
              </w:rPr>
            </w:pPr>
            <w:r>
              <w:rPr>
                <w:rFonts w:hint="eastAsia" w:ascii="宋体" w:hAnsi="宋体"/>
                <w:sz w:val="20"/>
                <w:szCs w:val="20"/>
              </w:rPr>
              <w:t>（6课时）</w:t>
            </w:r>
          </w:p>
        </w:tc>
        <w:tc>
          <w:tcPr>
            <w:tcW w:w="2130" w:type="dxa"/>
          </w:tcPr>
          <w:p>
            <w:pPr>
              <w:numPr>
                <w:ilvl w:val="0"/>
                <w:numId w:val="5"/>
              </w:numPr>
              <w:snapToGrid w:val="0"/>
              <w:spacing w:line="288" w:lineRule="auto"/>
              <w:ind w:right="26"/>
              <w:rPr>
                <w:rFonts w:ascii="Times New Roman" w:hAnsi="Times New Roman"/>
                <w:sz w:val="20"/>
                <w:szCs w:val="20"/>
              </w:rPr>
            </w:pPr>
            <w:r>
              <w:rPr>
                <w:rFonts w:hint="eastAsia" w:ascii="Times New Roman" w:hAnsi="Times New Roman"/>
                <w:sz w:val="20"/>
                <w:szCs w:val="20"/>
              </w:rPr>
              <w:t>绘本的概念</w:t>
            </w:r>
          </w:p>
          <w:p>
            <w:pPr>
              <w:numPr>
                <w:ilvl w:val="0"/>
                <w:numId w:val="5"/>
              </w:numPr>
              <w:snapToGrid w:val="0"/>
              <w:spacing w:line="288" w:lineRule="auto"/>
              <w:ind w:right="26"/>
              <w:rPr>
                <w:rFonts w:ascii="Times New Roman" w:hAnsi="Times New Roman"/>
                <w:sz w:val="20"/>
                <w:szCs w:val="20"/>
              </w:rPr>
            </w:pPr>
            <w:r>
              <w:rPr>
                <w:rFonts w:hint="eastAsia" w:ascii="Times New Roman" w:hAnsi="Times New Roman"/>
                <w:sz w:val="20"/>
                <w:szCs w:val="20"/>
              </w:rPr>
              <w:t>绘本的结构</w:t>
            </w:r>
          </w:p>
          <w:p>
            <w:pPr>
              <w:numPr>
                <w:ilvl w:val="0"/>
                <w:numId w:val="5"/>
              </w:numPr>
              <w:snapToGrid w:val="0"/>
              <w:spacing w:line="288" w:lineRule="auto"/>
              <w:ind w:right="26"/>
              <w:rPr>
                <w:rFonts w:ascii="Times New Roman" w:hAnsi="Times New Roman"/>
                <w:sz w:val="20"/>
                <w:szCs w:val="20"/>
              </w:rPr>
            </w:pPr>
            <w:r>
              <w:rPr>
                <w:rFonts w:hint="eastAsia" w:ascii="Times New Roman" w:hAnsi="Times New Roman"/>
                <w:sz w:val="20"/>
                <w:szCs w:val="20"/>
              </w:rPr>
              <w:t>绘本的构成</w:t>
            </w:r>
            <w:r>
              <w:rPr>
                <w:rFonts w:hint="eastAsia" w:ascii="Times New Roman" w:hAnsi="Times New Roman"/>
                <w:b/>
                <w:bCs/>
                <w:sz w:val="20"/>
                <w:szCs w:val="20"/>
              </w:rPr>
              <w:t xml:space="preserve">             </w:t>
            </w:r>
          </w:p>
          <w:p>
            <w:pPr>
              <w:tabs>
                <w:tab w:val="left" w:pos="312"/>
              </w:tabs>
              <w:snapToGrid w:val="0"/>
              <w:spacing w:line="288" w:lineRule="auto"/>
              <w:ind w:right="26"/>
              <w:rPr>
                <w:rFonts w:ascii="Times New Roman" w:hAnsi="Times New Roman"/>
                <w:sz w:val="20"/>
                <w:szCs w:val="20"/>
              </w:rPr>
            </w:pPr>
          </w:p>
        </w:tc>
        <w:tc>
          <w:tcPr>
            <w:tcW w:w="2131" w:type="dxa"/>
          </w:tcPr>
          <w:p>
            <w:pPr>
              <w:tabs>
                <w:tab w:val="left" w:pos="312"/>
              </w:tabs>
              <w:snapToGrid w:val="0"/>
              <w:spacing w:line="288" w:lineRule="auto"/>
              <w:ind w:right="26"/>
              <w:rPr>
                <w:rFonts w:ascii="Times New Roman" w:hAnsi="Times New Roman"/>
                <w:sz w:val="20"/>
                <w:szCs w:val="20"/>
              </w:rPr>
            </w:pPr>
            <w:r>
              <w:rPr>
                <w:rFonts w:hint="eastAsia" w:ascii="Times New Roman" w:hAnsi="Times New Roman"/>
                <w:sz w:val="20"/>
                <w:szCs w:val="20"/>
              </w:rPr>
              <w:t>掌握绘本的概念、绘本对儿童及成人的重要意义、绘本的结构</w:t>
            </w:r>
          </w:p>
        </w:tc>
        <w:tc>
          <w:tcPr>
            <w:tcW w:w="213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绘本的构成中的画面结构、图形构成、色彩构成、语言</w:t>
            </w:r>
            <w:r>
              <w:rPr>
                <w:rFonts w:hint="eastAsia" w:ascii="Calibri" w:hAnsi="Calibri"/>
                <w:sz w:val="20"/>
                <w:szCs w:val="20"/>
              </w:rPr>
              <w:t>构成等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right="26"/>
              <w:rPr>
                <w:rFonts w:ascii="宋体" w:hAnsi="宋体"/>
                <w:sz w:val="20"/>
                <w:szCs w:val="20"/>
              </w:rPr>
            </w:pPr>
            <w:r>
              <w:rPr>
                <w:rFonts w:hint="eastAsia" w:ascii="宋体" w:hAnsi="宋体"/>
                <w:sz w:val="20"/>
                <w:szCs w:val="20"/>
              </w:rPr>
              <w:t>绘本的主题及类别</w:t>
            </w:r>
          </w:p>
          <w:p>
            <w:pPr>
              <w:snapToGrid w:val="0"/>
              <w:spacing w:line="288" w:lineRule="auto"/>
              <w:ind w:right="26"/>
              <w:rPr>
                <w:rFonts w:ascii="宋体" w:hAnsi="宋体"/>
                <w:sz w:val="20"/>
                <w:szCs w:val="20"/>
              </w:rPr>
            </w:pPr>
            <w:r>
              <w:rPr>
                <w:rFonts w:hint="eastAsia" w:ascii="宋体" w:hAnsi="宋体"/>
                <w:sz w:val="20"/>
                <w:szCs w:val="20"/>
              </w:rPr>
              <w:t>（8课时）</w:t>
            </w:r>
          </w:p>
        </w:tc>
        <w:tc>
          <w:tcPr>
            <w:tcW w:w="2130" w:type="dxa"/>
          </w:tcPr>
          <w:p>
            <w:pPr>
              <w:pStyle w:val="10"/>
              <w:numPr>
                <w:ilvl w:val="0"/>
                <w:numId w:val="6"/>
              </w:numPr>
              <w:snapToGrid w:val="0"/>
              <w:spacing w:line="288" w:lineRule="auto"/>
              <w:ind w:right="26" w:firstLineChars="0"/>
              <w:rPr>
                <w:rFonts w:ascii="宋体" w:hAnsi="宋体"/>
                <w:sz w:val="20"/>
                <w:szCs w:val="20"/>
              </w:rPr>
            </w:pPr>
            <w:r>
              <w:rPr>
                <w:rFonts w:hint="eastAsia" w:ascii="宋体" w:hAnsi="宋体"/>
                <w:sz w:val="20"/>
                <w:szCs w:val="20"/>
              </w:rPr>
              <w:t>绘本的主题</w:t>
            </w:r>
          </w:p>
          <w:p>
            <w:pPr>
              <w:pStyle w:val="10"/>
              <w:numPr>
                <w:ilvl w:val="0"/>
                <w:numId w:val="6"/>
              </w:numPr>
              <w:snapToGrid w:val="0"/>
              <w:spacing w:line="288" w:lineRule="auto"/>
              <w:ind w:right="26" w:firstLineChars="0"/>
              <w:rPr>
                <w:rFonts w:ascii="宋体" w:hAnsi="宋体"/>
                <w:sz w:val="20"/>
                <w:szCs w:val="20"/>
              </w:rPr>
            </w:pPr>
            <w:r>
              <w:rPr>
                <w:rFonts w:hint="eastAsia" w:ascii="宋体" w:hAnsi="宋体"/>
                <w:sz w:val="20"/>
                <w:szCs w:val="20"/>
              </w:rPr>
              <w:t>绘本的类别</w:t>
            </w:r>
          </w:p>
        </w:tc>
        <w:tc>
          <w:tcPr>
            <w:tcW w:w="2131" w:type="dxa"/>
          </w:tcPr>
          <w:p>
            <w:pPr>
              <w:numPr>
                <w:ilvl w:val="0"/>
                <w:numId w:val="7"/>
              </w:numPr>
              <w:snapToGrid w:val="0"/>
              <w:spacing w:line="288" w:lineRule="auto"/>
              <w:ind w:right="26"/>
              <w:rPr>
                <w:rFonts w:ascii="Times New Roman" w:hAnsi="Times New Roman"/>
                <w:sz w:val="20"/>
                <w:szCs w:val="20"/>
              </w:rPr>
            </w:pPr>
            <w:r>
              <w:rPr>
                <w:rFonts w:hint="eastAsia" w:ascii="Times New Roman" w:hAnsi="Times New Roman"/>
                <w:sz w:val="20"/>
                <w:szCs w:val="20"/>
              </w:rPr>
              <w:t>掌握绘本主题的创意、绘本的分类。2.</w:t>
            </w:r>
            <w:r>
              <w:rPr>
                <w:rFonts w:ascii="Times New Roman" w:hAnsi="Times New Roman"/>
                <w:sz w:val="20"/>
                <w:szCs w:val="20"/>
              </w:rPr>
              <w:t xml:space="preserve"> </w:t>
            </w:r>
            <w:r>
              <w:rPr>
                <w:rFonts w:hint="eastAsia" w:ascii="Times New Roman" w:hAnsi="Times New Roman"/>
                <w:sz w:val="20"/>
                <w:szCs w:val="20"/>
              </w:rPr>
              <w:t>能够结合所学理论思考不同类别的绘本主题的内涵，以及各类绘本中所体现的儿童观、教育观。</w:t>
            </w:r>
          </w:p>
        </w:tc>
        <w:tc>
          <w:tcPr>
            <w:tcW w:w="2131" w:type="dxa"/>
          </w:tcPr>
          <w:p>
            <w:pPr>
              <w:tabs>
                <w:tab w:val="left" w:pos="312"/>
              </w:tabs>
              <w:snapToGrid w:val="0"/>
              <w:spacing w:line="288" w:lineRule="auto"/>
              <w:ind w:right="26"/>
              <w:rPr>
                <w:rFonts w:ascii="Times New Roman" w:hAnsi="Times New Roman"/>
                <w:sz w:val="20"/>
                <w:szCs w:val="20"/>
              </w:rPr>
            </w:pPr>
            <w:r>
              <w:rPr>
                <w:rFonts w:hint="eastAsia" w:ascii="Times New Roman" w:hAnsi="Times New Roman"/>
                <w:sz w:val="20"/>
                <w:szCs w:val="20"/>
              </w:rPr>
              <w:t>结合所学理论思考各类绘本中所体现的儿童观、教育观。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right="26"/>
              <w:rPr>
                <w:rFonts w:ascii="宋体" w:hAnsi="宋体"/>
                <w:sz w:val="20"/>
                <w:szCs w:val="20"/>
              </w:rPr>
            </w:pPr>
            <w:r>
              <w:rPr>
                <w:rFonts w:hint="eastAsia" w:ascii="宋体" w:hAnsi="宋体"/>
                <w:sz w:val="20"/>
                <w:szCs w:val="20"/>
              </w:rPr>
              <w:t>绘本与想象力的开发（6课时）</w:t>
            </w:r>
          </w:p>
        </w:tc>
        <w:tc>
          <w:tcPr>
            <w:tcW w:w="2130" w:type="dxa"/>
          </w:tcPr>
          <w:p>
            <w:pPr>
              <w:numPr>
                <w:ilvl w:val="0"/>
                <w:numId w:val="8"/>
              </w:numPr>
              <w:snapToGrid w:val="0"/>
              <w:spacing w:line="288" w:lineRule="auto"/>
              <w:ind w:right="26"/>
              <w:rPr>
                <w:rFonts w:ascii="Times New Roman" w:hAnsi="Times New Roman"/>
                <w:sz w:val="20"/>
                <w:szCs w:val="20"/>
              </w:rPr>
            </w:pPr>
            <w:r>
              <w:rPr>
                <w:rFonts w:hint="eastAsia" w:ascii="Times New Roman" w:hAnsi="Times New Roman"/>
                <w:sz w:val="20"/>
                <w:szCs w:val="20"/>
              </w:rPr>
              <w:t>绘本与想象力</w:t>
            </w:r>
          </w:p>
          <w:p>
            <w:pPr>
              <w:numPr>
                <w:ilvl w:val="0"/>
                <w:numId w:val="8"/>
              </w:numPr>
              <w:snapToGrid w:val="0"/>
              <w:spacing w:line="288" w:lineRule="auto"/>
              <w:ind w:right="26"/>
              <w:rPr>
                <w:rFonts w:ascii="Times New Roman" w:hAnsi="Times New Roman"/>
                <w:sz w:val="20"/>
                <w:szCs w:val="20"/>
              </w:rPr>
            </w:pPr>
            <w:r>
              <w:rPr>
                <w:rFonts w:hint="eastAsia" w:ascii="Times New Roman" w:hAnsi="Times New Roman"/>
                <w:sz w:val="20"/>
                <w:szCs w:val="20"/>
              </w:rPr>
              <w:t>绘本对想象力的启发作用</w:t>
            </w:r>
          </w:p>
          <w:p>
            <w:pPr>
              <w:numPr>
                <w:ilvl w:val="0"/>
                <w:numId w:val="8"/>
              </w:numPr>
              <w:snapToGrid w:val="0"/>
              <w:spacing w:line="288" w:lineRule="auto"/>
              <w:ind w:right="26"/>
              <w:rPr>
                <w:rFonts w:ascii="Times New Roman" w:hAnsi="Times New Roman"/>
                <w:sz w:val="20"/>
                <w:szCs w:val="20"/>
              </w:rPr>
            </w:pPr>
            <w:r>
              <w:rPr>
                <w:rFonts w:hint="eastAsia" w:ascii="Calibri" w:hAnsi="Calibri"/>
                <w:sz w:val="20"/>
                <w:szCs w:val="20"/>
              </w:rPr>
              <w:t xml:space="preserve">绘本作品中的想象力   </w:t>
            </w:r>
          </w:p>
        </w:tc>
        <w:tc>
          <w:tcPr>
            <w:tcW w:w="2131" w:type="dxa"/>
          </w:tcPr>
          <w:p>
            <w:pPr>
              <w:numPr>
                <w:ilvl w:val="0"/>
                <w:numId w:val="9"/>
              </w:numPr>
              <w:snapToGrid w:val="0"/>
              <w:spacing w:line="288" w:lineRule="auto"/>
              <w:ind w:right="26"/>
              <w:rPr>
                <w:rFonts w:ascii="Times New Roman" w:hAnsi="Times New Roman"/>
                <w:sz w:val="20"/>
                <w:szCs w:val="20"/>
              </w:rPr>
            </w:pPr>
            <w:r>
              <w:rPr>
                <w:rFonts w:hint="eastAsia" w:ascii="Times New Roman" w:hAnsi="Times New Roman"/>
                <w:sz w:val="20"/>
                <w:szCs w:val="20"/>
              </w:rPr>
              <w:t>理解儿童想象力与绘本的关系</w:t>
            </w:r>
          </w:p>
          <w:p>
            <w:pPr>
              <w:numPr>
                <w:ilvl w:val="0"/>
                <w:numId w:val="9"/>
              </w:numPr>
              <w:snapToGrid w:val="0"/>
              <w:spacing w:line="288" w:lineRule="auto"/>
              <w:ind w:right="26"/>
              <w:rPr>
                <w:rFonts w:ascii="Times New Roman" w:hAnsi="Times New Roman"/>
                <w:sz w:val="20"/>
                <w:szCs w:val="20"/>
              </w:rPr>
            </w:pPr>
            <w:r>
              <w:rPr>
                <w:rFonts w:hint="eastAsia" w:ascii="Times New Roman" w:hAnsi="Times New Roman"/>
                <w:sz w:val="20"/>
                <w:szCs w:val="20"/>
              </w:rPr>
              <w:t>体验绘本作品中的想象力</w:t>
            </w:r>
          </w:p>
          <w:p>
            <w:pPr>
              <w:numPr>
                <w:ilvl w:val="0"/>
                <w:numId w:val="9"/>
              </w:numPr>
              <w:snapToGrid w:val="0"/>
              <w:spacing w:line="288" w:lineRule="auto"/>
              <w:ind w:right="26"/>
              <w:rPr>
                <w:rFonts w:ascii="Times New Roman" w:hAnsi="Times New Roman"/>
                <w:sz w:val="20"/>
                <w:szCs w:val="20"/>
              </w:rPr>
            </w:pPr>
            <w:r>
              <w:rPr>
                <w:rFonts w:hint="eastAsia" w:ascii="Times New Roman" w:hAnsi="Times New Roman"/>
                <w:sz w:val="20"/>
                <w:szCs w:val="20"/>
              </w:rPr>
              <w:t>欣赏现实中的想象与绘本的结合、绘本如何启发想象力。</w:t>
            </w:r>
          </w:p>
        </w:tc>
        <w:tc>
          <w:tcPr>
            <w:tcW w:w="2131" w:type="dxa"/>
          </w:tcPr>
          <w:p>
            <w:pPr>
              <w:rPr>
                <w:rFonts w:ascii="Times New Roman" w:hAnsi="Times New Roman"/>
                <w:sz w:val="20"/>
                <w:szCs w:val="20"/>
              </w:rPr>
            </w:pPr>
            <w:r>
              <w:rPr>
                <w:rFonts w:hint="eastAsia" w:ascii="Times New Roman" w:hAnsi="Times New Roman"/>
                <w:sz w:val="20"/>
                <w:szCs w:val="20"/>
              </w:rPr>
              <w:t>1.理解儿童想象力与绘本的关系</w:t>
            </w:r>
          </w:p>
          <w:p>
            <w:pPr>
              <w:tabs>
                <w:tab w:val="left" w:pos="312"/>
              </w:tabs>
              <w:snapToGrid w:val="0"/>
              <w:spacing w:line="288" w:lineRule="auto"/>
              <w:ind w:right="26"/>
              <w:rPr>
                <w:rFonts w:ascii="Times New Roman" w:hAnsi="Times New Roman"/>
                <w:sz w:val="20"/>
                <w:szCs w:val="20"/>
              </w:rPr>
            </w:pPr>
            <w:r>
              <w:rPr>
                <w:rFonts w:hint="eastAsia" w:ascii="Times New Roman" w:hAnsi="Times New Roman"/>
                <w:sz w:val="20"/>
                <w:szCs w:val="20"/>
              </w:rPr>
              <w:t>2.理解绘本如何启发儿童想象力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right="26"/>
              <w:rPr>
                <w:rFonts w:ascii="宋体" w:hAnsi="宋体"/>
                <w:sz w:val="20"/>
                <w:szCs w:val="20"/>
              </w:rPr>
            </w:pPr>
            <w:r>
              <w:rPr>
                <w:rFonts w:hint="eastAsia" w:ascii="宋体" w:hAnsi="宋体"/>
                <w:sz w:val="20"/>
                <w:szCs w:val="20"/>
              </w:rPr>
              <w:t>绘本文化</w:t>
            </w:r>
          </w:p>
          <w:p>
            <w:pPr>
              <w:snapToGrid w:val="0"/>
              <w:spacing w:line="288" w:lineRule="auto"/>
              <w:ind w:right="26"/>
              <w:rPr>
                <w:rFonts w:ascii="宋体" w:hAnsi="宋体"/>
                <w:sz w:val="20"/>
                <w:szCs w:val="20"/>
              </w:rPr>
            </w:pPr>
            <w:r>
              <w:rPr>
                <w:rFonts w:hint="eastAsia" w:ascii="宋体" w:hAnsi="宋体"/>
                <w:sz w:val="20"/>
                <w:szCs w:val="20"/>
              </w:rPr>
              <w:t>（6课时）</w:t>
            </w:r>
          </w:p>
        </w:tc>
        <w:tc>
          <w:tcPr>
            <w:tcW w:w="2130" w:type="dxa"/>
          </w:tcPr>
          <w:p>
            <w:pPr>
              <w:numPr>
                <w:ilvl w:val="0"/>
                <w:numId w:val="10"/>
              </w:numPr>
              <w:tabs>
                <w:tab w:val="clear" w:pos="312"/>
              </w:tabs>
              <w:snapToGrid w:val="0"/>
              <w:spacing w:line="288" w:lineRule="auto"/>
              <w:ind w:right="26"/>
              <w:rPr>
                <w:rFonts w:ascii="Times New Roman" w:hAnsi="Times New Roman"/>
                <w:sz w:val="20"/>
                <w:szCs w:val="20"/>
              </w:rPr>
            </w:pPr>
            <w:r>
              <w:rPr>
                <w:rFonts w:hint="eastAsia" w:ascii="Times New Roman" w:hAnsi="Times New Roman"/>
                <w:sz w:val="20"/>
                <w:szCs w:val="20"/>
              </w:rPr>
              <w:t>绘本与文化</w:t>
            </w:r>
          </w:p>
          <w:p>
            <w:pPr>
              <w:numPr>
                <w:ilvl w:val="0"/>
                <w:numId w:val="10"/>
              </w:numPr>
              <w:snapToGrid w:val="0"/>
              <w:spacing w:line="288" w:lineRule="auto"/>
              <w:ind w:right="26"/>
              <w:rPr>
                <w:rFonts w:ascii="Times New Roman" w:hAnsi="Times New Roman"/>
                <w:sz w:val="20"/>
                <w:szCs w:val="20"/>
              </w:rPr>
            </w:pPr>
            <w:r>
              <w:rPr>
                <w:rFonts w:hint="eastAsia" w:ascii="Calibri" w:hAnsi="Calibri"/>
                <w:sz w:val="20"/>
                <w:szCs w:val="20"/>
              </w:rPr>
              <w:t xml:space="preserve"> 绘本中的民族文化</w:t>
            </w:r>
          </w:p>
        </w:tc>
        <w:tc>
          <w:tcPr>
            <w:tcW w:w="2131" w:type="dxa"/>
          </w:tcPr>
          <w:p>
            <w:pPr>
              <w:numPr>
                <w:ilvl w:val="0"/>
                <w:numId w:val="11"/>
              </w:numPr>
              <w:snapToGrid w:val="0"/>
              <w:spacing w:line="288" w:lineRule="auto"/>
              <w:ind w:right="26"/>
              <w:rPr>
                <w:rFonts w:ascii="Times New Roman" w:hAnsi="Times New Roman"/>
                <w:sz w:val="20"/>
                <w:szCs w:val="20"/>
              </w:rPr>
            </w:pPr>
            <w:r>
              <w:rPr>
                <w:rFonts w:hint="eastAsia" w:ascii="Times New Roman" w:hAnsi="Times New Roman"/>
                <w:sz w:val="20"/>
                <w:szCs w:val="20"/>
              </w:rPr>
              <w:t>理解文化的重要性，以及绘本中文化的体现</w:t>
            </w:r>
          </w:p>
          <w:p>
            <w:pPr>
              <w:numPr>
                <w:ilvl w:val="0"/>
                <w:numId w:val="11"/>
              </w:numPr>
              <w:snapToGrid w:val="0"/>
              <w:spacing w:line="288" w:lineRule="auto"/>
              <w:ind w:right="26"/>
              <w:rPr>
                <w:rFonts w:ascii="Times New Roman" w:hAnsi="Times New Roman"/>
                <w:sz w:val="20"/>
                <w:szCs w:val="20"/>
              </w:rPr>
            </w:pPr>
            <w:r>
              <w:rPr>
                <w:rFonts w:hint="eastAsia" w:ascii="Times New Roman" w:hAnsi="Times New Roman"/>
                <w:sz w:val="20"/>
                <w:szCs w:val="20"/>
              </w:rPr>
              <w:t>体会不同绘本中的文化内涵及在内容形式中的体现</w:t>
            </w:r>
          </w:p>
        </w:tc>
        <w:tc>
          <w:tcPr>
            <w:tcW w:w="2131" w:type="dxa"/>
          </w:tcPr>
          <w:p>
            <w:pPr>
              <w:rPr>
                <w:rFonts w:ascii="Times New Roman" w:hAnsi="Times New Roman"/>
                <w:sz w:val="20"/>
                <w:szCs w:val="20"/>
              </w:rPr>
            </w:pPr>
            <w:r>
              <w:rPr>
                <w:rFonts w:hint="eastAsia" w:ascii="Times New Roman" w:hAnsi="Times New Roman"/>
                <w:sz w:val="20"/>
                <w:szCs w:val="20"/>
              </w:rPr>
              <w:t>1.理解绘本中体现的民族文化</w:t>
            </w:r>
          </w:p>
          <w:p>
            <w:pPr>
              <w:rPr>
                <w:rFonts w:ascii="Times New Roman" w:hAnsi="Times New Roman"/>
                <w:sz w:val="20"/>
                <w:szCs w:val="20"/>
              </w:rPr>
            </w:pPr>
            <w:r>
              <w:rPr>
                <w:rFonts w:hint="eastAsia" w:ascii="Times New Roman" w:hAnsi="Times New Roman"/>
                <w:sz w:val="20"/>
                <w:szCs w:val="20"/>
              </w:rPr>
              <w:t>2.尝试理解不同绘本中的文化内涵及在内容形式中的体现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right="26"/>
              <w:rPr>
                <w:rFonts w:ascii="宋体" w:hAnsi="宋体"/>
                <w:sz w:val="20"/>
                <w:szCs w:val="20"/>
              </w:rPr>
            </w:pPr>
            <w:r>
              <w:rPr>
                <w:rFonts w:hint="eastAsia" w:ascii="宋体" w:hAnsi="宋体"/>
                <w:sz w:val="20"/>
                <w:szCs w:val="20"/>
              </w:rPr>
              <w:t>绘本的创作指导</w:t>
            </w:r>
          </w:p>
          <w:p>
            <w:pPr>
              <w:snapToGrid w:val="0"/>
              <w:spacing w:line="288" w:lineRule="auto"/>
              <w:ind w:right="26"/>
              <w:rPr>
                <w:rFonts w:ascii="宋体" w:hAnsi="宋体"/>
                <w:sz w:val="20"/>
                <w:szCs w:val="20"/>
              </w:rPr>
            </w:pPr>
            <w:r>
              <w:rPr>
                <w:rFonts w:hint="eastAsia" w:ascii="宋体" w:hAnsi="宋体"/>
                <w:sz w:val="20"/>
                <w:szCs w:val="20"/>
              </w:rPr>
              <w:t>（6课时）</w:t>
            </w:r>
          </w:p>
        </w:tc>
        <w:tc>
          <w:tcPr>
            <w:tcW w:w="2130" w:type="dxa"/>
          </w:tcPr>
          <w:p>
            <w:pPr>
              <w:numPr>
                <w:ilvl w:val="0"/>
                <w:numId w:val="12"/>
              </w:numPr>
              <w:snapToGrid w:val="0"/>
              <w:spacing w:line="288" w:lineRule="auto"/>
              <w:ind w:right="26"/>
              <w:rPr>
                <w:rFonts w:ascii="Times New Roman" w:hAnsi="Times New Roman"/>
                <w:sz w:val="20"/>
                <w:szCs w:val="20"/>
              </w:rPr>
            </w:pPr>
            <w:r>
              <w:rPr>
                <w:rFonts w:hint="eastAsia" w:ascii="Times New Roman" w:hAnsi="Times New Roman"/>
                <w:sz w:val="20"/>
                <w:szCs w:val="20"/>
              </w:rPr>
              <w:t>创作思考</w:t>
            </w:r>
          </w:p>
          <w:p>
            <w:pPr>
              <w:numPr>
                <w:ilvl w:val="0"/>
                <w:numId w:val="12"/>
              </w:numPr>
              <w:snapToGrid w:val="0"/>
              <w:spacing w:line="288" w:lineRule="auto"/>
              <w:ind w:right="26"/>
              <w:rPr>
                <w:rFonts w:ascii="Times New Roman" w:hAnsi="Times New Roman"/>
                <w:sz w:val="20"/>
                <w:szCs w:val="20"/>
              </w:rPr>
            </w:pPr>
            <w:r>
              <w:rPr>
                <w:rFonts w:hint="eastAsia" w:ascii="Calibri" w:hAnsi="Calibri"/>
                <w:sz w:val="20"/>
                <w:szCs w:val="20"/>
              </w:rPr>
              <w:t>绘本作品分析</w:t>
            </w:r>
          </w:p>
        </w:tc>
        <w:tc>
          <w:tcPr>
            <w:tcW w:w="2131" w:type="dxa"/>
          </w:tcPr>
          <w:p>
            <w:pPr>
              <w:numPr>
                <w:ilvl w:val="0"/>
                <w:numId w:val="13"/>
              </w:numPr>
              <w:snapToGrid w:val="0"/>
              <w:spacing w:line="288" w:lineRule="auto"/>
              <w:ind w:right="26"/>
              <w:rPr>
                <w:rFonts w:ascii="Times New Roman" w:hAnsi="Times New Roman"/>
                <w:sz w:val="20"/>
                <w:szCs w:val="20"/>
              </w:rPr>
            </w:pPr>
            <w:r>
              <w:rPr>
                <w:rFonts w:hint="eastAsia" w:ascii="Times New Roman" w:hAnsi="Times New Roman"/>
                <w:sz w:val="20"/>
                <w:szCs w:val="20"/>
              </w:rPr>
              <w:t>知道创作绘本应该思考的诸多问题：如创作主旨、主题构思、表达风格、主角与角色设计等。</w:t>
            </w:r>
          </w:p>
          <w:p>
            <w:pPr>
              <w:numPr>
                <w:ilvl w:val="0"/>
                <w:numId w:val="13"/>
              </w:numPr>
              <w:snapToGrid w:val="0"/>
              <w:spacing w:line="288" w:lineRule="auto"/>
              <w:ind w:right="26"/>
              <w:rPr>
                <w:rFonts w:ascii="Times New Roman" w:hAnsi="Times New Roman"/>
                <w:sz w:val="20"/>
                <w:szCs w:val="20"/>
              </w:rPr>
            </w:pPr>
            <w:r>
              <w:rPr>
                <w:rFonts w:hint="eastAsia" w:ascii="Times New Roman" w:hAnsi="Times New Roman"/>
                <w:sz w:val="20"/>
                <w:szCs w:val="20"/>
              </w:rPr>
              <w:t>能够从文字、主题、画面、色彩等方面分析</w:t>
            </w:r>
            <w:r>
              <w:rPr>
                <w:rFonts w:hint="eastAsia" w:ascii="Calibri" w:hAnsi="Calibri"/>
                <w:sz w:val="20"/>
                <w:szCs w:val="20"/>
              </w:rPr>
              <w:t>绘本作品。</w:t>
            </w:r>
          </w:p>
        </w:tc>
        <w:tc>
          <w:tcPr>
            <w:tcW w:w="2131" w:type="dxa"/>
          </w:tcPr>
          <w:p>
            <w:pPr>
              <w:tabs>
                <w:tab w:val="left" w:pos="312"/>
              </w:tabs>
              <w:snapToGrid w:val="0"/>
              <w:spacing w:line="288" w:lineRule="auto"/>
              <w:ind w:right="26"/>
              <w:rPr>
                <w:rFonts w:ascii="Calibri" w:hAnsi="Calibri"/>
                <w:sz w:val="20"/>
                <w:szCs w:val="20"/>
              </w:rPr>
            </w:pPr>
            <w:r>
              <w:rPr>
                <w:rFonts w:hint="eastAsia" w:ascii="Times New Roman" w:hAnsi="Times New Roman"/>
                <w:sz w:val="20"/>
                <w:szCs w:val="20"/>
              </w:rPr>
              <w:t>1.能够从文字、主题、画面、色彩等方面分析</w:t>
            </w:r>
            <w:r>
              <w:rPr>
                <w:rFonts w:hint="eastAsia" w:ascii="Calibri" w:hAnsi="Calibri"/>
                <w:sz w:val="20"/>
                <w:szCs w:val="20"/>
              </w:rPr>
              <w:t>绘本作品</w:t>
            </w:r>
          </w:p>
          <w:p>
            <w:pPr>
              <w:tabs>
                <w:tab w:val="left" w:pos="312"/>
              </w:tabs>
              <w:snapToGrid w:val="0"/>
              <w:spacing w:line="288" w:lineRule="auto"/>
              <w:ind w:right="26"/>
              <w:rPr>
                <w:rFonts w:ascii="Times New Roman" w:hAnsi="Times New Roman"/>
                <w:sz w:val="20"/>
                <w:szCs w:val="20"/>
              </w:rPr>
            </w:pPr>
            <w:r>
              <w:rPr>
                <w:rFonts w:hint="eastAsia" w:ascii="Times New Roman" w:hAnsi="Times New Roman"/>
                <w:sz w:val="20"/>
                <w:szCs w:val="20"/>
              </w:rPr>
              <w:t>2.创作自己的绘本作品，其中要体现科学的儿童观和教育观。</w:t>
            </w:r>
          </w:p>
        </w:tc>
      </w:tr>
    </w:tbl>
    <w:p>
      <w:pPr>
        <w:snapToGrid w:val="0"/>
        <w:spacing w:line="288" w:lineRule="auto"/>
        <w:ind w:right="26"/>
        <w:rPr>
          <w:sz w:val="20"/>
          <w:szCs w:val="20"/>
        </w:rPr>
      </w:pPr>
    </w:p>
    <w:p>
      <w:pPr>
        <w:widowControl/>
        <w:spacing w:before="156" w:beforeLines="50" w:after="156" w:afterLines="50" w:line="288" w:lineRule="auto"/>
        <w:jc w:val="left"/>
        <w:rPr>
          <w:rFonts w:ascii="黑体" w:hAnsi="宋体" w:eastAsia="黑体"/>
          <w:b/>
          <w:sz w:val="24"/>
        </w:rPr>
      </w:pPr>
      <w:r>
        <w:rPr>
          <w:rFonts w:hint="eastAsia" w:ascii="黑体" w:hAnsi="宋体" w:eastAsia="黑体"/>
          <w:b/>
          <w:sz w:val="24"/>
        </w:rPr>
        <w:t>七、课内实验名称及基本要求（选填，适用于课内实验）</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七、实践环节各阶段名称及基本要求（选填，适用于集中实践、实习、毕业设计等）</w:t>
      </w:r>
    </w:p>
    <w:p>
      <w:pPr>
        <w:snapToGrid w:val="0"/>
        <w:spacing w:line="288" w:lineRule="auto"/>
        <w:ind w:right="26"/>
        <w:rPr>
          <w:rFonts w:ascii="宋体" w:hAnsi="宋体"/>
          <w:sz w:val="20"/>
          <w:szCs w:val="20"/>
        </w:rPr>
      </w:pP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bl>
    <w:p>
      <w:pPr>
        <w:snapToGrid w:val="0"/>
        <w:spacing w:line="288" w:lineRule="auto"/>
        <w:ind w:right="252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作品</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课后作业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课堂出勤</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before="120" w:after="120" w:line="288" w:lineRule="auto"/>
        <w:rPr>
          <w:rFonts w:ascii="宋体" w:hAnsi="宋体"/>
          <w:sz w:val="20"/>
          <w:szCs w:val="20"/>
          <w:highlight w:val="yellow"/>
        </w:rPr>
      </w:pPr>
    </w:p>
    <w:p>
      <w:pPr>
        <w:snapToGrid w:val="0"/>
        <w:spacing w:line="288" w:lineRule="auto"/>
        <w:rPr>
          <w:sz w:val="28"/>
          <w:szCs w:val="28"/>
        </w:rPr>
      </w:pPr>
      <w:r>
        <w:rPr>
          <w:rFonts w:hint="eastAsia"/>
          <w:sz w:val="28"/>
          <w:szCs w:val="28"/>
        </w:rPr>
        <w:t>撰写人： 郭文杰  系主任审核签名：</w:t>
      </w:r>
      <w:r>
        <w:rPr>
          <w:rFonts w:hint="eastAsia" w:eastAsia="宋体"/>
          <w:sz w:val="24"/>
          <w:lang w:eastAsia="zh-CN"/>
        </w:rPr>
        <w:drawing>
          <wp:inline distT="0" distB="0" distL="114300" distR="114300">
            <wp:extent cx="579755" cy="365760"/>
            <wp:effectExtent l="0" t="0" r="4445" b="2540"/>
            <wp:docPr id="5"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sz w:val="28"/>
          <w:szCs w:val="28"/>
        </w:rPr>
        <w:t xml:space="preserve"> </w:t>
      </w:r>
      <w:r>
        <w:rPr>
          <w:sz w:val="28"/>
          <w:szCs w:val="28"/>
        </w:rPr>
        <w:t xml:space="preserve"> </w:t>
      </w:r>
      <w:bookmarkStart w:id="1" w:name="_GoBack"/>
      <w:bookmarkEnd w:id="1"/>
      <w:r>
        <w:rPr>
          <w:sz w:val="28"/>
          <w:szCs w:val="28"/>
        </w:rPr>
        <w:t xml:space="preserve"> </w:t>
      </w:r>
      <w:r>
        <w:rPr>
          <w:rFonts w:hint="eastAsia"/>
          <w:sz w:val="28"/>
          <w:szCs w:val="28"/>
        </w:rPr>
        <w:t xml:space="preserve">审核时间： </w:t>
      </w:r>
      <w:r>
        <w:rPr>
          <w:rFonts w:hint="eastAsia"/>
          <w:sz w:val="28"/>
          <w:szCs w:val="28"/>
          <w:lang w:val="en-US" w:eastAsia="zh-CN"/>
        </w:rPr>
        <w:t>2022.31.</w:t>
      </w: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04CC3"/>
    <w:multiLevelType w:val="singleLevel"/>
    <w:tmpl w:val="9BB04CC3"/>
    <w:lvl w:ilvl="0" w:tentative="0">
      <w:start w:val="4"/>
      <w:numFmt w:val="chineseCounting"/>
      <w:suff w:val="nothing"/>
      <w:lvlText w:val="%1、"/>
      <w:lvlJc w:val="left"/>
      <w:rPr>
        <w:rFonts w:hint="eastAsia"/>
      </w:rPr>
    </w:lvl>
  </w:abstractNum>
  <w:abstractNum w:abstractNumId="1">
    <w:nsid w:val="9C428A81"/>
    <w:multiLevelType w:val="singleLevel"/>
    <w:tmpl w:val="9C428A81"/>
    <w:lvl w:ilvl="0" w:tentative="0">
      <w:start w:val="2"/>
      <w:numFmt w:val="decimal"/>
      <w:lvlText w:val="%1."/>
      <w:lvlJc w:val="left"/>
      <w:pPr>
        <w:tabs>
          <w:tab w:val="left" w:pos="312"/>
        </w:tabs>
      </w:pPr>
    </w:lvl>
  </w:abstractNum>
  <w:abstractNum w:abstractNumId="2">
    <w:nsid w:val="B2D5DA7B"/>
    <w:multiLevelType w:val="singleLevel"/>
    <w:tmpl w:val="B2D5DA7B"/>
    <w:lvl w:ilvl="0" w:tentative="0">
      <w:start w:val="1"/>
      <w:numFmt w:val="decimal"/>
      <w:lvlText w:val="%1."/>
      <w:lvlJc w:val="left"/>
      <w:pPr>
        <w:tabs>
          <w:tab w:val="left" w:pos="312"/>
        </w:tabs>
      </w:pPr>
    </w:lvl>
  </w:abstractNum>
  <w:abstractNum w:abstractNumId="3">
    <w:nsid w:val="C37378E0"/>
    <w:multiLevelType w:val="singleLevel"/>
    <w:tmpl w:val="C37378E0"/>
    <w:lvl w:ilvl="0" w:tentative="0">
      <w:start w:val="1"/>
      <w:numFmt w:val="decimal"/>
      <w:lvlText w:val="%1."/>
      <w:lvlJc w:val="left"/>
      <w:pPr>
        <w:tabs>
          <w:tab w:val="left" w:pos="312"/>
        </w:tabs>
      </w:pPr>
    </w:lvl>
  </w:abstractNum>
  <w:abstractNum w:abstractNumId="4">
    <w:nsid w:val="CD56B3CD"/>
    <w:multiLevelType w:val="singleLevel"/>
    <w:tmpl w:val="CD56B3CD"/>
    <w:lvl w:ilvl="0" w:tentative="0">
      <w:start w:val="1"/>
      <w:numFmt w:val="decimal"/>
      <w:lvlText w:val="%1."/>
      <w:lvlJc w:val="left"/>
      <w:pPr>
        <w:tabs>
          <w:tab w:val="left" w:pos="312"/>
        </w:tabs>
      </w:pPr>
    </w:lvl>
  </w:abstractNum>
  <w:abstractNum w:abstractNumId="5">
    <w:nsid w:val="CDFD0373"/>
    <w:multiLevelType w:val="singleLevel"/>
    <w:tmpl w:val="CDFD0373"/>
    <w:lvl w:ilvl="0" w:tentative="0">
      <w:start w:val="1"/>
      <w:numFmt w:val="decimal"/>
      <w:lvlText w:val="%1."/>
      <w:lvlJc w:val="left"/>
      <w:pPr>
        <w:tabs>
          <w:tab w:val="left" w:pos="312"/>
        </w:tabs>
      </w:pPr>
    </w:lvl>
  </w:abstractNum>
  <w:abstractNum w:abstractNumId="6">
    <w:nsid w:val="DEFBD9A0"/>
    <w:multiLevelType w:val="singleLevel"/>
    <w:tmpl w:val="DEFBD9A0"/>
    <w:lvl w:ilvl="0" w:tentative="0">
      <w:start w:val="1"/>
      <w:numFmt w:val="decimal"/>
      <w:lvlText w:val="%1."/>
      <w:lvlJc w:val="left"/>
      <w:pPr>
        <w:tabs>
          <w:tab w:val="left" w:pos="312"/>
        </w:tabs>
      </w:pPr>
    </w:lvl>
  </w:abstractNum>
  <w:abstractNum w:abstractNumId="7">
    <w:nsid w:val="2A41A357"/>
    <w:multiLevelType w:val="singleLevel"/>
    <w:tmpl w:val="2A41A357"/>
    <w:lvl w:ilvl="0" w:tentative="0">
      <w:start w:val="1"/>
      <w:numFmt w:val="decimal"/>
      <w:lvlText w:val="%1."/>
      <w:lvlJc w:val="left"/>
      <w:pPr>
        <w:tabs>
          <w:tab w:val="left" w:pos="312"/>
        </w:tabs>
      </w:pPr>
    </w:lvl>
  </w:abstractNum>
  <w:abstractNum w:abstractNumId="8">
    <w:nsid w:val="4D2B3006"/>
    <w:multiLevelType w:val="multilevel"/>
    <w:tmpl w:val="4D2B3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990F42"/>
    <w:multiLevelType w:val="singleLevel"/>
    <w:tmpl w:val="55990F42"/>
    <w:lvl w:ilvl="0" w:tentative="0">
      <w:start w:val="1"/>
      <w:numFmt w:val="decimal"/>
      <w:lvlText w:val="%1."/>
      <w:lvlJc w:val="left"/>
      <w:pPr>
        <w:tabs>
          <w:tab w:val="left" w:pos="312"/>
        </w:tabs>
      </w:pPr>
    </w:lvl>
  </w:abstractNum>
  <w:abstractNum w:abstractNumId="10">
    <w:nsid w:val="61900C4F"/>
    <w:multiLevelType w:val="singleLevel"/>
    <w:tmpl w:val="61900C4F"/>
    <w:lvl w:ilvl="0" w:tentative="0">
      <w:start w:val="1"/>
      <w:numFmt w:val="decimal"/>
      <w:lvlText w:val="%1."/>
      <w:lvlJc w:val="left"/>
      <w:pPr>
        <w:tabs>
          <w:tab w:val="left" w:pos="312"/>
        </w:tabs>
      </w:pPr>
    </w:lvl>
  </w:abstractNum>
  <w:abstractNum w:abstractNumId="11">
    <w:nsid w:val="6511215C"/>
    <w:multiLevelType w:val="singleLevel"/>
    <w:tmpl w:val="6511215C"/>
    <w:lvl w:ilvl="0" w:tentative="0">
      <w:start w:val="1"/>
      <w:numFmt w:val="decimal"/>
      <w:lvlText w:val="%1."/>
      <w:lvlJc w:val="left"/>
      <w:pPr>
        <w:tabs>
          <w:tab w:val="left" w:pos="312"/>
        </w:tabs>
      </w:pPr>
    </w:lvl>
  </w:abstractNum>
  <w:abstractNum w:abstractNumId="12">
    <w:nsid w:val="7856E279"/>
    <w:multiLevelType w:val="singleLevel"/>
    <w:tmpl w:val="7856E279"/>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11"/>
  </w:num>
  <w:num w:numId="5">
    <w:abstractNumId w:val="9"/>
  </w:num>
  <w:num w:numId="6">
    <w:abstractNumId w:val="8"/>
  </w:num>
  <w:num w:numId="7">
    <w:abstractNumId w:val="7"/>
  </w:num>
  <w:num w:numId="8">
    <w:abstractNumId w:val="5"/>
  </w:num>
  <w:num w:numId="9">
    <w:abstractNumId w:val="12"/>
  </w:num>
  <w:num w:numId="10">
    <w:abstractNumId w:val="10"/>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40A9"/>
    <w:rsid w:val="000E4CAB"/>
    <w:rsid w:val="001072BC"/>
    <w:rsid w:val="001270B2"/>
    <w:rsid w:val="00144512"/>
    <w:rsid w:val="001A347D"/>
    <w:rsid w:val="001E44E3"/>
    <w:rsid w:val="0023107C"/>
    <w:rsid w:val="00256B39"/>
    <w:rsid w:val="0026033C"/>
    <w:rsid w:val="00277FDF"/>
    <w:rsid w:val="002C48F2"/>
    <w:rsid w:val="002E3721"/>
    <w:rsid w:val="00313BBA"/>
    <w:rsid w:val="0032602E"/>
    <w:rsid w:val="003302A8"/>
    <w:rsid w:val="003367AE"/>
    <w:rsid w:val="003B1258"/>
    <w:rsid w:val="003B6008"/>
    <w:rsid w:val="003E056E"/>
    <w:rsid w:val="003F0CE2"/>
    <w:rsid w:val="004100B0"/>
    <w:rsid w:val="004507DD"/>
    <w:rsid w:val="00460B96"/>
    <w:rsid w:val="0048125F"/>
    <w:rsid w:val="00522B4A"/>
    <w:rsid w:val="005467DC"/>
    <w:rsid w:val="00553D03"/>
    <w:rsid w:val="005B2B6D"/>
    <w:rsid w:val="005B4B4E"/>
    <w:rsid w:val="005D3027"/>
    <w:rsid w:val="00603AD7"/>
    <w:rsid w:val="00624FE1"/>
    <w:rsid w:val="00643734"/>
    <w:rsid w:val="00671F5B"/>
    <w:rsid w:val="0069311D"/>
    <w:rsid w:val="007208D6"/>
    <w:rsid w:val="00767FF3"/>
    <w:rsid w:val="007A20BE"/>
    <w:rsid w:val="007D7F40"/>
    <w:rsid w:val="00837665"/>
    <w:rsid w:val="00865BB1"/>
    <w:rsid w:val="00893CD2"/>
    <w:rsid w:val="008B397C"/>
    <w:rsid w:val="008B47F4"/>
    <w:rsid w:val="008E6B46"/>
    <w:rsid w:val="00900019"/>
    <w:rsid w:val="00982ED8"/>
    <w:rsid w:val="0099063E"/>
    <w:rsid w:val="009A6D38"/>
    <w:rsid w:val="00A17539"/>
    <w:rsid w:val="00A769B1"/>
    <w:rsid w:val="00A837D5"/>
    <w:rsid w:val="00AC4C45"/>
    <w:rsid w:val="00AF0CD9"/>
    <w:rsid w:val="00B15A0E"/>
    <w:rsid w:val="00B22B72"/>
    <w:rsid w:val="00B439AB"/>
    <w:rsid w:val="00B46F21"/>
    <w:rsid w:val="00B511A5"/>
    <w:rsid w:val="00B736A7"/>
    <w:rsid w:val="00B7651F"/>
    <w:rsid w:val="00B92B2C"/>
    <w:rsid w:val="00C173CC"/>
    <w:rsid w:val="00C56E09"/>
    <w:rsid w:val="00C87EDE"/>
    <w:rsid w:val="00CE7C0B"/>
    <w:rsid w:val="00CF096B"/>
    <w:rsid w:val="00D337FB"/>
    <w:rsid w:val="00D81A7E"/>
    <w:rsid w:val="00E16D30"/>
    <w:rsid w:val="00E33169"/>
    <w:rsid w:val="00E70904"/>
    <w:rsid w:val="00EB4983"/>
    <w:rsid w:val="00EF44B1"/>
    <w:rsid w:val="00F00700"/>
    <w:rsid w:val="00F30301"/>
    <w:rsid w:val="00F35AA0"/>
    <w:rsid w:val="00F56FD3"/>
    <w:rsid w:val="00FA6572"/>
    <w:rsid w:val="00FD2BF3"/>
    <w:rsid w:val="01087DD3"/>
    <w:rsid w:val="010F7755"/>
    <w:rsid w:val="016E63C2"/>
    <w:rsid w:val="022A077D"/>
    <w:rsid w:val="02430080"/>
    <w:rsid w:val="024B0C39"/>
    <w:rsid w:val="02CD7A25"/>
    <w:rsid w:val="03C344E1"/>
    <w:rsid w:val="04142C9C"/>
    <w:rsid w:val="04F13E55"/>
    <w:rsid w:val="06633217"/>
    <w:rsid w:val="068410C9"/>
    <w:rsid w:val="077408CC"/>
    <w:rsid w:val="08CC4525"/>
    <w:rsid w:val="096228B1"/>
    <w:rsid w:val="09731A6A"/>
    <w:rsid w:val="09C46CAD"/>
    <w:rsid w:val="09CE002C"/>
    <w:rsid w:val="0A0D0503"/>
    <w:rsid w:val="0A8128A6"/>
    <w:rsid w:val="0ABB3925"/>
    <w:rsid w:val="0B5C2C07"/>
    <w:rsid w:val="0BBC2420"/>
    <w:rsid w:val="0BF32A1B"/>
    <w:rsid w:val="0CE968A8"/>
    <w:rsid w:val="0DD5257F"/>
    <w:rsid w:val="10043B90"/>
    <w:rsid w:val="10BD2C22"/>
    <w:rsid w:val="113A09B9"/>
    <w:rsid w:val="11487896"/>
    <w:rsid w:val="13114B5D"/>
    <w:rsid w:val="138F0995"/>
    <w:rsid w:val="13956473"/>
    <w:rsid w:val="13B1635D"/>
    <w:rsid w:val="15911390"/>
    <w:rsid w:val="16184C98"/>
    <w:rsid w:val="1668382B"/>
    <w:rsid w:val="16B4102C"/>
    <w:rsid w:val="17E01CA5"/>
    <w:rsid w:val="19FA007D"/>
    <w:rsid w:val="1CCE050E"/>
    <w:rsid w:val="1D0212BD"/>
    <w:rsid w:val="1E2C3D25"/>
    <w:rsid w:val="1E8B654D"/>
    <w:rsid w:val="1F040537"/>
    <w:rsid w:val="1F5A2606"/>
    <w:rsid w:val="1FEC2FA0"/>
    <w:rsid w:val="200021DE"/>
    <w:rsid w:val="20F71592"/>
    <w:rsid w:val="21087DDF"/>
    <w:rsid w:val="219C4754"/>
    <w:rsid w:val="21A57500"/>
    <w:rsid w:val="22672EF3"/>
    <w:rsid w:val="22987C80"/>
    <w:rsid w:val="2365379F"/>
    <w:rsid w:val="23B50CB7"/>
    <w:rsid w:val="24192CCC"/>
    <w:rsid w:val="257E0C2C"/>
    <w:rsid w:val="28E52CCB"/>
    <w:rsid w:val="29874835"/>
    <w:rsid w:val="29FC517D"/>
    <w:rsid w:val="2A051F27"/>
    <w:rsid w:val="2B2F5F82"/>
    <w:rsid w:val="2C2302B3"/>
    <w:rsid w:val="2DAB6340"/>
    <w:rsid w:val="2F324994"/>
    <w:rsid w:val="2FA10516"/>
    <w:rsid w:val="30F432C5"/>
    <w:rsid w:val="3173663C"/>
    <w:rsid w:val="31A22B04"/>
    <w:rsid w:val="330C163D"/>
    <w:rsid w:val="337C2017"/>
    <w:rsid w:val="33967E43"/>
    <w:rsid w:val="35F166DB"/>
    <w:rsid w:val="35FC4172"/>
    <w:rsid w:val="364D4495"/>
    <w:rsid w:val="36DA40AA"/>
    <w:rsid w:val="36FA02AA"/>
    <w:rsid w:val="370665D2"/>
    <w:rsid w:val="3739777F"/>
    <w:rsid w:val="37B24DE0"/>
    <w:rsid w:val="37C11FE6"/>
    <w:rsid w:val="38305EAC"/>
    <w:rsid w:val="38323EB9"/>
    <w:rsid w:val="383B4338"/>
    <w:rsid w:val="38A73364"/>
    <w:rsid w:val="392D136B"/>
    <w:rsid w:val="39A176D8"/>
    <w:rsid w:val="39A66CD4"/>
    <w:rsid w:val="39DF01FA"/>
    <w:rsid w:val="39DF4800"/>
    <w:rsid w:val="3A4C305D"/>
    <w:rsid w:val="3B9C7B37"/>
    <w:rsid w:val="3C0172B6"/>
    <w:rsid w:val="3C255FD9"/>
    <w:rsid w:val="3C3C3C95"/>
    <w:rsid w:val="3CD52CE1"/>
    <w:rsid w:val="3D981F93"/>
    <w:rsid w:val="3DCD4B9D"/>
    <w:rsid w:val="3E7E52EE"/>
    <w:rsid w:val="3E8779F2"/>
    <w:rsid w:val="3ED92BEC"/>
    <w:rsid w:val="3EE460A2"/>
    <w:rsid w:val="3EE662E5"/>
    <w:rsid w:val="3F0A2E4C"/>
    <w:rsid w:val="3FFB621F"/>
    <w:rsid w:val="410F2E6A"/>
    <w:rsid w:val="422B05A6"/>
    <w:rsid w:val="42E1312C"/>
    <w:rsid w:val="4430136C"/>
    <w:rsid w:val="44E51478"/>
    <w:rsid w:val="46422EF1"/>
    <w:rsid w:val="467C0B32"/>
    <w:rsid w:val="46F604E3"/>
    <w:rsid w:val="47031D57"/>
    <w:rsid w:val="48247DA4"/>
    <w:rsid w:val="48F73EC5"/>
    <w:rsid w:val="4A122BE8"/>
    <w:rsid w:val="4A800481"/>
    <w:rsid w:val="4AB0382B"/>
    <w:rsid w:val="4C7960B4"/>
    <w:rsid w:val="4D874091"/>
    <w:rsid w:val="4EBC5FB2"/>
    <w:rsid w:val="4EFD4D0D"/>
    <w:rsid w:val="500B28E1"/>
    <w:rsid w:val="5014373D"/>
    <w:rsid w:val="53630FA0"/>
    <w:rsid w:val="53CA39CC"/>
    <w:rsid w:val="53EC1B8C"/>
    <w:rsid w:val="540A0936"/>
    <w:rsid w:val="543F7E64"/>
    <w:rsid w:val="5476230A"/>
    <w:rsid w:val="54AC72B0"/>
    <w:rsid w:val="55B76230"/>
    <w:rsid w:val="55C13A49"/>
    <w:rsid w:val="55E87344"/>
    <w:rsid w:val="562B0974"/>
    <w:rsid w:val="569868B5"/>
    <w:rsid w:val="56D91910"/>
    <w:rsid w:val="57363B2C"/>
    <w:rsid w:val="58127DF0"/>
    <w:rsid w:val="58593F43"/>
    <w:rsid w:val="5B263AA3"/>
    <w:rsid w:val="5C6C2D9F"/>
    <w:rsid w:val="5F5270C3"/>
    <w:rsid w:val="5F93425F"/>
    <w:rsid w:val="5FE55405"/>
    <w:rsid w:val="606C496E"/>
    <w:rsid w:val="609F0454"/>
    <w:rsid w:val="610214C5"/>
    <w:rsid w:val="611F6817"/>
    <w:rsid w:val="63332414"/>
    <w:rsid w:val="641853C1"/>
    <w:rsid w:val="64B71CDD"/>
    <w:rsid w:val="652D4E25"/>
    <w:rsid w:val="65FF77BC"/>
    <w:rsid w:val="669642D9"/>
    <w:rsid w:val="669A7B53"/>
    <w:rsid w:val="66A94820"/>
    <w:rsid w:val="66CA1754"/>
    <w:rsid w:val="6752633D"/>
    <w:rsid w:val="684A3B8E"/>
    <w:rsid w:val="68893693"/>
    <w:rsid w:val="6899047D"/>
    <w:rsid w:val="68D0211B"/>
    <w:rsid w:val="69F2323D"/>
    <w:rsid w:val="6B3B401C"/>
    <w:rsid w:val="6B9414EF"/>
    <w:rsid w:val="6BCF4F92"/>
    <w:rsid w:val="6C392CC4"/>
    <w:rsid w:val="6C8E4C25"/>
    <w:rsid w:val="6F1E65D4"/>
    <w:rsid w:val="6F230AF1"/>
    <w:rsid w:val="6F266C86"/>
    <w:rsid w:val="6F5042C2"/>
    <w:rsid w:val="6F9D4525"/>
    <w:rsid w:val="705D3892"/>
    <w:rsid w:val="71EE30DD"/>
    <w:rsid w:val="729442DE"/>
    <w:rsid w:val="72EC1E22"/>
    <w:rsid w:val="733B72AF"/>
    <w:rsid w:val="73D6533A"/>
    <w:rsid w:val="74316312"/>
    <w:rsid w:val="75D477FF"/>
    <w:rsid w:val="76172145"/>
    <w:rsid w:val="769A1C35"/>
    <w:rsid w:val="76E77969"/>
    <w:rsid w:val="77457761"/>
    <w:rsid w:val="77940DA1"/>
    <w:rsid w:val="77A131E5"/>
    <w:rsid w:val="780F13C8"/>
    <w:rsid w:val="782A34EC"/>
    <w:rsid w:val="78EE203C"/>
    <w:rsid w:val="794F2439"/>
    <w:rsid w:val="79AA1A48"/>
    <w:rsid w:val="7A2A6BB4"/>
    <w:rsid w:val="7C2A3E3C"/>
    <w:rsid w:val="7C385448"/>
    <w:rsid w:val="7C447E2A"/>
    <w:rsid w:val="7CB3663D"/>
    <w:rsid w:val="7E551E92"/>
    <w:rsid w:val="7E6F3E6F"/>
    <w:rsid w:val="7EB251C3"/>
    <w:rsid w:val="7EDB48EB"/>
    <w:rsid w:val="7F12324E"/>
    <w:rsid w:val="7F6B423A"/>
    <w:rsid w:val="7F842ED7"/>
    <w:rsid w:val="7FD51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uiPriority w:val="99"/>
    <w:rPr>
      <w:color w:val="0000FF"/>
      <w:u w:val="single"/>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443</Words>
  <Characters>2526</Characters>
  <Lines>21</Lines>
  <Paragraphs>5</Paragraphs>
  <TotalTime>0</TotalTime>
  <ScaleCrop>false</ScaleCrop>
  <LinksUpToDate>false</LinksUpToDate>
  <CharactersWithSpaces>2964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2022-03-01T04:50:00Z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RubyTemplateID" linkTarget="0">
    <vt:lpwstr>6</vt:lpwstr>
  </property>
  <property fmtid="{D5CDD505-2E9C-101B-9397-08002B2CF9AE}" pid="4" name="ICV">
    <vt:lpwstr>1EAE0426EB3B4953886233421C91DD99</vt:lpwstr>
  </property>
</Properties>
</file>