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sz w:val="6"/>
          <w:szCs w:val="6"/>
        </w:rPr>
      </w:pPr>
    </w:p>
    <w:p>
      <w:pPr>
        <w:snapToGrid w:val="0"/>
        <w:jc w:val="center"/>
        <w:rPr>
          <w:rFonts w:ascii="黑体" w:hAnsi="黑体" w:eastAsia="黑体"/>
          <w:sz w:val="32"/>
          <w:szCs w:val="32"/>
          <w:lang w:eastAsia="zh-CN"/>
        </w:rPr>
      </w:pPr>
      <w:r>
        <w:rPr>
          <w:rFonts w:hint="eastAsia" w:ascii="黑体" w:hAnsi="黑体" w:eastAsia="黑体"/>
          <w:sz w:val="32"/>
          <w:szCs w:val="32"/>
        </w:rPr>
        <w:t>上海建桥学院</w:t>
      </w:r>
      <w:r>
        <w:rPr>
          <w:rFonts w:hint="eastAsia" w:ascii="黑体" w:hAnsi="黑体" w:eastAsia="黑体"/>
          <w:sz w:val="32"/>
          <w:szCs w:val="32"/>
          <w:lang w:eastAsia="zh-CN"/>
        </w:rPr>
        <w:t>课程教学进度计划表</w:t>
      </w:r>
    </w:p>
    <w:p>
      <w:pPr>
        <w:snapToGrid w:val="0"/>
        <w:spacing w:after="180" w:afterLines="50"/>
        <w:jc w:val="center"/>
        <w:rPr>
          <w:rFonts w:ascii="仿宋" w:hAnsi="仿宋" w:eastAsia="仿宋"/>
          <w:sz w:val="28"/>
          <w:szCs w:val="28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一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、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基本信息</w:t>
      </w:r>
    </w:p>
    <w:tbl>
      <w:tblPr>
        <w:tblStyle w:val="6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2268"/>
        <w:gridCol w:w="1134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bookmarkStart w:id="0" w:name="_GoBack"/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2038055</w:t>
            </w:r>
            <w:bookmarkEnd w:id="0"/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基础乐理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授课教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谢丹萍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ascii="黑体" w:hAnsi="黑体" w:eastAsia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hAnsi="宋体" w:eastAsia="宋体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eastAsia="zh-CN"/>
              </w:rPr>
              <w:t>401752567@</w:t>
            </w:r>
            <w:r>
              <w:rPr>
                <w:rFonts w:ascii="宋体" w:hAnsi="宋体" w:eastAsia="宋体"/>
                <w:sz w:val="21"/>
                <w:szCs w:val="21"/>
                <w:lang w:eastAsia="zh-CN"/>
              </w:rPr>
              <w:t>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上课</w:t>
            </w: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default" w:asciiTheme="majorEastAsia" w:hAnsiTheme="majorEastAsia" w:eastAsiaTheme="majorEastAsia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/>
                <w:color w:val="000000"/>
                <w:sz w:val="20"/>
                <w:szCs w:val="20"/>
                <w:lang w:val="en-US" w:eastAsia="zh-CN"/>
              </w:rPr>
              <w:t>周二 九、十节</w:t>
            </w:r>
          </w:p>
        </w:tc>
        <w:tc>
          <w:tcPr>
            <w:tcW w:w="1134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>一教104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基本乐理通用教材</w:t>
            </w:r>
            <w:r>
              <w:rPr>
                <w:rFonts w:hint="eastAsia" w:ascii="Malgun Gothic Semilight" w:hAnsi="Malgun Gothic Semilight" w:eastAsia="Malgun Gothic Semilight" w:cs="Malgun Gothic Semilight"/>
                <w:color w:val="000000"/>
                <w:sz w:val="20"/>
                <w:szCs w:val="20"/>
              </w:rPr>
              <w:t>》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作者</w:t>
            </w:r>
            <w:r>
              <w:rPr>
                <w:rFonts w:hint="eastAsia"/>
                <w:color w:val="000000"/>
                <w:sz w:val="20"/>
                <w:szCs w:val="20"/>
              </w:rPr>
              <w:t>：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李重光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著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出版社</w:t>
            </w:r>
            <w:r>
              <w:rPr>
                <w:rFonts w:hint="eastAsia"/>
                <w:color w:val="000000"/>
                <w:sz w:val="20"/>
                <w:szCs w:val="20"/>
              </w:rPr>
              <w:t>：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高等教育出版社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出版日期</w:t>
            </w:r>
            <w:r>
              <w:rPr>
                <w:rFonts w:hint="eastAsia" w:ascii="Malgun Gothic Semilight" w:hAnsi="Malgun Gothic Semilight" w:eastAsia="Malgun Gothic Semilight" w:cs="Malgun Gothic Semilight"/>
                <w:color w:val="000000"/>
                <w:sz w:val="20"/>
                <w:szCs w:val="20"/>
              </w:rPr>
              <w:t>：</w:t>
            </w:r>
            <w:r>
              <w:rPr>
                <w:rFonts w:hint="eastAsia"/>
                <w:color w:val="000000"/>
                <w:sz w:val="20"/>
                <w:szCs w:val="20"/>
              </w:rPr>
              <w:t>200</w:t>
            </w:r>
            <w:r>
              <w:rPr>
                <w:color w:val="000000"/>
                <w:sz w:val="20"/>
                <w:szCs w:val="20"/>
              </w:rPr>
              <w:t>4</w:t>
            </w:r>
            <w:r>
              <w:rPr>
                <w:rFonts w:hint="eastAsia"/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09</w:t>
            </w:r>
            <w:r>
              <w:rPr>
                <w:rFonts w:hint="eastAsia"/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418" w:type="dxa"/>
            <w:vAlign w:val="center"/>
          </w:tcPr>
          <w:p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参考书目</w:t>
            </w:r>
            <w:r>
              <w:rPr>
                <w:color w:val="000000"/>
                <w:sz w:val="20"/>
                <w:szCs w:val="20"/>
              </w:rPr>
              <w:t>【</w:t>
            </w: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基本乐理</w:t>
            </w:r>
            <w:r>
              <w:rPr>
                <w:rFonts w:hint="eastAsia" w:ascii="Malgun Gothic Semilight" w:hAnsi="Malgun Gothic Semilight" w:eastAsia="Malgun Gothic Semilight" w:cs="Malgun Gothic Semilight"/>
                <w:color w:val="000000"/>
                <w:sz w:val="20"/>
                <w:szCs w:val="20"/>
              </w:rPr>
              <w:t>》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作者</w:t>
            </w:r>
            <w:r>
              <w:rPr>
                <w:rFonts w:hint="eastAsia"/>
                <w:color w:val="000000"/>
                <w:sz w:val="20"/>
                <w:szCs w:val="20"/>
              </w:rPr>
              <w:t>：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任达敏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著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出版社</w:t>
            </w:r>
            <w:r>
              <w:rPr>
                <w:rFonts w:hint="eastAsia"/>
                <w:color w:val="000000"/>
                <w:sz w:val="20"/>
                <w:szCs w:val="20"/>
              </w:rPr>
              <w:t>：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人民音乐出版社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出版日期</w:t>
            </w:r>
            <w:r>
              <w:rPr>
                <w:rFonts w:hint="eastAsia" w:ascii="Malgun Gothic Semilight" w:hAnsi="Malgun Gothic Semilight" w:eastAsia="Malgun Gothic Semilight" w:cs="Malgun Gothic Semilight"/>
                <w:color w:val="000000"/>
                <w:sz w:val="20"/>
                <w:szCs w:val="20"/>
              </w:rPr>
              <w:t>：</w:t>
            </w:r>
            <w:r>
              <w:rPr>
                <w:rFonts w:hint="eastAsia"/>
                <w:color w:val="000000"/>
                <w:sz w:val="20"/>
                <w:szCs w:val="20"/>
              </w:rPr>
              <w:t>20</w:t>
            </w:r>
            <w:r>
              <w:rPr>
                <w:color w:val="000000"/>
                <w:sz w:val="20"/>
                <w:szCs w:val="20"/>
              </w:rPr>
              <w:t>12</w:t>
            </w:r>
            <w:r>
              <w:rPr>
                <w:rFonts w:hint="eastAsia"/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05</w:t>
            </w:r>
          </w:p>
          <w:p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基本乐理教程</w:t>
            </w:r>
            <w:r>
              <w:rPr>
                <w:rFonts w:hint="eastAsia" w:ascii="Malgun Gothic Semilight" w:hAnsi="Malgun Gothic Semilight" w:eastAsia="Malgun Gothic Semilight" w:cs="Malgun Gothic Semilight"/>
                <w:color w:val="000000"/>
                <w:sz w:val="20"/>
                <w:szCs w:val="20"/>
              </w:rPr>
              <w:t>》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作者</w:t>
            </w:r>
            <w:r>
              <w:rPr>
                <w:rFonts w:hint="eastAsia"/>
                <w:color w:val="000000"/>
                <w:sz w:val="20"/>
                <w:szCs w:val="20"/>
              </w:rPr>
              <w:t>：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童忠良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著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出版社</w:t>
            </w:r>
            <w:r>
              <w:rPr>
                <w:rFonts w:hint="eastAsia"/>
                <w:color w:val="000000"/>
                <w:sz w:val="20"/>
                <w:szCs w:val="20"/>
              </w:rPr>
              <w:t>：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上海音乐出版社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出版日期</w:t>
            </w:r>
            <w:r>
              <w:rPr>
                <w:rFonts w:hint="eastAsia" w:ascii="Malgun Gothic Semilight" w:hAnsi="Malgun Gothic Semilight" w:eastAsia="Malgun Gothic Semilight" w:cs="Malgun Gothic Semilight"/>
                <w:color w:val="000000"/>
                <w:sz w:val="20"/>
                <w:szCs w:val="20"/>
              </w:rPr>
              <w:t>：</w:t>
            </w:r>
            <w:r>
              <w:rPr>
                <w:rFonts w:hint="eastAsia"/>
                <w:color w:val="000000"/>
                <w:sz w:val="20"/>
                <w:szCs w:val="20"/>
              </w:rPr>
              <w:t>200</w:t>
            </w:r>
            <w:r>
              <w:rPr>
                <w:color w:val="000000"/>
                <w:sz w:val="20"/>
                <w:szCs w:val="20"/>
              </w:rPr>
              <w:t>1</w:t>
            </w:r>
            <w:r>
              <w:rPr>
                <w:rFonts w:hint="eastAsia"/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05</w:t>
            </w:r>
            <w:r>
              <w:rPr>
                <w:rFonts w:hint="eastAsia"/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01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="Malgun Gothic Semilight" w:hAnsi="Malgun Gothic Semilight" w:eastAsia="Malgun Gothic Semilight" w:cs="Malgun Gothic Semilight"/>
                <w:color w:val="000000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>《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音乐理论基础</w:t>
            </w:r>
            <w:r>
              <w:rPr>
                <w:rFonts w:hint="eastAsia"/>
                <w:color w:val="000000"/>
                <w:sz w:val="20"/>
                <w:szCs w:val="20"/>
              </w:rPr>
              <w:t>》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作者</w:t>
            </w:r>
            <w:r>
              <w:rPr>
                <w:rFonts w:hint="eastAsia"/>
                <w:color w:val="000000"/>
                <w:sz w:val="20"/>
                <w:szCs w:val="20"/>
              </w:rPr>
              <w:t>：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李重光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著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出版社</w:t>
            </w:r>
            <w:r>
              <w:rPr>
                <w:rFonts w:hint="eastAsia"/>
                <w:color w:val="000000"/>
                <w:sz w:val="20"/>
                <w:szCs w:val="20"/>
              </w:rPr>
              <w:t>：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人民音乐出版社</w:t>
            </w:r>
            <w:r>
              <w:rPr>
                <w:rFonts w:hint="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出版日期</w:t>
            </w:r>
            <w:r>
              <w:rPr>
                <w:rFonts w:hint="eastAsia" w:ascii="Malgun Gothic Semilight" w:hAnsi="Malgun Gothic Semilight" w:eastAsia="Malgun Gothic Semilight" w:cs="Malgun Gothic Semilight"/>
                <w:color w:val="000000"/>
                <w:sz w:val="20"/>
                <w:szCs w:val="20"/>
              </w:rPr>
              <w:t>：</w:t>
            </w:r>
          </w:p>
          <w:p>
            <w:pPr>
              <w:tabs>
                <w:tab w:val="left" w:pos="532"/>
              </w:tabs>
              <w:spacing w:line="340" w:lineRule="exact"/>
              <w:rPr>
                <w:rFonts w:asciiTheme="majorEastAsia" w:hAnsiTheme="majorEastAsia" w:eastAsiaTheme="major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1962</w:t>
            </w:r>
            <w:r>
              <w:rPr>
                <w:rFonts w:hint="eastAsia"/>
                <w:color w:val="000000"/>
                <w:sz w:val="20"/>
                <w:szCs w:val="20"/>
              </w:rPr>
              <w:t>-</w:t>
            </w:r>
            <w:r>
              <w:rPr>
                <w:color w:val="000000"/>
                <w:sz w:val="20"/>
                <w:szCs w:val="20"/>
              </w:rPr>
              <w:t>10</w:t>
            </w:r>
          </w:p>
        </w:tc>
      </w:tr>
    </w:tbl>
    <w:p>
      <w:pPr>
        <w:snapToGrid w:val="0"/>
        <w:spacing w:line="340" w:lineRule="exact"/>
        <w:rPr>
          <w:rFonts w:ascii="Calibri" w:hAnsi="Calibri" w:eastAsia="宋体"/>
          <w:b/>
          <w:color w:val="000000"/>
          <w:szCs w:val="20"/>
          <w:lang w:eastAsia="zh-CN"/>
        </w:rPr>
      </w:pPr>
    </w:p>
    <w:p>
      <w:pPr>
        <w:snapToGrid w:val="0"/>
        <w:spacing w:before="180" w:beforeLines="5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Style w:val="6"/>
        <w:tblW w:w="8789" w:type="dxa"/>
        <w:tblInd w:w="10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59"/>
        <w:gridCol w:w="3877"/>
        <w:gridCol w:w="1276"/>
        <w:gridCol w:w="297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before="120" w:after="120"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ind w:firstLine="357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音的产生；音的属性；乐音体系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补充练习题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谱表；谱号；谱表类型；音符；休止符；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增长音符、休止符时值的记法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补充练习题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节拍的含义；拍子的分类；节奏；节奏型；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切分音；连音符；弱起小节；音值的组合法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补充练习题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演奏记号；反复记号；省略记号；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装饰音；常用术语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补充练习题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音程的写法与读法；音程的级数与音数；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自然音程与变化音程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补充练习题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等音程；音程的协和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补充练习题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音程转位的方法；音程转位的规律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补充练习题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调；调号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补充练习题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调的五度循环圈；等音调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补充练习题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平行大小调；同主音大小调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补充练习题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认识调式；大调式；小调式；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大、小调式音级的特性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补充练习题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 xml:space="preserve"> 五声调式；六声调式；七声调式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补充练习题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大、小调式的识别；民族调式的识别；大、小调式与民族调式的辨别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补充练习题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认识三和弦；三和弦的转位；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大、小调式中的三和弦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tabs>
                <w:tab w:val="left" w:pos="830"/>
                <w:tab w:val="center" w:pos="1440"/>
              </w:tabs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补充练习题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认识七和弦；七和弦的转位；</w:t>
            </w:r>
          </w:p>
          <w:p>
            <w:pPr>
              <w:widowControl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大、小调式中的属七和弦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补充练习题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8" w:hRule="atLeast"/>
        </w:trPr>
        <w:tc>
          <w:tcPr>
            <w:tcW w:w="65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hAnsi="宋体" w:eastAsia="宋体"/>
                <w:color w:val="00000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11"/>
            </w:pPr>
            <w:r>
              <w:rPr>
                <w:rFonts w:hint="eastAsia" w:asciiTheme="minorEastAsia" w:hAnsiTheme="minorEastAsia" w:eastAsiaTheme="minorEastAsia"/>
                <w:lang w:eastAsia="zh-CN"/>
              </w:rPr>
              <w:t>总复习</w:t>
            </w:r>
          </w:p>
        </w:tc>
        <w:tc>
          <w:tcPr>
            <w:tcW w:w="127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黑体" w:hAnsi="黑体" w:eastAsia="黑体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边讲边练</w:t>
            </w:r>
          </w:p>
        </w:tc>
        <w:tc>
          <w:tcPr>
            <w:tcW w:w="297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eastAsia="宋体" w:cs="Arial"/>
                <w:kern w:val="0"/>
                <w:sz w:val="18"/>
                <w:szCs w:val="18"/>
                <w:lang w:eastAsia="zh-CN"/>
              </w:rPr>
              <w:t>补充练习题</w:t>
            </w:r>
          </w:p>
        </w:tc>
      </w:tr>
    </w:tbl>
    <w:p>
      <w:pPr>
        <w:snapToGrid w:val="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</w:p>
    <w:p>
      <w:pPr>
        <w:snapToGrid w:val="0"/>
        <w:spacing w:before="360" w:beforeLines="100" w:after="180" w:afterLines="50"/>
        <w:jc w:val="both"/>
        <w:rPr>
          <w:rFonts w:ascii="仿宋" w:hAnsi="仿宋" w:eastAsia="仿宋"/>
          <w:b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在总评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成绩</w:t>
      </w:r>
      <w:r>
        <w:rPr>
          <w:rFonts w:ascii="仿宋" w:hAnsi="仿宋" w:eastAsia="仿宋"/>
          <w:b/>
          <w:color w:val="000000"/>
          <w:sz w:val="28"/>
          <w:szCs w:val="28"/>
          <w:lang w:eastAsia="zh-CN"/>
        </w:rPr>
        <w:t>中的比</w:t>
      </w:r>
      <w:r>
        <w:rPr>
          <w:rFonts w:hint="eastAsia" w:ascii="仿宋" w:hAnsi="仿宋" w:eastAsia="仿宋"/>
          <w:b/>
          <w:color w:val="000000"/>
          <w:sz w:val="28"/>
          <w:szCs w:val="28"/>
          <w:lang w:eastAsia="zh-CN"/>
        </w:rPr>
        <w:t>例</w:t>
      </w:r>
    </w:p>
    <w:tbl>
      <w:tblPr>
        <w:tblStyle w:val="6"/>
        <w:tblpPr w:leftFromText="180" w:rightFromText="180" w:vertAnchor="text" w:horzAnchor="page" w:tblpX="1598" w:tblpY="1008"/>
        <w:tblOverlap w:val="never"/>
        <w:tblW w:w="90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7"/>
        <w:gridCol w:w="5097"/>
        <w:gridCol w:w="21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rPr>
                <w:rFonts w:ascii="仿宋" w:hAnsi="仿宋" w:eastAsia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lang w:eastAsia="zh-CN"/>
              </w:rPr>
              <w:t>总评构成（1+</w:t>
            </w:r>
            <w:r>
              <w:rPr>
                <w:rFonts w:ascii="仿宋" w:hAnsi="仿宋" w:eastAsia="仿宋"/>
                <w:b/>
                <w:color w:val="000000"/>
                <w:sz w:val="28"/>
                <w:szCs w:val="28"/>
                <w:lang w:eastAsia="zh-CN"/>
              </w:rPr>
              <w:t>X</w:t>
            </w: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5097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rPr>
                <w:rFonts w:ascii="仿宋" w:hAnsi="仿宋" w:eastAsia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lang w:eastAsia="zh-CN"/>
              </w:rPr>
              <w:t>评价方式</w:t>
            </w:r>
          </w:p>
        </w:tc>
        <w:tc>
          <w:tcPr>
            <w:tcW w:w="2135" w:type="dxa"/>
            <w:shd w:val="clear" w:color="auto" w:fill="auto"/>
          </w:tcPr>
          <w:p>
            <w:pPr>
              <w:snapToGrid w:val="0"/>
              <w:spacing w:before="180" w:beforeLines="50" w:after="180" w:afterLines="50"/>
              <w:rPr>
                <w:rFonts w:ascii="仿宋" w:hAnsi="仿宋" w:eastAsia="仿宋"/>
                <w:b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8"/>
                <w:szCs w:val="28"/>
                <w:lang w:eastAsia="zh-CN"/>
              </w:rPr>
              <w:t>占比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7" w:type="dxa"/>
            <w:shd w:val="clear" w:color="auto" w:fill="auto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1</w:t>
            </w:r>
          </w:p>
        </w:tc>
        <w:tc>
          <w:tcPr>
            <w:tcW w:w="5097" w:type="dxa"/>
            <w:shd w:val="clear" w:color="auto" w:fill="auto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期终闭卷考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  <w:r>
              <w:rPr>
                <w:rFonts w:hint="eastAsia"/>
                <w:color w:val="000000"/>
                <w:sz w:val="20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7" w:type="dxa"/>
            <w:shd w:val="clear" w:color="auto" w:fill="auto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X1</w:t>
            </w:r>
          </w:p>
        </w:tc>
        <w:tc>
          <w:tcPr>
            <w:tcW w:w="5097" w:type="dxa"/>
            <w:shd w:val="clear" w:color="auto" w:fill="auto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课堂展示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7" w:type="dxa"/>
            <w:shd w:val="clear" w:color="auto" w:fill="auto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X2</w:t>
            </w:r>
          </w:p>
        </w:tc>
        <w:tc>
          <w:tcPr>
            <w:tcW w:w="5097" w:type="dxa"/>
            <w:shd w:val="clear" w:color="auto" w:fill="auto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课堂展示</w:t>
            </w:r>
            <w:r>
              <w:rPr>
                <w:rFonts w:hint="eastAsia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7" w:type="dxa"/>
            <w:shd w:val="clear" w:color="auto" w:fill="auto"/>
          </w:tcPr>
          <w:p>
            <w:pPr>
              <w:tabs>
                <w:tab w:val="center" w:pos="79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X3</w:t>
            </w:r>
          </w:p>
        </w:tc>
        <w:tc>
          <w:tcPr>
            <w:tcW w:w="5097" w:type="dxa"/>
            <w:shd w:val="clear" w:color="auto" w:fill="auto"/>
          </w:tcPr>
          <w:p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课堂展示3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807" w:type="dxa"/>
            <w:shd w:val="clear" w:color="auto" w:fill="auto"/>
          </w:tcPr>
          <w:p>
            <w:pPr>
              <w:tabs>
                <w:tab w:val="center" w:pos="79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X4</w:t>
            </w:r>
          </w:p>
        </w:tc>
        <w:tc>
          <w:tcPr>
            <w:tcW w:w="5097" w:type="dxa"/>
            <w:shd w:val="clear" w:color="auto" w:fill="auto"/>
          </w:tcPr>
          <w:p>
            <w:pPr>
              <w:jc w:val="center"/>
              <w:rPr>
                <w:rFonts w:hint="eastAsia" w:eastAsia="宋体"/>
                <w:b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eastAsia="宋体"/>
                <w:b/>
                <w:color w:val="000000"/>
                <w:sz w:val="28"/>
                <w:szCs w:val="28"/>
                <w:lang w:val="en-US" w:eastAsia="zh-CN"/>
              </w:rPr>
              <w:t>考勤</w:t>
            </w:r>
          </w:p>
        </w:tc>
        <w:tc>
          <w:tcPr>
            <w:tcW w:w="2135" w:type="dxa"/>
            <w:shd w:val="clear" w:color="auto" w:fill="auto"/>
          </w:tcPr>
          <w:p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  <w:r>
              <w:rPr>
                <w:rFonts w:hint="eastAsia"/>
                <w:color w:val="000000"/>
                <w:sz w:val="20"/>
                <w:szCs w:val="20"/>
              </w:rPr>
              <w:t>%</w:t>
            </w:r>
          </w:p>
        </w:tc>
      </w:tr>
    </w:tbl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hint="eastAsia" w:ascii="仿宋" w:hAnsi="仿宋" w:eastAsia="仿宋"/>
          <w:color w:val="000000"/>
          <w:position w:val="-20"/>
          <w:lang w:eastAsia="zh-CN"/>
        </w:rPr>
      </w:pPr>
    </w:p>
    <w:p>
      <w:pPr>
        <w:tabs>
          <w:tab w:val="left" w:pos="3210"/>
          <w:tab w:val="left" w:pos="7560"/>
        </w:tabs>
        <w:spacing w:before="72" w:beforeLines="20" w:line="360" w:lineRule="auto"/>
        <w:jc w:val="both"/>
        <w:outlineLvl w:val="0"/>
        <w:rPr>
          <w:rFonts w:ascii="仿宋" w:hAnsi="仿宋" w:eastAsia="仿宋"/>
          <w:sz w:val="28"/>
          <w:szCs w:val="28"/>
          <w:lang w:eastAsia="zh-CN"/>
        </w:rPr>
      </w:pP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任课教师：谢丹萍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>主任审核：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hAnsi="仿宋" w:eastAsia="仿宋"/>
          <w:color w:val="000000"/>
          <w:position w:val="-20"/>
          <w:sz w:val="28"/>
          <w:szCs w:val="28"/>
          <w:lang w:eastAsia="zh-CN"/>
        </w:rPr>
        <w:t xml:space="preserve">       </w:t>
      </w:r>
      <w:r>
        <w:rPr>
          <w:rFonts w:hint="eastAsia" w:ascii="仿宋" w:hAnsi="仿宋" w:eastAsia="仿宋"/>
          <w:color w:val="000000"/>
          <w:position w:val="-20"/>
          <w:sz w:val="28"/>
          <w:szCs w:val="28"/>
        </w:rPr>
        <w:t xml:space="preserve"> 日期：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6" w:h="16838"/>
      <w:pgMar w:top="1418" w:right="1474" w:bottom="1361" w:left="1588" w:header="567" w:footer="794" w:gutter="0"/>
      <w:pgNumType w:start="21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lgun Gothic Semilight">
    <w:panose1 w:val="020B0502040204020203"/>
    <w:charset w:val="86"/>
    <w:family w:val="swiss"/>
    <w:pitch w:val="default"/>
    <w:sig w:usb0="900002AF" w:usb1="01D77CFB" w:usb2="00000012" w:usb3="00000000" w:csb0="203E01BD" w:csb1="D7FF0000"/>
  </w:font>
  <w:font w:name="華康儷中黑">
    <w:altName w:val="黑体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DotumChe">
    <w:altName w:val="Malgun Gothic"/>
    <w:panose1 w:val="00000000000000000000"/>
    <w:charset w:val="81"/>
    <w:family w:val="modern"/>
    <w:pitch w:val="default"/>
    <w:sig w:usb0="00000000" w:usb1="00000000" w:usb2="00000030" w:usb3="00000000" w:csb0="0008009F" w:csb1="00000000"/>
  </w:font>
  <w:font w:name="華康粗圓體">
    <w:altName w:val="Microsoft JhengHei"/>
    <w:panose1 w:val="00000000000000000000"/>
    <w:charset w:val="88"/>
    <w:family w:val="swiss"/>
    <w:pitch w:val="default"/>
    <w:sig w:usb0="00000000" w:usb1="00000000" w:usb2="00000016" w:usb3="00000000" w:csb0="001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1008" w:wrap="around" w:vAnchor="page" w:hAnchor="page" w:x="5491" w:y="16201"/>
      <w:rPr>
        <w:rStyle w:val="9"/>
        <w:rFonts w:ascii="ITC Bookman Demi" w:hAnsi="ITC Bookman Demi"/>
        <w:color w:val="FFFFFF"/>
        <w:sz w:val="26"/>
        <w:szCs w:val="26"/>
      </w:rPr>
    </w:pPr>
    <w:r>
      <w:rPr>
        <w:rStyle w:val="9"/>
        <w:rFonts w:hint="eastAsia" w:ascii="華康儷中黑" w:hAnsi="ITC Bookman Demi" w:eastAsia="華康儷中黑"/>
        <w:color w:val="FFFFFF"/>
        <w:sz w:val="26"/>
        <w:szCs w:val="26"/>
      </w:rPr>
      <w:t>第</w:t>
    </w:r>
    <w:r>
      <w:rPr>
        <w:rFonts w:ascii="ITC Bookman Demi" w:hAnsi="ITC Bookman Demi" w:eastAsia="DotumChe"/>
        <w:color w:val="FFFFFF"/>
        <w:sz w:val="26"/>
        <w:szCs w:val="26"/>
      </w:rPr>
      <w:fldChar w:fldCharType="begin"/>
    </w:r>
    <w:r>
      <w:rPr>
        <w:rStyle w:val="9"/>
        <w:rFonts w:ascii="ITC Bookman Demi" w:hAnsi="ITC Bookman Demi" w:eastAsia="DotumChe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DotumChe"/>
        <w:color w:val="FFFFFF"/>
        <w:sz w:val="26"/>
        <w:szCs w:val="26"/>
      </w:rPr>
      <w:fldChar w:fldCharType="separate"/>
    </w:r>
    <w:r>
      <w:rPr>
        <w:rStyle w:val="9"/>
        <w:rFonts w:ascii="ITC Bookman Demi" w:hAnsi="ITC Bookman Demi" w:eastAsia="DotumChe"/>
        <w:color w:val="FFFFFF"/>
        <w:sz w:val="26"/>
        <w:szCs w:val="26"/>
      </w:rPr>
      <w:t>21</w:t>
    </w:r>
    <w:r>
      <w:rPr>
        <w:rFonts w:ascii="ITC Bookman Demi" w:hAnsi="ITC Bookman Demi" w:eastAsia="DotumChe"/>
        <w:color w:val="FFFFFF"/>
        <w:sz w:val="26"/>
        <w:szCs w:val="26"/>
      </w:rPr>
      <w:fldChar w:fldCharType="end"/>
    </w:r>
    <w:r>
      <w:rPr>
        <w:rStyle w:val="9"/>
        <w:rFonts w:hint="eastAsia" w:ascii="華康儷中黑" w:hAnsi="ITC Bookman Demi" w:eastAsia="華康儷中黑"/>
        <w:color w:val="FFFFFF"/>
        <w:sz w:val="26"/>
        <w:szCs w:val="26"/>
      </w:rPr>
      <w:t>頁</w:t>
    </w:r>
  </w:p>
  <w:p>
    <w:pPr>
      <w:snapToGrid w:val="0"/>
      <w:spacing w:before="120" w:beforeLines="50" w:after="120" w:afterLines="50"/>
      <w:jc w:val="both"/>
      <w:rPr>
        <w:sz w:val="18"/>
        <w:szCs w:val="18"/>
      </w:rPr>
    </w:pPr>
    <w:r>
      <w:rPr>
        <w:rFonts w:hint="eastAsia" w:ascii="宋体" w:hAnsi="宋体" w:eastAsia="宋体"/>
        <w:sz w:val="18"/>
        <w:szCs w:val="18"/>
      </w:rPr>
      <w:t>注：</w:t>
    </w:r>
    <w:r>
      <w:rPr>
        <w:rFonts w:hint="eastAsia" w:ascii="宋体" w:hAnsi="宋体" w:eastAsia="宋体"/>
        <w:sz w:val="18"/>
        <w:szCs w:val="18"/>
        <w:lang w:eastAsia="zh-CN"/>
      </w:rPr>
      <w:t>课程</w:t>
    </w:r>
    <w:r>
      <w:rPr>
        <w:rFonts w:hint="eastAsia" w:ascii="宋体" w:hAnsi="宋体" w:eastAsia="宋体"/>
        <w:sz w:val="18"/>
        <w:szCs w:val="18"/>
      </w:rPr>
      <w:t>教学</w:t>
    </w:r>
    <w:r>
      <w:rPr>
        <w:rFonts w:hint="eastAsia" w:ascii="宋体" w:hAnsi="宋体" w:eastAsia="宋体"/>
        <w:sz w:val="18"/>
        <w:szCs w:val="18"/>
        <w:lang w:eastAsia="zh-CN"/>
      </w:rPr>
      <w:t>进度计划表</w:t>
    </w:r>
    <w:r>
      <w:rPr>
        <w:rFonts w:hint="eastAsia" w:ascii="宋体" w:hAnsi="宋体" w:eastAsia="宋体"/>
        <w:sz w:val="18"/>
        <w:szCs w:val="18"/>
      </w:rPr>
      <w:t>电子版公布在本学院课程网站上，并发送到教务处存档。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="406" w:wrap="around" w:vAnchor="page" w:hAnchor="page" w:x="5661" w:y="16221"/>
      <w:jc w:val="center"/>
      <w:rPr>
        <w:rStyle w:val="9"/>
        <w:rFonts w:ascii="ITC Bookman Demi" w:hAnsi="ITC Bookman Demi" w:eastAsia="華康粗圓體"/>
        <w:color w:val="FFFFFF"/>
        <w:sz w:val="26"/>
        <w:szCs w:val="26"/>
      </w:rPr>
    </w:pPr>
    <w:r>
      <w:rPr>
        <w:rFonts w:ascii="ITC Bookman Demi" w:hAnsi="ITC Bookman Demi" w:eastAsia="華康粗圓體"/>
        <w:color w:val="FFFFFF"/>
        <w:sz w:val="26"/>
        <w:szCs w:val="26"/>
      </w:rPr>
      <w:fldChar w:fldCharType="begin"/>
    </w:r>
    <w:r>
      <w:rPr>
        <w:rStyle w:val="9"/>
        <w:rFonts w:ascii="ITC Bookman Demi" w:hAnsi="ITC Bookman Demi" w:eastAsia="華康粗圓體"/>
        <w:color w:val="FFFFFF"/>
        <w:sz w:val="26"/>
        <w:szCs w:val="26"/>
      </w:rPr>
      <w:instrText xml:space="preserve">PAGE  </w:instrText>
    </w:r>
    <w:r>
      <w:rPr>
        <w:rFonts w:ascii="ITC Bookman Demi" w:hAnsi="ITC Bookman Demi" w:eastAsia="華康粗圓體"/>
        <w:color w:val="FFFFFF"/>
        <w:sz w:val="26"/>
        <w:szCs w:val="26"/>
      </w:rPr>
      <w:fldChar w:fldCharType="separate"/>
    </w:r>
    <w:r>
      <w:rPr>
        <w:rStyle w:val="9"/>
        <w:rFonts w:ascii="ITC Bookman Demi" w:hAnsi="ITC Bookman Demi" w:eastAsia="華康粗圓體"/>
        <w:color w:val="FFFFFF"/>
        <w:sz w:val="26"/>
        <w:szCs w:val="26"/>
        <w:lang w:eastAsia="zh-CN"/>
      </w:rPr>
      <w:t>2</w:t>
    </w:r>
    <w:r>
      <w:rPr>
        <w:rFonts w:ascii="ITC Bookman Demi" w:hAnsi="ITC Bookman Demi" w:eastAsia="華康粗圓體"/>
        <w:color w:val="FFFFFF"/>
        <w:sz w:val="26"/>
        <w:szCs w:val="26"/>
      </w:rPr>
      <w:fldChar w:fldCharType="end"/>
    </w:r>
  </w:p>
  <w:p>
    <w:pPr>
      <w:pStyle w:val="3"/>
      <w:ind w:right="360"/>
    </w:pPr>
    <w:r>
      <w:rPr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72" w:beforeLines="30"/>
      <w:ind w:firstLine="800" w:firstLineChars="400"/>
      <w:rPr>
        <w:rFonts w:ascii="華康儷中黑" w:eastAsia="華康儷中黑"/>
        <w:sz w:val="32"/>
        <w:szCs w:val="32"/>
      </w:rPr>
    </w:pPr>
    <w:r>
      <w:rPr>
        <w:lang w:eastAsia="zh-CN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rPr>
                              <w:rFonts w:ascii="宋体" w:hAnsi="宋体" w:eastAsia="宋体"/>
                              <w:spacing w:val="20"/>
                            </w:rPr>
                          </w:pP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hint="eastAsia" w:ascii="宋体" w:hAnsi="宋体" w:eastAsia="宋体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hAnsi="宋体" w:eastAsia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42.55pt;margin-top:28.3pt;height:22.1pt;width:207.5pt;mso-position-horizontal-relative:page;mso-position-vertical-relative:page;z-index:251660288;mso-width-relative:page;mso-height-relative:page;" fillcolor="#FFFFFF" filled="t" stroked="f" coordsize="21600,21600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JeS&#10;Km/TAAAACQEAAA8AAAAAAAAAAQAgAAAAIgAAAGRycy9kb3ducmV2LnhtbFBLAQIUABQAAAAIAIdO&#10;4kA6neHrYQIAAKcEAAAOAAAAAAAAAAEAIAAAACIBAABkcnMvZTJvRG9jLnhtbFBLBQYAAAAABgAG&#10;AFkBAAD1BQAAAAA=&#10;">
              <v:fill on="t" focussize="0,0"/>
              <v:stroke on="f" weight="0.5pt"/>
              <v:imagedata o:title=""/>
              <o:lock v:ext="edit" aspectratio="f"/>
              <v:textbox>
                <w:txbxContent>
                  <w:p>
                    <w:pPr>
                      <w:rPr>
                        <w:rFonts w:ascii="宋体" w:hAnsi="宋体" w:eastAsia="宋体"/>
                        <w:spacing w:val="20"/>
                      </w:rPr>
                    </w:pPr>
                    <w:r>
                      <w:rPr>
                        <w:rFonts w:hint="eastAsia" w:ascii="宋体" w:hAnsi="宋体" w:eastAsia="宋体"/>
                        <w:spacing w:val="20"/>
                      </w:rPr>
                      <w:t>SJQU-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Q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-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</w:t>
                    </w:r>
                    <w:r>
                      <w:rPr>
                        <w:rFonts w:hint="eastAsia" w:ascii="宋体" w:hAnsi="宋体" w:eastAsia="宋体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hint="eastAsia" w:ascii="宋体" w:hAnsi="宋体" w:eastAsia="宋体"/>
                        <w:spacing w:val="20"/>
                      </w:rPr>
                      <w:t>（A</w:t>
                    </w:r>
                    <w:r>
                      <w:rPr>
                        <w:rFonts w:ascii="宋体" w:hAnsi="宋体" w:eastAsia="宋体"/>
                        <w:spacing w:val="20"/>
                      </w:rPr>
                      <w:t>0）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spacing w:before="72" w:beforeLines="30"/>
      <w:ind w:firstLine="1700" w:firstLineChars="850"/>
      <w:jc w:val="both"/>
    </w:pPr>
    <w:r>
      <w:rPr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80"/>
  <w:drawingGridHorizontalSpacing w:val="120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4YmMxMzQzODZjNGQ0YzIwNDUyNmI2MjZiOTU4YTMifQ=="/>
  </w:docVars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61DF6"/>
    <w:rsid w:val="00065C53"/>
    <w:rsid w:val="000708DA"/>
    <w:rsid w:val="00073336"/>
    <w:rsid w:val="0007450E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3D42"/>
    <w:rsid w:val="002C578A"/>
    <w:rsid w:val="002D21B9"/>
    <w:rsid w:val="002E0E77"/>
    <w:rsid w:val="002E39E6"/>
    <w:rsid w:val="002E7F5C"/>
    <w:rsid w:val="002F20BD"/>
    <w:rsid w:val="002F2551"/>
    <w:rsid w:val="002F4DC5"/>
    <w:rsid w:val="002F52A4"/>
    <w:rsid w:val="002F6C7E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4FA3"/>
    <w:rsid w:val="00355A41"/>
    <w:rsid w:val="00361EF9"/>
    <w:rsid w:val="00363C7D"/>
    <w:rsid w:val="003713F2"/>
    <w:rsid w:val="0037264D"/>
    <w:rsid w:val="00372A06"/>
    <w:rsid w:val="00374269"/>
    <w:rsid w:val="003760AF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6F773E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6697F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9CD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0E5C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4F45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477C5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77559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05778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77E56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D6286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58F3F5D"/>
    <w:rsid w:val="37163004"/>
    <w:rsid w:val="37E50B00"/>
    <w:rsid w:val="49DF08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nhideWhenUsed="0" w:uiPriority="0" w:semiHidden="0" w:name="Table Subtle 2"/>
    <w:lsdException w:uiPriority="0" w:name="Table Web 1"/>
    <w:lsdException w:uiPriority="0" w:name="Table Web 2"/>
    <w:lsdException w:unhideWhenUsed="0" w:uiPriority="0" w:semiHidden="0" w:name="Table Web 3"/>
    <w:lsdException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imes New Roman" w:hAnsi="Times New Roman" w:eastAsia="PMingLiU" w:cs="Times New Roman"/>
      <w:kern w:val="2"/>
      <w:sz w:val="24"/>
      <w:szCs w:val="24"/>
      <w:lang w:val="en-US" w:eastAsia="zh-TW" w:bidi="ar-SA"/>
    </w:rPr>
  </w:style>
  <w:style w:type="paragraph" w:styleId="2">
    <w:name w:val="heading 1"/>
    <w:basedOn w:val="1"/>
    <w:next w:val="1"/>
    <w:link w:val="12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4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5">
    <w:name w:val="Title"/>
    <w:basedOn w:val="1"/>
    <w:next w:val="1"/>
    <w:link w:val="13"/>
    <w:qFormat/>
    <w:uiPriority w:val="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table" w:styleId="7">
    <w:name w:val="Table Grid"/>
    <w:basedOn w:val="6"/>
    <w:qFormat/>
    <w:uiPriority w:val="0"/>
    <w:pPr>
      <w:widowControl w:val="0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page number"/>
    <w:basedOn w:val="8"/>
    <w:qFormat/>
    <w:uiPriority w:val="0"/>
  </w:style>
  <w:style w:type="character" w:styleId="10">
    <w:name w:val="Hyperlink"/>
    <w:qFormat/>
    <w:uiPriority w:val="0"/>
    <w:rPr>
      <w:color w:val="0000FF"/>
      <w:u w:val="single"/>
    </w:rPr>
  </w:style>
  <w:style w:type="paragraph" w:customStyle="1" w:styleId="11">
    <w:name w:val="1 字元"/>
    <w:basedOn w:val="1"/>
    <w:qFormat/>
    <w:uiPriority w:val="0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12">
    <w:name w:val="标题 1 字符"/>
    <w:basedOn w:val="8"/>
    <w:link w:val="2"/>
    <w:qFormat/>
    <w:uiPriority w:val="0"/>
    <w:rPr>
      <w:rFonts w:eastAsia="PMingLiU"/>
      <w:b/>
      <w:bCs/>
      <w:kern w:val="44"/>
      <w:sz w:val="44"/>
      <w:szCs w:val="44"/>
      <w:lang w:eastAsia="zh-TW"/>
    </w:rPr>
  </w:style>
  <w:style w:type="character" w:customStyle="1" w:styleId="13">
    <w:name w:val="标题 字符"/>
    <w:basedOn w:val="8"/>
    <w:link w:val="5"/>
    <w:uiPriority w:val="0"/>
    <w:rPr>
      <w:rFonts w:asciiTheme="majorHAnsi" w:hAnsiTheme="majorHAnsi" w:eastAsiaTheme="majorEastAsia" w:cstheme="majorBidi"/>
      <w:b/>
      <w:bCs/>
      <w:kern w:val="2"/>
      <w:sz w:val="32"/>
      <w:szCs w:val="32"/>
      <w:lang w:eastAsia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9CFCC0A-4882-470E-B1FD-B43616686DB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CMT</Company>
  <Pages>2</Pages>
  <Words>771</Words>
  <Characters>846</Characters>
  <Lines>7</Lines>
  <Paragraphs>2</Paragraphs>
  <TotalTime>13</TotalTime>
  <ScaleCrop>false</ScaleCrop>
  <LinksUpToDate>false</LinksUpToDate>
  <CharactersWithSpaces>873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2015-08-27T04:51:00Z</dcterms:created>
  <dc:creator>*****</dc:creator>
  <cp:lastModifiedBy>陌桑</cp:lastModifiedBy>
  <cp:lastPrinted>2015-03-18T03:45:00Z</cp:lastPrinted>
  <dcterms:modified xsi:type="dcterms:W3CDTF">2023-05-31T02:34:43Z</dcterms:modified>
  <dc:title>上海建桥学院教学进度计划表</dc:title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83C0A768EAF74B8CAA27D61D49814B08_13</vt:lpwstr>
  </property>
</Properties>
</file>